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安康市生态环境局高新分局</w:t>
      </w:r>
    </w:p>
    <w:p>
      <w:pPr>
        <w:pStyle w:val="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关于安康高新区液流储能电池研发生产项目</w:t>
      </w:r>
    </w:p>
    <w:p>
      <w:pPr>
        <w:pStyle w:val="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环境影响报告表的批复</w:t>
      </w:r>
    </w:p>
    <w:p>
      <w:pPr>
        <w:pStyle w:val="6"/>
        <w:spacing w:line="360" w:lineRule="auto"/>
        <w:ind w:firstLine="0" w:firstLineChars="0"/>
        <w:jc w:val="cente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陕西中源聚能能源科技有限公司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w:t>
      </w:r>
      <w:r>
        <w:rPr>
          <w:rFonts w:hint="eastAsia" w:ascii="仿宋_GB2312" w:hAnsi="仿宋_GB2312" w:eastAsia="仿宋_GB2312" w:cs="仿宋_GB2312"/>
          <w:sz w:val="32"/>
          <w:szCs w:val="32"/>
          <w:lang w:val="en-US" w:eastAsia="zh-CN"/>
        </w:rPr>
        <w:t>《安康高新区液流储能电池研发生产项目环境影响报告表审批的请示》</w:t>
      </w:r>
      <w:r>
        <w:rPr>
          <w:rFonts w:hint="eastAsia" w:ascii="仿宋_GB2312" w:hAnsi="仿宋_GB2312" w:eastAsia="仿宋_GB2312" w:cs="仿宋_GB2312"/>
          <w:sz w:val="32"/>
          <w:szCs w:val="32"/>
        </w:rPr>
        <w:t>和相关资料已收悉。经研究，现批复如下：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安康高新区液流储能电池研发生产项目位于安康高新区西部电子信息基地内11#和13#厂房一层。该项目属于新建项目，租用高新区西部电子信息基地11#和13#厂房一层，建筑</w:t>
      </w:r>
      <w:r>
        <w:rPr>
          <w:rFonts w:hint="eastAsia" w:ascii="仿宋_GB2312" w:hAnsi="仿宋_GB2312" w:eastAsia="仿宋_GB2312" w:cs="仿宋_GB2312"/>
          <w:sz w:val="32"/>
          <w:szCs w:val="32"/>
          <w:lang w:val="zh-CN" w:eastAsia="zh-CN"/>
        </w:rPr>
        <w:t>面积为</w:t>
      </w:r>
      <w:r>
        <w:rPr>
          <w:rFonts w:hint="eastAsia" w:ascii="仿宋_GB2312" w:hAnsi="仿宋_GB2312" w:eastAsia="仿宋_GB2312" w:cs="仿宋_GB2312"/>
          <w:sz w:val="32"/>
          <w:szCs w:val="32"/>
          <w:lang w:val="en-US" w:eastAsia="zh-CN"/>
        </w:rPr>
        <w:t>5600㎡；其中生产车间4400㎡、办公及展厅1200㎡，设置原料仓库、碳毡裁切区、电解液暂存区、雕刻间、流道盖板焊接区、冷热压机加工区、膜裁切区域、电堆装配区、电堆紧固及气密测试区、电堆成品区、电堆测试区、更衣室、叉车停放区、小型系统集成区、小型系统成品、系统成品、系统集成区、系统测试控制区、智件仓库、智件预处理区。本项目建成电堆自动化组装产线、全自动热冷压产线，年产50MW/200MWh液流电池。项目总投资3200万元，其中环保投资36.5万元，环保投资占比1.14%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（一）落实大气污染防治措施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项目营运期废气主要为</w:t>
      </w:r>
      <w:r>
        <w:rPr>
          <w:rFonts w:hint="eastAsia" w:ascii="仿宋_GB2312" w:hAnsi="仿宋_GB2312" w:eastAsia="仿宋_GB2312" w:cs="仿宋_GB2312"/>
          <w:sz w:val="32"/>
          <w:szCs w:val="32"/>
          <w:lang w:val="en-US" w:eastAsia="zh-CN"/>
        </w:rPr>
        <w:t>电极框预制过程中产生的</w:t>
      </w:r>
      <w:r>
        <w:rPr>
          <w:rFonts w:hint="eastAsia" w:ascii="仿宋_GB2312" w:hAnsi="仿宋_GB2312" w:eastAsia="仿宋_GB2312" w:cs="仿宋_GB2312"/>
          <w:sz w:val="32"/>
          <w:szCs w:val="32"/>
        </w:rPr>
        <w:t>有机废气及臭气浓度。</w:t>
      </w:r>
      <w:r>
        <w:rPr>
          <w:rFonts w:hint="eastAsia" w:ascii="仿宋_GB2312" w:hAnsi="仿宋_GB2312" w:eastAsia="仿宋_GB2312" w:cs="仿宋_GB2312"/>
          <w:sz w:val="32"/>
          <w:szCs w:val="32"/>
          <w:lang w:val="en-US" w:eastAsia="zh-CN"/>
        </w:rPr>
        <w:t>电极框预制过程中产生的</w:t>
      </w:r>
      <w:r>
        <w:rPr>
          <w:rFonts w:hint="eastAsia" w:ascii="仿宋_GB2312" w:hAnsi="仿宋_GB2312" w:eastAsia="仿宋_GB2312" w:cs="仿宋_GB2312"/>
          <w:sz w:val="32"/>
          <w:szCs w:val="32"/>
        </w:rPr>
        <w:t>有机废气及臭气</w:t>
      </w:r>
      <w:r>
        <w:rPr>
          <w:rFonts w:hint="eastAsia" w:ascii="仿宋_GB2312" w:hAnsi="仿宋_GB2312" w:eastAsia="仿宋_GB2312" w:cs="仿宋_GB2312"/>
          <w:sz w:val="32"/>
          <w:szCs w:val="32"/>
          <w:lang w:val="en-US" w:eastAsia="zh-CN"/>
        </w:rPr>
        <w:t>产生量较少，通过加强车间通风换气。电极框预制过程中产生的</w:t>
      </w:r>
      <w:r>
        <w:rPr>
          <w:rFonts w:hint="eastAsia" w:ascii="仿宋_GB2312" w:hAnsi="仿宋_GB2312" w:eastAsia="仿宋_GB2312" w:cs="仿宋_GB2312"/>
          <w:sz w:val="32"/>
          <w:szCs w:val="32"/>
        </w:rPr>
        <w:t>有机废气</w:t>
      </w:r>
      <w:r>
        <w:rPr>
          <w:rFonts w:hint="eastAsia" w:ascii="仿宋_GB2312" w:hAnsi="仿宋_GB2312" w:eastAsia="仿宋_GB2312" w:cs="仿宋_GB2312"/>
          <w:sz w:val="32"/>
          <w:szCs w:val="32"/>
          <w:lang w:val="en-US" w:eastAsia="zh-CN"/>
        </w:rPr>
        <w:t>满足</w:t>
      </w:r>
      <w:r>
        <w:rPr>
          <w:rFonts w:hint="default" w:ascii="仿宋_GB2312" w:hAnsi="仿宋_GB2312" w:eastAsia="仿宋_GB2312" w:cs="仿宋_GB2312"/>
          <w:sz w:val="32"/>
          <w:szCs w:val="32"/>
        </w:rPr>
        <w:t>《大气污染物综合排放标准》（GB16297-1996）标准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臭气浓度满足《恶臭污染物排放标准》（GB14554-93）中新污染物二级标准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食堂依托园区现有餐厅。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落实水污染防治措施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运营期废水主要为</w:t>
      </w:r>
      <w:r>
        <w:rPr>
          <w:rFonts w:hint="eastAsia" w:ascii="仿宋_GB2312" w:hAnsi="仿宋_GB2312" w:eastAsia="仿宋_GB2312" w:cs="仿宋_GB2312"/>
          <w:sz w:val="32"/>
          <w:szCs w:val="32"/>
          <w:lang w:val="en-US" w:eastAsia="zh-CN"/>
        </w:rPr>
        <w:t>生活污水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生活污水经化粪池处理，</w:t>
      </w:r>
      <w:r>
        <w:rPr>
          <w:rFonts w:hint="eastAsia" w:ascii="仿宋_GB2312" w:hAnsi="仿宋_GB2312" w:eastAsia="仿宋_GB2312" w:cs="仿宋_GB2312"/>
          <w:sz w:val="32"/>
          <w:szCs w:val="32"/>
        </w:rPr>
        <w:t>排入市政管网，进入</w:t>
      </w:r>
      <w:r>
        <w:rPr>
          <w:rFonts w:hint="eastAsia" w:ascii="仿宋_GB2312" w:hAnsi="仿宋_GB2312" w:eastAsia="仿宋_GB2312" w:cs="仿宋_GB2312"/>
          <w:sz w:val="32"/>
          <w:szCs w:val="32"/>
          <w:lang w:val="en-US" w:eastAsia="zh-CN"/>
        </w:rPr>
        <w:t>建民污水处理厂</w:t>
      </w:r>
      <w:r>
        <w:rPr>
          <w:rFonts w:hint="eastAsia" w:ascii="仿宋_GB2312" w:hAnsi="仿宋_GB2312" w:eastAsia="仿宋_GB2312" w:cs="仿宋_GB2312"/>
          <w:sz w:val="32"/>
          <w:szCs w:val="32"/>
        </w:rPr>
        <w:t>集中处理。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（三）落实噪声污染防治措施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运营期噪声主要来</w:t>
      </w:r>
      <w:r>
        <w:rPr>
          <w:rFonts w:hint="eastAsia" w:ascii="仿宋_GB2312" w:hAnsi="仿宋_GB2312" w:eastAsia="仿宋_GB2312" w:cs="仿宋_GB2312"/>
          <w:sz w:val="32"/>
          <w:szCs w:val="32"/>
          <w:lang w:val="en-US" w:eastAsia="zh-CN"/>
        </w:rPr>
        <w:t>自各种设备运行时产生的噪声</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选取</w:t>
      </w:r>
      <w:r>
        <w:rPr>
          <w:rFonts w:hint="eastAsia" w:ascii="仿宋_GB2312" w:hAnsi="仿宋_GB2312" w:eastAsia="仿宋_GB2312" w:cs="仿宋_GB2312"/>
          <w:sz w:val="32"/>
          <w:szCs w:val="32"/>
        </w:rPr>
        <w:t>选用低噪声设备、设置减振基座、设置封闭式生产车间</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噪声防治措施后，厂界四周昼夜间噪声应达到《工业企业厂界环境噪声排放标准》（GB12348-2008）3类标准限值要求。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（四）落实固体废物的分类收集与处置工作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项目运营期固废主要为职工生活垃圾、边角料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废液压油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废液压油桶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废钒电解液。边角料经收集后外售综合利用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废液压油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废液压油桶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废钒电解液</w:t>
      </w:r>
      <w:r>
        <w:rPr>
          <w:rFonts w:hint="eastAsia" w:ascii="仿宋_GB2312" w:hAnsi="仿宋_GB2312" w:eastAsia="仿宋_GB2312" w:cs="仿宋_GB2312"/>
          <w:sz w:val="32"/>
          <w:szCs w:val="32"/>
          <w:lang w:val="en-US" w:eastAsia="zh-CN"/>
        </w:rPr>
        <w:t>等危险废物</w:t>
      </w:r>
      <w:r>
        <w:rPr>
          <w:rFonts w:hint="eastAsia" w:ascii="仿宋_GB2312" w:hAnsi="仿宋_GB2312" w:eastAsia="仿宋_GB2312" w:cs="仿宋_GB2312"/>
          <w:sz w:val="32"/>
          <w:szCs w:val="32"/>
        </w:rPr>
        <w:t>收集后</w:t>
      </w:r>
      <w:r>
        <w:rPr>
          <w:rFonts w:hint="eastAsia" w:ascii="仿宋_GB2312" w:hAnsi="仿宋_GB2312" w:eastAsia="仿宋_GB2312" w:cs="仿宋_GB2312"/>
          <w:kern w:val="0"/>
          <w:sz w:val="32"/>
          <w:szCs w:val="32"/>
          <w:lang w:val="en-US" w:eastAsia="zh-CN"/>
        </w:rPr>
        <w:t>贮存于危废暂存间，委托有资质单位处置。职工</w:t>
      </w:r>
      <w:r>
        <w:rPr>
          <w:rFonts w:hint="eastAsia" w:ascii="仿宋_GB2312" w:hAnsi="仿宋_GB2312" w:eastAsia="仿宋_GB2312" w:cs="仿宋_GB2312"/>
          <w:sz w:val="32"/>
          <w:szCs w:val="32"/>
        </w:rPr>
        <w:t>生活垃圾分类收集后由环卫部门定期统一清运处置。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三、有关事项要求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5年，方决定该项目开工建设的，其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）按照《建设项目环境保护事中事后监督管理办法(试行)》要求，</w:t>
      </w:r>
      <w:r>
        <w:rPr>
          <w:rFonts w:hint="eastAsia" w:ascii="仿宋_GB2312" w:hAnsi="仿宋_GB2312" w:eastAsia="仿宋_GB2312" w:cs="仿宋_GB2312"/>
          <w:sz w:val="32"/>
          <w:szCs w:val="32"/>
          <w:lang w:val="en-US" w:eastAsia="zh-CN"/>
        </w:rPr>
        <w:t>安康市生态环境局高新分局</w:t>
      </w:r>
      <w:r>
        <w:rPr>
          <w:rFonts w:hint="eastAsia" w:ascii="仿宋_GB2312" w:hAnsi="仿宋_GB2312" w:eastAsia="仿宋_GB2312" w:cs="仿宋_GB2312"/>
          <w:sz w:val="32"/>
          <w:szCs w:val="32"/>
          <w:lang w:eastAsia="zh-CN"/>
        </w:rPr>
        <w:t>对事中事后监督管理工作进行监督和指导，安康</w:t>
      </w:r>
      <w:r>
        <w:rPr>
          <w:rFonts w:hint="eastAsia" w:ascii="仿宋_GB2312" w:hAnsi="仿宋_GB2312" w:eastAsia="仿宋_GB2312" w:cs="仿宋_GB2312"/>
          <w:sz w:val="32"/>
          <w:szCs w:val="32"/>
          <w:lang w:val="en-US" w:eastAsia="zh-CN"/>
        </w:rPr>
        <w:t>高新区综合行政执法局环保应急大队</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该项目的事中事后监督管理。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安康市生态环境局高新分局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bookmarkStart w:id="0" w:name="_GoBack"/>
      <w:bookmarkEnd w:id="0"/>
    </w:p>
    <w:p>
      <w:pPr>
        <w:rPr>
          <w:rFonts w:hint="eastAsia"/>
        </w:rPr>
      </w:pPr>
    </w:p>
    <w:p>
      <w:pPr>
        <w:pStyle w:val="2"/>
        <w:rPr>
          <w:rFonts w:hint="eastAsia"/>
        </w:rPr>
      </w:pPr>
    </w:p>
    <w:p>
      <w:pPr>
        <w:bidi w:val="0"/>
      </w:pPr>
      <w:r>
        <w:rPr>
          <w:rFonts w:hint="eastAsia" w:ascii="仿宋" w:hAnsi="仿宋" w:eastAsia="仿宋" w:cs="仿宋"/>
          <w:sz w:val="32"/>
          <w:szCs w:val="32"/>
          <w:lang w:val="en-US" w:eastAsia="zh-CN"/>
        </w:rPr>
        <w:t>抄送：安康高新区综合行政执法局环保应急大队</w:t>
      </w:r>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24215"/>
    <w:rsid w:val="027C71B2"/>
    <w:rsid w:val="05924215"/>
    <w:rsid w:val="1A4529BC"/>
    <w:rsid w:val="40C7311E"/>
    <w:rsid w:val="65E1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line="360" w:lineRule="auto"/>
      <w:outlineLvl w:val="1"/>
    </w:pPr>
    <w:rPr>
      <w:rFonts w:eastAsia="黑体" w:cs="Times New Roman"/>
      <w:bCs/>
      <w:color w:val="00FF00"/>
      <w:sz w:val="28"/>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0报告书正文"/>
    <w:basedOn w:val="1"/>
    <w:qFormat/>
    <w:uiPriority w:val="0"/>
    <w:pPr>
      <w:spacing w:line="440" w:lineRule="exact"/>
      <w:ind w:firstLine="200" w:firstLineChars="200"/>
    </w:pPr>
    <w:rPr>
      <w:rFonts w:ascii="Calibri" w:hAnsi="Calibri" w:eastAsia="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2025-05-26T07:23:00Z</dcterms:created>
  <dc:creator>lenovo</dc:creator>
  <cp:lastModifiedBy>lenovo</cp:lastModifiedBy>
  <cp:lastPrinted>2025-06-02T03:31:00Z</cp:lastPrinted>
  <dcterms:modified xsi:type="dcterms:W3CDTF">2025-06-06T09:07:34Z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