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A294B">
      <w:pPr>
        <w:rPr>
          <w:rFonts w:hint="default" w:ascii="Times New Roman" w:hAnsi="Times New Roman" w:eastAsia="方正仿宋_GB2312" w:cs="Times New Roman"/>
          <w:color w:val="auto"/>
          <w:kern w:val="21"/>
          <w:sz w:val="36"/>
          <w:szCs w:val="36"/>
          <w:lang w:val="en-US" w:eastAsia="zh-CN"/>
        </w:rPr>
      </w:pPr>
    </w:p>
    <w:p w14:paraId="0C5157C5">
      <w:pPr>
        <w:rPr>
          <w:rFonts w:hint="default" w:ascii="Times New Roman" w:hAnsi="Times New Roman" w:eastAsia="方正仿宋_GB2312" w:cs="Times New Roman"/>
          <w:color w:val="auto"/>
          <w:kern w:val="21"/>
          <w:sz w:val="36"/>
          <w:szCs w:val="36"/>
        </w:rPr>
      </w:pPr>
    </w:p>
    <w:p w14:paraId="5BBFC448">
      <w:pPr>
        <w:rPr>
          <w:rFonts w:hint="default" w:ascii="Times New Roman" w:hAnsi="Times New Roman" w:eastAsia="方正仿宋_GB2312" w:cs="Times New Roman"/>
          <w:color w:val="auto"/>
          <w:kern w:val="21"/>
          <w:sz w:val="36"/>
          <w:szCs w:val="36"/>
        </w:rPr>
      </w:pPr>
    </w:p>
    <w:p w14:paraId="02EF629C">
      <w:pPr>
        <w:rPr>
          <w:rFonts w:hint="default" w:ascii="Times New Roman" w:hAnsi="Times New Roman" w:eastAsia="方正仿宋_GB2312" w:cs="Times New Roman"/>
          <w:color w:val="auto"/>
          <w:kern w:val="21"/>
          <w:sz w:val="36"/>
          <w:szCs w:val="36"/>
        </w:rPr>
      </w:pPr>
    </w:p>
    <w:p w14:paraId="72696BCA">
      <w:pPr>
        <w:adjustRightInd w:val="0"/>
        <w:snapToGrid w:val="0"/>
        <w:jc w:val="center"/>
        <w:outlineLvl w:val="0"/>
        <w:rPr>
          <w:rFonts w:hint="default" w:ascii="Times New Roman" w:hAnsi="Times New Roman" w:eastAsia="方正小标宋_GBK" w:cs="Times New Roman"/>
          <w:bCs/>
          <w:color w:val="auto"/>
          <w:kern w:val="21"/>
          <w:sz w:val="72"/>
          <w:szCs w:val="72"/>
        </w:rPr>
      </w:pPr>
      <w:r>
        <w:rPr>
          <w:rFonts w:hint="default" w:ascii="Times New Roman" w:hAnsi="Times New Roman" w:eastAsia="方正小标宋_GBK" w:cs="Times New Roman"/>
          <w:bCs/>
          <w:color w:val="auto"/>
          <w:kern w:val="21"/>
          <w:sz w:val="72"/>
          <w:szCs w:val="72"/>
        </w:rPr>
        <w:t>建设项目环境影响报告表</w:t>
      </w:r>
    </w:p>
    <w:p w14:paraId="4E3C9725">
      <w:pPr>
        <w:adjustRightInd w:val="0"/>
        <w:snapToGrid w:val="0"/>
        <w:spacing w:before="192" w:beforeLines="80"/>
        <w:jc w:val="center"/>
        <w:rPr>
          <w:rFonts w:hint="default" w:ascii="Times New Roman" w:hAnsi="Times New Roman" w:eastAsia="仿宋" w:cs="Times New Roman"/>
          <w:color w:val="auto"/>
          <w:kern w:val="21"/>
          <w:sz w:val="44"/>
          <w:szCs w:val="44"/>
        </w:rPr>
      </w:pPr>
      <w:r>
        <w:rPr>
          <w:rFonts w:hint="default" w:ascii="Times New Roman" w:hAnsi="Times New Roman" w:eastAsia="楷体_GB2312" w:cs="Times New Roman"/>
          <w:bCs/>
          <w:color w:val="auto"/>
          <w:kern w:val="21"/>
          <w:sz w:val="48"/>
          <w:szCs w:val="48"/>
        </w:rPr>
        <w:t>（污染影响类）</w:t>
      </w:r>
    </w:p>
    <w:p w14:paraId="78CECBF4">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04A84FA8">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0541CDD2">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021FFD9A">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1666356B">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28FDA55E">
      <w:pPr>
        <w:pageBreakBefore w:val="0"/>
        <w:widowControl w:val="0"/>
        <w:kinsoku/>
        <w:wordWrap/>
        <w:overflowPunct/>
        <w:topLinePunct w:val="0"/>
        <w:autoSpaceDE/>
        <w:autoSpaceDN/>
        <w:bidi w:val="0"/>
        <w:adjustRightInd/>
        <w:snapToGrid/>
        <w:ind w:firstLine="1040"/>
        <w:textAlignment w:val="auto"/>
        <w:outlineLvl w:val="9"/>
        <w:rPr>
          <w:rFonts w:hint="default" w:ascii="Times New Roman" w:hAnsi="Times New Roman" w:eastAsia="仿宋" w:cs="Times New Roman"/>
          <w:color w:val="auto"/>
          <w:kern w:val="21"/>
          <w:sz w:val="44"/>
          <w:szCs w:val="44"/>
        </w:rPr>
      </w:pPr>
    </w:p>
    <w:p w14:paraId="21F40961">
      <w:pPr>
        <w:spacing w:line="360" w:lineRule="auto"/>
        <w:ind w:firstLine="720" w:firstLineChars="200"/>
        <w:rPr>
          <w:rFonts w:hint="default" w:ascii="Times New Roman" w:hAnsi="Times New Roman" w:eastAsia="方正仿宋_GB2312" w:cs="Times New Roman"/>
          <w:color w:val="auto"/>
          <w:sz w:val="36"/>
          <w:szCs w:val="40"/>
          <w:u w:val="single"/>
          <w:lang w:val="en-US" w:eastAsia="zh-CN"/>
        </w:rPr>
      </w:pPr>
      <w:bookmarkStart w:id="0" w:name="_Hlk57884087"/>
      <w:r>
        <w:rPr>
          <w:rFonts w:hint="default" w:ascii="Times New Roman" w:hAnsi="Times New Roman" w:eastAsia="方正仿宋_GB2312" w:cs="Times New Roman"/>
          <w:color w:val="auto"/>
          <w:sz w:val="36"/>
          <w:szCs w:val="40"/>
        </w:rPr>
        <w:t>项目名称：</w:t>
      </w:r>
      <w:r>
        <w:rPr>
          <w:rFonts w:hint="eastAsia" w:eastAsia="方正仿宋_GB2312" w:cs="Times New Roman"/>
          <w:color w:val="auto"/>
          <w:sz w:val="36"/>
          <w:szCs w:val="40"/>
          <w:u w:val="single"/>
          <w:lang w:val="en-US" w:eastAsia="zh-CN"/>
        </w:rPr>
        <w:t xml:space="preserve">       </w:t>
      </w:r>
      <w:r>
        <w:rPr>
          <w:rFonts w:hint="eastAsia" w:eastAsia="方正仿宋_GB2312" w:cs="Times New Roman"/>
          <w:color w:val="auto"/>
          <w:sz w:val="36"/>
          <w:szCs w:val="40"/>
          <w:u w:val="single"/>
          <w:lang w:eastAsia="zh-CN"/>
        </w:rPr>
        <w:t>新能源汽车机电产业园</w:t>
      </w:r>
      <w:r>
        <w:rPr>
          <w:rFonts w:hint="eastAsia" w:eastAsia="方正仿宋_GB2312" w:cs="Times New Roman"/>
          <w:color w:val="auto"/>
          <w:sz w:val="36"/>
          <w:szCs w:val="40"/>
          <w:u w:val="single"/>
          <w:lang w:val="en-US" w:eastAsia="zh-CN"/>
        </w:rPr>
        <w:t xml:space="preserve">     </w:t>
      </w:r>
    </w:p>
    <w:p w14:paraId="7F7F727B">
      <w:pPr>
        <w:adjustRightInd w:val="0"/>
        <w:snapToGrid w:val="0"/>
        <w:spacing w:line="360" w:lineRule="auto"/>
        <w:ind w:firstLine="720" w:firstLineChars="200"/>
        <w:rPr>
          <w:rFonts w:hint="default" w:ascii="Times New Roman" w:hAnsi="Times New Roman" w:eastAsia="方正仿宋_GB2312" w:cs="Times New Roman"/>
          <w:color w:val="auto"/>
          <w:sz w:val="36"/>
          <w:szCs w:val="40"/>
          <w:u w:val="single"/>
        </w:rPr>
      </w:pPr>
      <w:r>
        <w:rPr>
          <w:rFonts w:hint="default" w:ascii="Times New Roman" w:hAnsi="Times New Roman" w:eastAsia="方正仿宋_GB2312" w:cs="Times New Roman"/>
          <w:color w:val="auto"/>
          <w:sz w:val="36"/>
          <w:szCs w:val="40"/>
        </w:rPr>
        <w:t>建设单位（盖章）：</w:t>
      </w:r>
      <w:r>
        <w:rPr>
          <w:rFonts w:hint="eastAsia" w:eastAsia="方正仿宋_GB2312" w:cs="Times New Roman"/>
          <w:color w:val="auto"/>
          <w:sz w:val="36"/>
          <w:szCs w:val="40"/>
          <w:u w:val="single"/>
          <w:lang w:eastAsia="zh-CN"/>
        </w:rPr>
        <w:t>陕西轩意光电科技有限公司</w:t>
      </w:r>
    </w:p>
    <w:bookmarkEnd w:id="0"/>
    <w:p w14:paraId="305109D0">
      <w:pPr>
        <w:adjustRightInd w:val="0"/>
        <w:snapToGrid w:val="0"/>
        <w:spacing w:line="360" w:lineRule="auto"/>
        <w:ind w:firstLine="720" w:firstLineChars="200"/>
        <w:rPr>
          <w:rFonts w:hint="default" w:ascii="Times New Roman" w:hAnsi="Times New Roman" w:eastAsia="方正仿宋_GB2312" w:cs="Times New Roman"/>
          <w:color w:val="auto"/>
          <w:sz w:val="36"/>
          <w:szCs w:val="40"/>
          <w:u w:val="single"/>
        </w:rPr>
      </w:pPr>
      <w:r>
        <w:rPr>
          <w:rFonts w:hint="default" w:ascii="Times New Roman" w:hAnsi="Times New Roman" w:eastAsia="方正仿宋_GB2312" w:cs="Times New Roman"/>
          <w:color w:val="auto"/>
          <w:sz w:val="36"/>
          <w:szCs w:val="40"/>
        </w:rPr>
        <w:t>编制日期：</w:t>
      </w:r>
      <w:r>
        <w:rPr>
          <w:rFonts w:hint="default" w:ascii="Times New Roman" w:hAnsi="Times New Roman" w:eastAsia="方正仿宋_GB2312" w:cs="Times New Roman"/>
          <w:color w:val="auto"/>
          <w:sz w:val="36"/>
          <w:szCs w:val="40"/>
          <w:u w:val="single"/>
        </w:rPr>
        <w:t xml:space="preserve">           2024年</w:t>
      </w:r>
      <w:r>
        <w:rPr>
          <w:rFonts w:hint="eastAsia" w:eastAsia="方正仿宋_GB2312" w:cs="Times New Roman"/>
          <w:color w:val="auto"/>
          <w:sz w:val="36"/>
          <w:szCs w:val="40"/>
          <w:u w:val="single"/>
          <w:lang w:val="en-US" w:eastAsia="zh-CN"/>
        </w:rPr>
        <w:t>12</w:t>
      </w:r>
      <w:r>
        <w:rPr>
          <w:rFonts w:hint="default" w:ascii="Times New Roman" w:hAnsi="Times New Roman" w:eastAsia="方正仿宋_GB2312" w:cs="Times New Roman"/>
          <w:color w:val="auto"/>
          <w:sz w:val="36"/>
          <w:szCs w:val="40"/>
          <w:u w:val="single"/>
        </w:rPr>
        <w:t xml:space="preserve">月          </w:t>
      </w:r>
    </w:p>
    <w:p w14:paraId="002086E6">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1EAFD09C">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3779D332">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01218899">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2B7FBE6D">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658DA8D2">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72EC7F1C">
      <w:pPr>
        <w:adjustRightInd w:val="0"/>
        <w:snapToGrid w:val="0"/>
        <w:spacing w:line="288" w:lineRule="auto"/>
        <w:jc w:val="center"/>
        <w:rPr>
          <w:rFonts w:hint="default"/>
        </w:rPr>
      </w:pPr>
    </w:p>
    <w:p w14:paraId="381452F7">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067993B8">
      <w:pPr>
        <w:adjustRightInd w:val="0"/>
        <w:snapToGrid w:val="0"/>
        <w:spacing w:line="288" w:lineRule="auto"/>
        <w:jc w:val="center"/>
        <w:rPr>
          <w:rFonts w:hint="default" w:ascii="Times New Roman" w:hAnsi="Times New Roman" w:eastAsia="方正仿宋_GB2312" w:cs="Times New Roman"/>
          <w:color w:val="auto"/>
          <w:kern w:val="21"/>
          <w:sz w:val="36"/>
          <w:szCs w:val="36"/>
        </w:rPr>
      </w:pPr>
      <w:r>
        <w:rPr>
          <w:rFonts w:hint="default" w:ascii="Times New Roman" w:hAnsi="Times New Roman" w:eastAsia="楷体_GB2312" w:cs="Times New Roman"/>
          <w:color w:val="auto"/>
          <w:kern w:val="21"/>
          <w:sz w:val="36"/>
          <w:szCs w:val="36"/>
        </w:rPr>
        <w:t>中华人民共和国生态环境部制</w:t>
      </w:r>
      <w:r>
        <w:rPr>
          <w:rFonts w:hint="default" w:ascii="Times New Roman" w:hAnsi="Times New Roman" w:eastAsia="方正仿宋_GB2312" w:cs="Times New Roman"/>
          <w:color w:val="auto"/>
          <w:kern w:val="21"/>
          <w:sz w:val="36"/>
          <w:szCs w:val="36"/>
        </w:rPr>
        <w:t xml:space="preserve"> </w:t>
      </w:r>
    </w:p>
    <w:p w14:paraId="69B3C004">
      <w:pPr>
        <w:adjustRightInd w:val="0"/>
        <w:snapToGrid w:val="0"/>
        <w:spacing w:line="288" w:lineRule="auto"/>
        <w:jc w:val="center"/>
        <w:rPr>
          <w:rFonts w:hint="default" w:ascii="Times New Roman" w:hAnsi="Times New Roman" w:eastAsia="楷体_GB2312" w:cs="Times New Roman"/>
          <w:color w:val="auto"/>
          <w:kern w:val="21"/>
          <w:sz w:val="36"/>
          <w:szCs w:val="36"/>
        </w:rPr>
      </w:pPr>
    </w:p>
    <w:p w14:paraId="19D6B2BD">
      <w:pPr>
        <w:bidi w:val="0"/>
        <w:rPr>
          <w:rFonts w:hint="default"/>
        </w:rPr>
      </w:pPr>
    </w:p>
    <w:p w14:paraId="6BF795EC">
      <w:pPr>
        <w:adjustRightInd w:val="0"/>
        <w:snapToGrid w:val="0"/>
        <w:spacing w:line="288" w:lineRule="auto"/>
        <w:ind w:firstLine="1040"/>
        <w:rPr>
          <w:rFonts w:hint="default" w:ascii="Times New Roman" w:hAnsi="Times New Roman" w:eastAsia="方正仿宋_GB2312" w:cs="Times New Roman"/>
          <w:color w:val="auto"/>
          <w:kern w:val="21"/>
          <w:sz w:val="36"/>
          <w:szCs w:val="36"/>
        </w:rPr>
      </w:pPr>
    </w:p>
    <w:p w14:paraId="14BDCE39">
      <w:pPr>
        <w:pStyle w:val="3"/>
        <w:rPr>
          <w:rFonts w:hint="default"/>
        </w:rPr>
        <w:sectPr>
          <w:footerReference r:id="rId3" w:type="default"/>
          <w:type w:val="nextColumn"/>
          <w:pgSz w:w="11906" w:h="16838"/>
          <w:pgMar w:top="1418" w:right="1418" w:bottom="1418" w:left="1701" w:header="851" w:footer="1077" w:gutter="0"/>
          <w:pgBorders>
            <w:top w:val="none" w:sz="0" w:space="0"/>
            <w:left w:val="none" w:sz="0" w:space="0"/>
            <w:bottom w:val="none" w:sz="0" w:space="0"/>
            <w:right w:val="none" w:sz="0" w:space="0"/>
          </w:pgBorders>
          <w:pgNumType w:start="3"/>
          <w:cols w:space="720" w:num="1"/>
          <w:docGrid w:linePitch="312" w:charSpace="0"/>
        </w:sectPr>
      </w:pPr>
    </w:p>
    <w:p w14:paraId="07721DE4">
      <w:pPr>
        <w:pStyle w:val="30"/>
        <w:adjustRightInd w:val="0"/>
        <w:snapToGrid w:val="0"/>
        <w:jc w:val="center"/>
        <w:outlineLvl w:val="0"/>
        <w:rPr>
          <w:rFonts w:hint="default" w:ascii="Times New Roman" w:hAnsi="Times New Roman" w:eastAsia="黑体" w:cs="Times New Roman"/>
          <w:snapToGrid w:val="0"/>
          <w:color w:val="auto"/>
          <w:kern w:val="21"/>
          <w:sz w:val="30"/>
          <w:szCs w:val="30"/>
        </w:rPr>
      </w:pPr>
      <w:r>
        <w:rPr>
          <w:rFonts w:hint="default" w:ascii="Times New Roman" w:hAnsi="Times New Roman" w:eastAsia="黑体" w:cs="Times New Roman"/>
          <w:snapToGrid w:val="0"/>
          <w:color w:val="auto"/>
          <w:kern w:val="21"/>
          <w:sz w:val="30"/>
          <w:szCs w:val="30"/>
        </w:rPr>
        <w:t>一、建设项目基本情况</w:t>
      </w:r>
    </w:p>
    <w:tbl>
      <w:tblPr>
        <w:tblStyle w:val="35"/>
        <w:tblW w:w="49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89"/>
        <w:gridCol w:w="2193"/>
        <w:gridCol w:w="2099"/>
        <w:gridCol w:w="2653"/>
      </w:tblGrid>
      <w:tr w14:paraId="19D9C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221107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建设项目名称</w:t>
            </w:r>
          </w:p>
        </w:tc>
        <w:tc>
          <w:tcPr>
            <w:tcW w:w="3976" w:type="pct"/>
            <w:gridSpan w:val="3"/>
            <w:vAlign w:val="center"/>
          </w:tcPr>
          <w:p w14:paraId="78C88C50">
            <w:pPr>
              <w:keepNext w:val="0"/>
              <w:keepLines w:val="0"/>
              <w:suppressLineNumbers w:val="0"/>
              <w:spacing w:before="0" w:beforeAutospacing="0" w:after="0" w:afterAutospacing="0" w:line="276" w:lineRule="auto"/>
              <w:ind w:left="0" w:right="0"/>
              <w:jc w:val="center"/>
              <w:textAlignment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新能源汽车机电产业园</w:t>
            </w:r>
          </w:p>
        </w:tc>
      </w:tr>
      <w:tr w14:paraId="41E34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2C1EA8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项目代码</w:t>
            </w:r>
          </w:p>
        </w:tc>
        <w:tc>
          <w:tcPr>
            <w:tcW w:w="3976" w:type="pct"/>
            <w:gridSpan w:val="3"/>
            <w:vAlign w:val="center"/>
          </w:tcPr>
          <w:p w14:paraId="1C86D4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2406-610961-04-01-648733</w:t>
            </w:r>
          </w:p>
        </w:tc>
      </w:tr>
      <w:tr w14:paraId="49C58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13F02A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rPr>
              <w:t>建设单位联系人</w:t>
            </w:r>
          </w:p>
        </w:tc>
        <w:tc>
          <w:tcPr>
            <w:tcW w:w="1255" w:type="pct"/>
            <w:vAlign w:val="center"/>
          </w:tcPr>
          <w:p w14:paraId="2CE433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寇玺恒</w:t>
            </w:r>
          </w:p>
        </w:tc>
        <w:tc>
          <w:tcPr>
            <w:tcW w:w="1201" w:type="pct"/>
            <w:vAlign w:val="center"/>
          </w:tcPr>
          <w:p w14:paraId="28E371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rPr>
              <w:t>联系方式</w:t>
            </w:r>
          </w:p>
        </w:tc>
        <w:tc>
          <w:tcPr>
            <w:tcW w:w="1518" w:type="pct"/>
            <w:vAlign w:val="center"/>
          </w:tcPr>
          <w:p w14:paraId="101DD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15829709242</w:t>
            </w:r>
          </w:p>
        </w:tc>
      </w:tr>
      <w:tr w14:paraId="58F53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3F736B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建设地点</w:t>
            </w:r>
          </w:p>
        </w:tc>
        <w:tc>
          <w:tcPr>
            <w:tcW w:w="3976" w:type="pct"/>
            <w:gridSpan w:val="3"/>
            <w:vAlign w:val="center"/>
          </w:tcPr>
          <w:p w14:paraId="101C37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安康</w:t>
            </w:r>
            <w:r>
              <w:rPr>
                <w:rFonts w:hint="eastAsia" w:cs="Times New Roman"/>
                <w:color w:val="auto"/>
                <w:sz w:val="24"/>
                <w:lang w:val="en-US" w:eastAsia="zh-CN"/>
              </w:rPr>
              <w:t>市</w:t>
            </w:r>
            <w:r>
              <w:rPr>
                <w:rFonts w:hint="default" w:ascii="Times New Roman" w:hAnsi="Times New Roman" w:eastAsia="宋体" w:cs="Times New Roman"/>
                <w:color w:val="auto"/>
                <w:sz w:val="24"/>
                <w:lang w:val="en-US" w:eastAsia="zh-CN"/>
              </w:rPr>
              <w:t>高新区创新路以南、民主路以西</w:t>
            </w:r>
          </w:p>
        </w:tc>
      </w:tr>
      <w:tr w14:paraId="6B626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78FC59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地理坐标</w:t>
            </w:r>
          </w:p>
        </w:tc>
        <w:tc>
          <w:tcPr>
            <w:tcW w:w="3976" w:type="pct"/>
            <w:gridSpan w:val="3"/>
            <w:vAlign w:val="center"/>
          </w:tcPr>
          <w:p w14:paraId="14439E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u w:val="single"/>
              </w:rPr>
              <w:t xml:space="preserve"> 108 度 56 分 9.08</w:t>
            </w:r>
            <w:r>
              <w:rPr>
                <w:rFonts w:hint="eastAsia" w:cs="Times New Roman"/>
                <w:color w:val="auto"/>
                <w:sz w:val="24"/>
                <w:highlight w:val="none"/>
                <w:u w:val="single"/>
                <w:lang w:val="en-US" w:eastAsia="zh-CN"/>
              </w:rPr>
              <w:t>8</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 xml:space="preserve"> 3</w:t>
            </w:r>
            <w:r>
              <w:rPr>
                <w:rFonts w:hint="eastAsia" w:cs="Times New Roman"/>
                <w:color w:val="auto"/>
                <w:sz w:val="24"/>
                <w:highlight w:val="none"/>
                <w:u w:val="single"/>
                <w:lang w:val="en-US" w:eastAsia="zh-CN"/>
              </w:rPr>
              <w:t>2</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 xml:space="preserve"> </w:t>
            </w:r>
            <w:r>
              <w:rPr>
                <w:rFonts w:hint="eastAsia" w:cs="Times New Roman"/>
                <w:color w:val="auto"/>
                <w:sz w:val="24"/>
                <w:highlight w:val="none"/>
                <w:u w:val="single"/>
                <w:lang w:val="en-US" w:eastAsia="zh-CN"/>
              </w:rPr>
              <w:t>43</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分</w:t>
            </w:r>
            <w:r>
              <w:rPr>
                <w:rFonts w:hint="default" w:ascii="Times New Roman" w:hAnsi="Times New Roman" w:eastAsia="宋体" w:cs="Times New Roman"/>
                <w:color w:val="auto"/>
                <w:sz w:val="24"/>
                <w:highlight w:val="none"/>
                <w:u w:val="single"/>
              </w:rPr>
              <w:t xml:space="preserve"> </w:t>
            </w:r>
            <w:r>
              <w:rPr>
                <w:rFonts w:hint="eastAsia" w:cs="Times New Roman"/>
                <w:color w:val="auto"/>
                <w:sz w:val="24"/>
                <w:highlight w:val="none"/>
                <w:u w:val="single"/>
                <w:lang w:val="en-US" w:eastAsia="zh-CN"/>
              </w:rPr>
              <w:t>19.246</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秒）</w:t>
            </w:r>
          </w:p>
        </w:tc>
      </w:tr>
      <w:tr w14:paraId="249CF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5AB7BD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国民经济</w:t>
            </w:r>
          </w:p>
          <w:p w14:paraId="0C2FDE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行业类别</w:t>
            </w:r>
          </w:p>
        </w:tc>
        <w:tc>
          <w:tcPr>
            <w:tcW w:w="1255" w:type="pct"/>
            <w:vAlign w:val="center"/>
          </w:tcPr>
          <w:p w14:paraId="6DA1CA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cs="Times New Roman" w:eastAsiaTheme="minorEastAsia"/>
                <w:sz w:val="24"/>
              </w:rPr>
              <w:t>C3813</w:t>
            </w:r>
            <w:r>
              <w:rPr>
                <w:rFonts w:hint="eastAsia" w:ascii="Times New Roman" w:hAnsi="Times New Roman" w:cs="Times New Roman" w:eastAsiaTheme="minorEastAsia"/>
                <w:sz w:val="24"/>
              </w:rPr>
              <w:t>微特电机及组件制造</w:t>
            </w:r>
          </w:p>
        </w:tc>
        <w:tc>
          <w:tcPr>
            <w:tcW w:w="1201" w:type="pct"/>
            <w:vAlign w:val="center"/>
          </w:tcPr>
          <w:p w14:paraId="52699C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09D4D8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rPr>
              <w:t>行业类别</w:t>
            </w:r>
          </w:p>
        </w:tc>
        <w:tc>
          <w:tcPr>
            <w:tcW w:w="1518" w:type="pct"/>
            <w:vAlign w:val="center"/>
          </w:tcPr>
          <w:p w14:paraId="1EADFC1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三十五、电气机械和器材制造业38-77电机制造381-其他</w:t>
            </w:r>
          </w:p>
        </w:tc>
      </w:tr>
      <w:tr w14:paraId="3CA77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55665C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建设性质</w:t>
            </w:r>
          </w:p>
        </w:tc>
        <w:tc>
          <w:tcPr>
            <w:tcW w:w="1255" w:type="pct"/>
            <w:vAlign w:val="center"/>
          </w:tcPr>
          <w:p w14:paraId="1E7C3164">
            <w:pPr>
              <w:keepNext w:val="0"/>
              <w:keepLines w:val="0"/>
              <w:suppressLineNumbers w:val="0"/>
              <w:adjustRightInd w:val="0"/>
              <w:snapToGrid w:val="0"/>
              <w:spacing w:before="0" w:beforeAutospacing="0" w:after="0" w:afterAutospacing="0"/>
              <w:ind w:left="0" w:right="0" w:firstLine="120" w:firstLineChars="5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新建（迁建）</w:t>
            </w:r>
          </w:p>
          <w:p w14:paraId="634C325A">
            <w:pPr>
              <w:keepNext w:val="0"/>
              <w:keepLines w:val="0"/>
              <w:suppressLineNumbers w:val="0"/>
              <w:adjustRightInd w:val="0"/>
              <w:snapToGrid w:val="0"/>
              <w:spacing w:before="0" w:beforeAutospacing="0" w:after="0" w:afterAutospacing="0"/>
              <w:ind w:left="0" w:right="0" w:firstLine="120" w:firstLineChars="5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改建</w:t>
            </w:r>
          </w:p>
          <w:p w14:paraId="5AC10E22">
            <w:pPr>
              <w:keepNext w:val="0"/>
              <w:keepLines w:val="0"/>
              <w:suppressLineNumbers w:val="0"/>
              <w:adjustRightInd w:val="0"/>
              <w:snapToGrid w:val="0"/>
              <w:spacing w:before="0" w:beforeAutospacing="0" w:after="0" w:afterAutospacing="0"/>
              <w:ind w:left="0" w:right="0" w:firstLine="120" w:firstLineChars="5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扩建</w:t>
            </w:r>
          </w:p>
          <w:p w14:paraId="0A866C5B">
            <w:pPr>
              <w:keepNext w:val="0"/>
              <w:keepLines w:val="0"/>
              <w:suppressLineNumbers w:val="0"/>
              <w:adjustRightInd w:val="0"/>
              <w:snapToGrid w:val="0"/>
              <w:spacing w:before="0" w:beforeAutospacing="0" w:after="0" w:afterAutospacing="0"/>
              <w:ind w:left="0" w:right="0" w:firstLine="120" w:firstLineChars="5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技术改造</w:t>
            </w:r>
          </w:p>
        </w:tc>
        <w:tc>
          <w:tcPr>
            <w:tcW w:w="1201" w:type="pct"/>
            <w:vAlign w:val="center"/>
          </w:tcPr>
          <w:p w14:paraId="25D75A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建设项目申报情形</w:t>
            </w:r>
          </w:p>
        </w:tc>
        <w:tc>
          <w:tcPr>
            <w:tcW w:w="1518" w:type="pct"/>
            <w:vAlign w:val="center"/>
          </w:tcPr>
          <w:p w14:paraId="027E5AFB">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1"/>
                <w:sz w:val="24"/>
              </w:rPr>
            </w:pP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21"/>
                <w:sz w:val="24"/>
              </w:rPr>
              <w:t>首次申报项目</w:t>
            </w:r>
          </w:p>
          <w:p w14:paraId="3F07B4A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不予批准后再次申报项目</w:t>
            </w:r>
          </w:p>
          <w:p w14:paraId="118F192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超五年重新审核项目</w:t>
            </w:r>
          </w:p>
          <w:p w14:paraId="16C6BC7D">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1"/>
                <w:sz w:val="24"/>
              </w:rPr>
            </w:pPr>
            <w:r>
              <w:rPr>
                <w:rFonts w:hint="eastAsia" w:cs="Times New Roman"/>
                <w:color w:val="auto"/>
                <w:sz w:val="24"/>
                <w:lang w:eastAsia="zh-CN"/>
              </w:rPr>
              <w:t>□</w:t>
            </w:r>
            <w:r>
              <w:rPr>
                <w:rFonts w:hint="default" w:ascii="Times New Roman" w:hAnsi="Times New Roman" w:eastAsia="宋体" w:cs="Times New Roman"/>
                <w:color w:val="auto"/>
                <w:kern w:val="21"/>
                <w:sz w:val="24"/>
              </w:rPr>
              <w:t>重大变动重新报批项目</w:t>
            </w:r>
          </w:p>
        </w:tc>
      </w:tr>
      <w:tr w14:paraId="19803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023" w:type="pct"/>
            <w:tcMar>
              <w:top w:w="16" w:type="dxa"/>
              <w:left w:w="16" w:type="dxa"/>
              <w:right w:w="16" w:type="dxa"/>
            </w:tcMar>
            <w:vAlign w:val="center"/>
          </w:tcPr>
          <w:p w14:paraId="1B0F32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项目审批（核准/备案）部门</w:t>
            </w:r>
          </w:p>
        </w:tc>
        <w:tc>
          <w:tcPr>
            <w:tcW w:w="1255" w:type="pct"/>
            <w:vAlign w:val="center"/>
          </w:tcPr>
          <w:p w14:paraId="4CE40B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lang w:val="en-US"/>
              </w:rPr>
            </w:pPr>
            <w:r>
              <w:rPr>
                <w:rFonts w:hint="default" w:ascii="Times New Roman" w:hAnsi="Times New Roman" w:eastAsia="宋体" w:cs="Times New Roman"/>
                <w:color w:val="auto"/>
                <w:kern w:val="21"/>
                <w:sz w:val="24"/>
                <w:lang w:val="en-US"/>
              </w:rPr>
              <w:t>安康高新区经济发展科技局</w:t>
            </w:r>
          </w:p>
        </w:tc>
        <w:tc>
          <w:tcPr>
            <w:tcW w:w="1201" w:type="pct"/>
            <w:vAlign w:val="center"/>
          </w:tcPr>
          <w:p w14:paraId="6BB2AE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14:paraId="463E2B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sz w:val="24"/>
              </w:rPr>
              <w:t>备案）文号</w:t>
            </w:r>
          </w:p>
        </w:tc>
        <w:tc>
          <w:tcPr>
            <w:tcW w:w="1518" w:type="pct"/>
            <w:vAlign w:val="center"/>
          </w:tcPr>
          <w:p w14:paraId="79584A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eastAsia" w:cs="Times New Roman"/>
                <w:color w:val="FF0000"/>
                <w:sz w:val="24"/>
                <w:lang w:val="en-US" w:eastAsia="zh-CN"/>
              </w:rPr>
              <w:t>2406-610961-04-01-648733</w:t>
            </w:r>
          </w:p>
        </w:tc>
      </w:tr>
      <w:tr w14:paraId="3B8A1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325199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总投资（万元）</w:t>
            </w:r>
          </w:p>
        </w:tc>
        <w:tc>
          <w:tcPr>
            <w:tcW w:w="1255" w:type="pct"/>
            <w:vAlign w:val="center"/>
          </w:tcPr>
          <w:p w14:paraId="30A59E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lang w:val="en-US" w:eastAsia="zh-CN"/>
              </w:rPr>
            </w:pPr>
            <w:r>
              <w:rPr>
                <w:rFonts w:hint="eastAsia" w:cs="Times New Roman"/>
                <w:color w:val="000000" w:themeColor="text1"/>
                <w:kern w:val="21"/>
                <w:sz w:val="24"/>
                <w:lang w:val="en-US" w:eastAsia="zh-CN"/>
                <w14:textFill>
                  <w14:solidFill>
                    <w14:schemeClr w14:val="tx1"/>
                  </w14:solidFill>
                </w14:textFill>
              </w:rPr>
              <w:t>20000</w:t>
            </w:r>
          </w:p>
        </w:tc>
        <w:tc>
          <w:tcPr>
            <w:tcW w:w="1201" w:type="pct"/>
            <w:tcMar>
              <w:top w:w="16" w:type="dxa"/>
              <w:left w:w="16" w:type="dxa"/>
              <w:right w:w="16" w:type="dxa"/>
            </w:tcMar>
            <w:vAlign w:val="center"/>
          </w:tcPr>
          <w:p w14:paraId="1A7681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环保投资（万元）</w:t>
            </w:r>
          </w:p>
        </w:tc>
        <w:tc>
          <w:tcPr>
            <w:tcW w:w="1518" w:type="pct"/>
            <w:vAlign w:val="center"/>
          </w:tcPr>
          <w:p w14:paraId="1CF553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cs="Times New Roman"/>
                <w:color w:val="FF0000"/>
                <w:sz w:val="24"/>
                <w:lang w:val="en-US" w:eastAsia="zh-CN"/>
              </w:rPr>
              <w:t>177.6</w:t>
            </w:r>
          </w:p>
        </w:tc>
      </w:tr>
      <w:tr w14:paraId="5D20B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3" w:type="pct"/>
            <w:tcMar>
              <w:top w:w="16" w:type="dxa"/>
              <w:left w:w="16" w:type="dxa"/>
              <w:right w:w="16" w:type="dxa"/>
            </w:tcMar>
            <w:vAlign w:val="center"/>
          </w:tcPr>
          <w:p w14:paraId="1A9828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环保投资占比（%）</w:t>
            </w:r>
          </w:p>
        </w:tc>
        <w:tc>
          <w:tcPr>
            <w:tcW w:w="1255" w:type="pct"/>
            <w:vAlign w:val="center"/>
          </w:tcPr>
          <w:p w14:paraId="39E077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lang w:val="en-US" w:eastAsia="zh-CN"/>
              </w:rPr>
            </w:pPr>
            <w:r>
              <w:rPr>
                <w:rFonts w:hint="eastAsia" w:cs="Times New Roman"/>
                <w:color w:val="FF0000"/>
                <w:kern w:val="21"/>
                <w:sz w:val="24"/>
                <w:highlight w:val="none"/>
                <w:lang w:val="en-US" w:eastAsia="zh-CN"/>
              </w:rPr>
              <w:t>0.89</w:t>
            </w:r>
          </w:p>
        </w:tc>
        <w:tc>
          <w:tcPr>
            <w:tcW w:w="1201" w:type="pct"/>
            <w:tcMar>
              <w:top w:w="16" w:type="dxa"/>
              <w:left w:w="16" w:type="dxa"/>
              <w:right w:w="16" w:type="dxa"/>
            </w:tcMar>
            <w:vAlign w:val="center"/>
          </w:tcPr>
          <w:p w14:paraId="689C0E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施工工期</w:t>
            </w:r>
          </w:p>
        </w:tc>
        <w:tc>
          <w:tcPr>
            <w:tcW w:w="1518" w:type="pct"/>
            <w:vAlign w:val="center"/>
          </w:tcPr>
          <w:p w14:paraId="7A9D85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eastAsia" w:cs="Times New Roman"/>
                <w:color w:val="auto"/>
                <w:kern w:val="21"/>
                <w:sz w:val="24"/>
                <w:lang w:val="en-US" w:eastAsia="zh-CN"/>
              </w:rPr>
              <w:t>12</w:t>
            </w:r>
            <w:r>
              <w:rPr>
                <w:rFonts w:hint="default" w:ascii="Times New Roman" w:hAnsi="Times New Roman" w:eastAsia="宋体" w:cs="Times New Roman"/>
                <w:color w:val="auto"/>
                <w:kern w:val="21"/>
                <w:sz w:val="24"/>
              </w:rPr>
              <w:t>个月</w:t>
            </w:r>
          </w:p>
        </w:tc>
      </w:tr>
      <w:tr w14:paraId="4440D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1023" w:type="pct"/>
            <w:tcMar>
              <w:top w:w="16" w:type="dxa"/>
              <w:left w:w="16" w:type="dxa"/>
              <w:right w:w="16" w:type="dxa"/>
            </w:tcMar>
            <w:vAlign w:val="center"/>
          </w:tcPr>
          <w:p w14:paraId="595E78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是否开工建设</w:t>
            </w:r>
          </w:p>
        </w:tc>
        <w:tc>
          <w:tcPr>
            <w:tcW w:w="1255" w:type="pct"/>
            <w:vAlign w:val="center"/>
          </w:tcPr>
          <w:p w14:paraId="09D340F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1"/>
                <w:sz w:val="24"/>
              </w:rPr>
            </w:pP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21"/>
                <w:sz w:val="24"/>
              </w:rPr>
              <w:t>否</w:t>
            </w:r>
          </w:p>
          <w:p w14:paraId="035983C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1"/>
                <w:sz w:val="24"/>
              </w:rPr>
            </w:pP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21"/>
                <w:sz w:val="24"/>
              </w:rPr>
              <w:t>是：</w:t>
            </w:r>
            <w:r>
              <w:rPr>
                <w:rFonts w:hint="default" w:ascii="Times New Roman" w:hAnsi="Times New Roman" w:eastAsia="宋体" w:cs="Times New Roman"/>
                <w:color w:val="auto"/>
                <w:sz w:val="24"/>
                <w:u w:val="single"/>
              </w:rPr>
              <w:t xml:space="preserve">  </w:t>
            </w:r>
          </w:p>
        </w:tc>
        <w:tc>
          <w:tcPr>
            <w:tcW w:w="1201" w:type="pct"/>
            <w:tcMar>
              <w:top w:w="16" w:type="dxa"/>
              <w:left w:w="16" w:type="dxa"/>
              <w:right w:w="16" w:type="dxa"/>
            </w:tcMar>
            <w:vAlign w:val="center"/>
          </w:tcPr>
          <w:p w14:paraId="7B77D2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用地（用海）</w:t>
            </w:r>
          </w:p>
          <w:p w14:paraId="54BB2D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面积（m</w:t>
            </w:r>
            <w:r>
              <w:rPr>
                <w:rFonts w:hint="default" w:ascii="Times New Roman" w:hAnsi="Times New Roman" w:eastAsia="宋体" w:cs="Times New Roman"/>
                <w:color w:val="auto"/>
                <w:kern w:val="21"/>
                <w:sz w:val="24"/>
                <w:vertAlign w:val="superscript"/>
              </w:rPr>
              <w:t>2</w:t>
            </w:r>
            <w:r>
              <w:rPr>
                <w:rFonts w:hint="default" w:ascii="Times New Roman" w:hAnsi="Times New Roman" w:eastAsia="宋体" w:cs="Times New Roman"/>
                <w:color w:val="auto"/>
                <w:kern w:val="21"/>
                <w:sz w:val="24"/>
              </w:rPr>
              <w:t>）</w:t>
            </w:r>
          </w:p>
        </w:tc>
        <w:tc>
          <w:tcPr>
            <w:tcW w:w="1518" w:type="pct"/>
            <w:vAlign w:val="center"/>
          </w:tcPr>
          <w:p w14:paraId="6D4E79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lang w:val="en-US" w:eastAsia="zh-CN"/>
              </w:rPr>
            </w:pPr>
            <w:r>
              <w:rPr>
                <w:rFonts w:hint="eastAsia" w:cs="Times New Roman"/>
                <w:color w:val="000000" w:themeColor="text1"/>
                <w:kern w:val="21"/>
                <w:sz w:val="24"/>
                <w:highlight w:val="none"/>
                <w:lang w:val="en-US" w:eastAsia="zh-CN"/>
                <w14:textFill>
                  <w14:solidFill>
                    <w14:schemeClr w14:val="tx1"/>
                  </w14:solidFill>
                </w14:textFill>
              </w:rPr>
              <w:t>29103.31</w:t>
            </w:r>
          </w:p>
        </w:tc>
      </w:tr>
      <w:tr w14:paraId="305B1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1023" w:type="pct"/>
            <w:vAlign w:val="center"/>
          </w:tcPr>
          <w:p w14:paraId="59AB0EE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专项评价设置情况</w:t>
            </w:r>
          </w:p>
        </w:tc>
        <w:tc>
          <w:tcPr>
            <w:tcW w:w="3976" w:type="pct"/>
            <w:gridSpan w:val="3"/>
            <w:vAlign w:val="center"/>
          </w:tcPr>
          <w:p w14:paraId="6AABB153">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kern w:val="0"/>
                <w:sz w:val="24"/>
                <w:szCs w:val="24"/>
              </w:rPr>
              <w:t>对照《建设项目环境影响报告表编制技术指南（污染影响类）》（试行）中专项评价设置原则表，本项目不需开展专项评价工作，具体对照分析见表1-1</w:t>
            </w:r>
            <w:r>
              <w:rPr>
                <w:rFonts w:hint="default" w:ascii="Times New Roman" w:hAnsi="Times New Roman" w:eastAsia="宋体" w:cs="Times New Roman"/>
                <w:color w:val="auto"/>
                <w:kern w:val="0"/>
                <w:sz w:val="24"/>
                <w:szCs w:val="24"/>
                <w:lang w:val="en-US" w:eastAsia="zh-CN" w:bidi="ar"/>
              </w:rPr>
              <w:t>。</w:t>
            </w:r>
          </w:p>
          <w:p w14:paraId="2BFE2D15">
            <w:pPr>
              <w:keepNext w:val="0"/>
              <w:keepLines w:val="0"/>
              <w:numPr>
                <w:ilvl w:val="0"/>
                <w:numId w:val="0"/>
              </w:numPr>
              <w:suppressLineNumbers w:val="0"/>
              <w:tabs>
                <w:tab w:val="left" w:pos="0"/>
              </w:tabs>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eastAsia" w:cs="Times New Roman"/>
                <w:color w:val="auto"/>
                <w:szCs w:val="21"/>
                <w:lang w:val="en-US" w:eastAsia="zh-CN"/>
              </w:rPr>
              <w:t xml:space="preserve">表1-1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b/>
                <w:bCs/>
                <w:color w:val="auto"/>
                <w:szCs w:val="21"/>
              </w:rPr>
              <w:t>专项评价设置情况表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9"/>
              <w:gridCol w:w="2778"/>
              <w:gridCol w:w="2099"/>
              <w:gridCol w:w="913"/>
            </w:tblGrid>
            <w:tr w14:paraId="175576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71DE4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专项评价类别</w:t>
                  </w:r>
                </w:p>
              </w:tc>
              <w:tc>
                <w:tcPr>
                  <w:tcW w:w="2066" w:type="pct"/>
                  <w:vAlign w:val="center"/>
                </w:tcPr>
                <w:p w14:paraId="3F6D1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设置原则</w:t>
                  </w:r>
                </w:p>
              </w:tc>
              <w:tc>
                <w:tcPr>
                  <w:tcW w:w="1562" w:type="pct"/>
                  <w:vAlign w:val="center"/>
                </w:tcPr>
                <w:p w14:paraId="75FF5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679" w:type="pct"/>
                  <w:vAlign w:val="center"/>
                </w:tcPr>
                <w:p w14:paraId="5E77A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专题设置情况</w:t>
                  </w:r>
                </w:p>
              </w:tc>
            </w:tr>
            <w:tr w14:paraId="551D11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3FE1F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066" w:type="pct"/>
                  <w:vAlign w:val="center"/>
                </w:tcPr>
                <w:p w14:paraId="1D6E0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排放废气含有有毒有害污染物、二噁英、苯并[a]芘、氰化物、氯气且厂界外500米范围内有环境空气保护目标的建设项目。</w:t>
                  </w:r>
                </w:p>
              </w:tc>
              <w:tc>
                <w:tcPr>
                  <w:tcW w:w="1562" w:type="pct"/>
                  <w:vAlign w:val="center"/>
                </w:tcPr>
                <w:p w14:paraId="27C66D60">
                  <w:pPr>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000000"/>
                      <w:kern w:val="0"/>
                      <w:sz w:val="21"/>
                      <w:szCs w:val="21"/>
                      <w:lang w:val="en-US" w:eastAsia="zh-CN" w:bidi="ar"/>
                    </w:rPr>
                    <w:t>本项目废气污染物主要为颗粒物、非甲烷总烃，</w:t>
                  </w:r>
                  <w:r>
                    <w:rPr>
                      <w:rFonts w:hint="default" w:ascii="Times New Roman" w:hAnsi="Times New Roman" w:eastAsia="宋体" w:cs="Times New Roman"/>
                      <w:color w:val="auto"/>
                      <w:sz w:val="21"/>
                      <w:szCs w:val="21"/>
                    </w:rPr>
                    <w:t>本项目不涉及二噁英、苯并[a]芘、氰化物、氯气等废气排放</w:t>
                  </w:r>
                  <w:r>
                    <w:rPr>
                      <w:rFonts w:hint="eastAsia" w:cs="Times New Roman"/>
                      <w:color w:val="auto"/>
                      <w:sz w:val="21"/>
                      <w:szCs w:val="21"/>
                      <w:lang w:eastAsia="zh-CN"/>
                    </w:rPr>
                    <w:t>。</w:t>
                  </w:r>
                </w:p>
              </w:tc>
              <w:tc>
                <w:tcPr>
                  <w:tcW w:w="679" w:type="pct"/>
                  <w:vAlign w:val="center"/>
                </w:tcPr>
                <w:p w14:paraId="22415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2B2227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4BF67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066" w:type="pct"/>
                  <w:vAlign w:val="center"/>
                </w:tcPr>
                <w:p w14:paraId="6FE60E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w:t>
                  </w:r>
                </w:p>
                <w:p w14:paraId="64F21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新增废水直排的污水集中处理厂。</w:t>
                  </w:r>
                </w:p>
              </w:tc>
              <w:tc>
                <w:tcPr>
                  <w:tcW w:w="1562" w:type="pct"/>
                  <w:vAlign w:val="center"/>
                </w:tcPr>
                <w:p w14:paraId="7850B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本项目废水排入污水处理厂处理，不直排。</w:t>
                  </w:r>
                </w:p>
              </w:tc>
              <w:tc>
                <w:tcPr>
                  <w:tcW w:w="679" w:type="pct"/>
                  <w:vAlign w:val="center"/>
                </w:tcPr>
                <w:p w14:paraId="0D5F1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010969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138AF7D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地下水</w:t>
                  </w:r>
                </w:p>
              </w:tc>
              <w:tc>
                <w:tcPr>
                  <w:tcW w:w="2778" w:type="dxa"/>
                  <w:vAlign w:val="center"/>
                </w:tcPr>
                <w:p w14:paraId="12F12770">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地下水原则上不开展专项评价，及集中式饮用水水源和热</w:t>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、矿泉水、温泉等特殊地下水资源保护区的开展地下水专项评价工作</w:t>
                  </w:r>
                  <w:r>
                    <w:rPr>
                      <w:rFonts w:hint="default" w:ascii="Times New Roman" w:hAnsi="Times New Roman" w:eastAsia="宋体" w:cs="Times New Roman"/>
                      <w:color w:val="auto"/>
                      <w:kern w:val="0"/>
                      <w:sz w:val="21"/>
                      <w:szCs w:val="21"/>
                      <w:lang w:eastAsia="zh-CN"/>
                    </w:rPr>
                    <w:t>。</w:t>
                  </w:r>
                </w:p>
              </w:tc>
              <w:tc>
                <w:tcPr>
                  <w:tcW w:w="2100" w:type="dxa"/>
                  <w:vAlign w:val="center"/>
                </w:tcPr>
                <w:p w14:paraId="090B65CB">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本项目不涉及集中式饮用水水源和热水、矿泉水、温泉等特殊地下水资源保护区</w:t>
                  </w:r>
                  <w:r>
                    <w:rPr>
                      <w:rFonts w:hint="default" w:ascii="Times New Roman" w:hAnsi="Times New Roman" w:eastAsia="宋体" w:cs="Times New Roman"/>
                      <w:color w:val="auto"/>
                      <w:kern w:val="0"/>
                      <w:sz w:val="21"/>
                      <w:szCs w:val="21"/>
                      <w:lang w:eastAsia="zh-CN"/>
                    </w:rPr>
                    <w:t>。</w:t>
                  </w:r>
                </w:p>
              </w:tc>
              <w:tc>
                <w:tcPr>
                  <w:tcW w:w="913" w:type="dxa"/>
                  <w:vAlign w:val="center"/>
                </w:tcPr>
                <w:p w14:paraId="3B160CE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6E569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6BDA7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066" w:type="pct"/>
                  <w:vAlign w:val="center"/>
                </w:tcPr>
                <w:p w14:paraId="5271F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有毒有害和易燃易爆危险物质存储量超过临界量的建设项目。</w:t>
                  </w:r>
                </w:p>
              </w:tc>
              <w:tc>
                <w:tcPr>
                  <w:tcW w:w="1562" w:type="pct"/>
                  <w:vAlign w:val="center"/>
                </w:tcPr>
                <w:p w14:paraId="1644A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本项目危废暂存量未</w:t>
                  </w:r>
                  <w:r>
                    <w:rPr>
                      <w:rFonts w:hint="default" w:ascii="Times New Roman" w:hAnsi="Times New Roman" w:eastAsia="宋体" w:cs="Times New Roman"/>
                      <w:color w:val="auto"/>
                      <w:sz w:val="21"/>
                      <w:szCs w:val="21"/>
                    </w:rPr>
                    <w:t>超过临界量</w:t>
                  </w:r>
                  <w:r>
                    <w:rPr>
                      <w:rFonts w:hint="default" w:ascii="Times New Roman" w:hAnsi="Times New Roman" w:eastAsia="宋体" w:cs="Times New Roman"/>
                      <w:color w:val="auto"/>
                      <w:sz w:val="21"/>
                      <w:szCs w:val="21"/>
                      <w:lang w:eastAsia="zh-CN"/>
                    </w:rPr>
                    <w:t>。</w:t>
                  </w:r>
                </w:p>
              </w:tc>
              <w:tc>
                <w:tcPr>
                  <w:tcW w:w="679" w:type="pct"/>
                  <w:vAlign w:val="center"/>
                </w:tcPr>
                <w:p w14:paraId="254E3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31AAB3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17A0A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066" w:type="pct"/>
                  <w:vAlign w:val="center"/>
                </w:tcPr>
                <w:p w14:paraId="26EF0E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取水口下游500米范围内有重要水生生物的自然产卵场、索饵场、越冬场和洄游通道的新增河道取水的污染类建设项目。</w:t>
                  </w:r>
                </w:p>
              </w:tc>
              <w:tc>
                <w:tcPr>
                  <w:tcW w:w="1562" w:type="pct"/>
                  <w:vAlign w:val="center"/>
                </w:tcPr>
                <w:p w14:paraId="7F7DD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本项目不涉及取水口</w:t>
                  </w:r>
                  <w:r>
                    <w:rPr>
                      <w:rFonts w:hint="default" w:ascii="Times New Roman" w:hAnsi="Times New Roman" w:eastAsia="宋体" w:cs="Times New Roman"/>
                      <w:color w:val="auto"/>
                      <w:sz w:val="21"/>
                      <w:szCs w:val="21"/>
                    </w:rPr>
                    <w:t>。</w:t>
                  </w:r>
                </w:p>
              </w:tc>
              <w:tc>
                <w:tcPr>
                  <w:tcW w:w="679" w:type="pct"/>
                  <w:vAlign w:val="center"/>
                </w:tcPr>
                <w:p w14:paraId="60315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4C72F4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1" w:type="pct"/>
                  <w:vAlign w:val="center"/>
                </w:tcPr>
                <w:p w14:paraId="231C8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2066" w:type="pct"/>
                  <w:vAlign w:val="center"/>
                </w:tcPr>
                <w:p w14:paraId="776CA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直接向海洋排放污染物的海洋工程建设项目。</w:t>
                  </w:r>
                </w:p>
              </w:tc>
              <w:tc>
                <w:tcPr>
                  <w:tcW w:w="1562" w:type="pct"/>
                  <w:vAlign w:val="center"/>
                </w:tcPr>
                <w:p w14:paraId="7402B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不属于海洋工程建设项目</w:t>
                  </w:r>
                  <w:r>
                    <w:rPr>
                      <w:rFonts w:hint="default" w:ascii="Times New Roman" w:hAnsi="Times New Roman" w:eastAsia="宋体" w:cs="Times New Roman"/>
                      <w:color w:val="auto"/>
                      <w:sz w:val="21"/>
                      <w:szCs w:val="21"/>
                    </w:rPr>
                    <w:t>。</w:t>
                  </w:r>
                </w:p>
              </w:tc>
              <w:tc>
                <w:tcPr>
                  <w:tcW w:w="679" w:type="pct"/>
                  <w:vAlign w:val="center"/>
                </w:tcPr>
                <w:p w14:paraId="625E4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bl>
          <w:p w14:paraId="656543E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highlight w:val="yellow"/>
              </w:rPr>
            </w:pPr>
          </w:p>
        </w:tc>
      </w:tr>
      <w:tr w14:paraId="21D36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023" w:type="pct"/>
            <w:vAlign w:val="center"/>
          </w:tcPr>
          <w:p w14:paraId="1A72EDA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规划情况</w:t>
            </w:r>
          </w:p>
        </w:tc>
        <w:tc>
          <w:tcPr>
            <w:tcW w:w="6945" w:type="dxa"/>
            <w:gridSpan w:val="3"/>
            <w:vAlign w:val="center"/>
          </w:tcPr>
          <w:p w14:paraId="4E2C76C2">
            <w:pPr>
              <w:keepNext w:val="0"/>
              <w:keepLines w:val="0"/>
              <w:numPr>
                <w:ilvl w:val="0"/>
                <w:numId w:val="1"/>
              </w:numPr>
              <w:suppressLineNumbers w:val="0"/>
              <w:autoSpaceDE w:val="0"/>
              <w:autoSpaceDN w:val="0"/>
              <w:adjustRightInd w:val="0"/>
              <w:snapToGrid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规划名称：《</w:t>
            </w:r>
            <w:r>
              <w:rPr>
                <w:rFonts w:hint="default" w:ascii="Times New Roman" w:hAnsi="Times New Roman" w:eastAsia="宋体" w:cs="Times New Roman"/>
                <w:color w:val="000000" w:themeColor="text1"/>
                <w:kern w:val="0"/>
                <w:sz w:val="24"/>
                <w:szCs w:val="24"/>
                <w14:textFill>
                  <w14:solidFill>
                    <w14:schemeClr w14:val="tx1"/>
                  </w14:solidFill>
                </w14:textFill>
              </w:rPr>
              <w:t>安康高新技术产业开发区规划</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纲要》（2009-2025）；2、审批机关：陕西省人民政府；</w:t>
            </w:r>
          </w:p>
          <w:p w14:paraId="7C7C26D7">
            <w:pPr>
              <w:keepNext w:val="0"/>
              <w:keepLines w:val="0"/>
              <w:numPr>
                <w:ilvl w:val="0"/>
                <w:numId w:val="0"/>
              </w:numPr>
              <w:suppressLineNumbers w:val="0"/>
              <w:autoSpaceDE w:val="0"/>
              <w:autoSpaceDN w:val="0"/>
              <w:adjustRightInd w:val="0"/>
              <w:snapToGrid w:val="0"/>
              <w:spacing w:before="0" w:beforeAutospacing="0" w:after="0" w:afterAutospacing="0" w:line="360" w:lineRule="exact"/>
              <w:ind w:left="0" w:leftChars="0" w:right="0" w:firstLine="0" w:firstLineChars="0"/>
              <w:jc w:val="both"/>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3、规划审批日期：2010年1月。</w:t>
            </w:r>
          </w:p>
        </w:tc>
      </w:tr>
      <w:tr w14:paraId="761CD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1023" w:type="pct"/>
            <w:vAlign w:val="center"/>
          </w:tcPr>
          <w:p w14:paraId="24C43C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规划环境影响评价情况</w:t>
            </w:r>
          </w:p>
        </w:tc>
        <w:tc>
          <w:tcPr>
            <w:tcW w:w="6945" w:type="dxa"/>
            <w:gridSpan w:val="3"/>
            <w:vAlign w:val="center"/>
          </w:tcPr>
          <w:p w14:paraId="20FB199C">
            <w:pPr>
              <w:keepNext w:val="0"/>
              <w:keepLines w:val="0"/>
              <w:numPr>
                <w:ilvl w:val="0"/>
                <w:numId w:val="2"/>
              </w:numPr>
              <w:suppressLineNumbers w:val="0"/>
              <w:autoSpaceDE w:val="0"/>
              <w:autoSpaceDN w:val="0"/>
              <w:adjustRightInd w:val="0"/>
              <w:snapToGrid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规划环评文件名称：《</w:t>
            </w:r>
            <w:r>
              <w:rPr>
                <w:rFonts w:hint="default" w:ascii="Times New Roman" w:hAnsi="Times New Roman" w:eastAsia="宋体" w:cs="Times New Roman"/>
                <w:color w:val="000000" w:themeColor="text1"/>
                <w:kern w:val="0"/>
                <w:sz w:val="24"/>
                <w:szCs w:val="24"/>
                <w14:textFill>
                  <w14:solidFill>
                    <w14:schemeClr w14:val="tx1"/>
                  </w14:solidFill>
                </w14:textFill>
              </w:rPr>
              <w:t>安康高新技术产业开发区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总体规划环境影响报告书》；</w:t>
            </w:r>
          </w:p>
          <w:p w14:paraId="026E2EC0">
            <w:pPr>
              <w:keepNext w:val="0"/>
              <w:keepLines w:val="0"/>
              <w:numPr>
                <w:ilvl w:val="0"/>
                <w:numId w:val="0"/>
              </w:numPr>
              <w:suppressLineNumbers w:val="0"/>
              <w:autoSpaceDE w:val="0"/>
              <w:autoSpaceDN w:val="0"/>
              <w:adjustRightInd w:val="0"/>
              <w:snapToGrid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2、召集审查机关：陕西省环境保护厅；</w:t>
            </w:r>
          </w:p>
          <w:p w14:paraId="73B7B619">
            <w:pPr>
              <w:keepNext w:val="0"/>
              <w:keepLines w:val="0"/>
              <w:suppressLineNumbers w:val="0"/>
              <w:autoSpaceDE w:val="0"/>
              <w:autoSpaceDN w:val="0"/>
              <w:adjustRightInd w:val="0"/>
              <w:snapToGrid w:val="0"/>
              <w:spacing w:before="0" w:beforeAutospacing="0" w:after="0" w:afterAutospacing="0" w:line="360" w:lineRule="exact"/>
              <w:ind w:left="0" w:right="0"/>
              <w:jc w:val="both"/>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3、审查文件及文号：《陕西省环境保护厅关于安康高新技术开发区总体规划环境影响报告书审查意见的函》陕环函〔2010〕08号。</w:t>
            </w:r>
          </w:p>
        </w:tc>
      </w:tr>
      <w:tr w14:paraId="5ABC0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1023" w:type="pct"/>
            <w:vAlign w:val="center"/>
          </w:tcPr>
          <w:p w14:paraId="5C99FE9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 w:val="24"/>
              </w:rPr>
              <w:t>规划及规划环境影响评价符合性分析</w:t>
            </w:r>
          </w:p>
        </w:tc>
        <w:tc>
          <w:tcPr>
            <w:tcW w:w="6945" w:type="dxa"/>
            <w:gridSpan w:val="3"/>
            <w:vAlign w:val="center"/>
          </w:tcPr>
          <w:p w14:paraId="30E37B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本项目与《</w:t>
            </w:r>
            <w:r>
              <w:rPr>
                <w:rFonts w:hint="default" w:ascii="宋体" w:hAnsi="宋体" w:cs="宋体"/>
                <w:color w:val="000000" w:themeColor="text1"/>
                <w:kern w:val="0"/>
                <w:sz w:val="24"/>
                <w14:textFill>
                  <w14:solidFill>
                    <w14:schemeClr w14:val="tx1"/>
                  </w14:solidFill>
                </w14:textFill>
              </w:rPr>
              <w:t>安康高新技术产业开发区规划</w:t>
            </w:r>
            <w:r>
              <w:rPr>
                <w:rFonts w:hint="eastAsia" w:ascii="宋体" w:hAnsi="宋体" w:cs="宋体"/>
                <w:color w:val="000000" w:themeColor="text1"/>
                <w:kern w:val="0"/>
                <w:sz w:val="24"/>
                <w:lang w:val="en-US" w:eastAsia="zh-CN"/>
                <w14:textFill>
                  <w14:solidFill>
                    <w14:schemeClr w14:val="tx1"/>
                  </w14:solidFill>
                </w14:textFill>
              </w:rPr>
              <w:t>纲要》</w:t>
            </w:r>
            <w:r>
              <w:rPr>
                <w:rFonts w:hint="default" w:ascii="Times New Roman" w:hAnsi="Times New Roman" w:cs="Times New Roman"/>
                <w:color w:val="000000" w:themeColor="text1"/>
                <w:kern w:val="0"/>
                <w:sz w:val="24"/>
                <w:lang w:val="en-US" w:eastAsia="zh-CN"/>
                <w14:textFill>
                  <w14:solidFill>
                    <w14:schemeClr w14:val="tx1"/>
                  </w14:solidFill>
                </w14:textFill>
              </w:rPr>
              <w:t>（2009-2025</w:t>
            </w:r>
            <w:r>
              <w:rPr>
                <w:rFonts w:hint="eastAsia" w:ascii="宋体" w:hAnsi="宋体" w:cs="宋体"/>
                <w:color w:val="000000" w:themeColor="text1"/>
                <w:kern w:val="0"/>
                <w:sz w:val="24"/>
                <w:lang w:val="en-US" w:eastAsia="zh-CN"/>
                <w14:textFill>
                  <w14:solidFill>
                    <w14:schemeClr w14:val="tx1"/>
                  </w14:solidFill>
                </w14:textFill>
              </w:rPr>
              <w:t>）及其规划环评的符</w:t>
            </w:r>
            <w:r>
              <w:rPr>
                <w:rFonts w:hint="default" w:ascii="Times New Roman" w:hAnsi="Times New Roman" w:cs="Times New Roman"/>
                <w:color w:val="000000" w:themeColor="text1"/>
                <w:kern w:val="0"/>
                <w:sz w:val="24"/>
                <w:lang w:val="en-US" w:eastAsia="zh-CN"/>
                <w14:textFill>
                  <w14:solidFill>
                    <w14:schemeClr w14:val="tx1"/>
                  </w14:solidFill>
                </w14:textFill>
              </w:rPr>
              <w:t>合性分析见表1-</w:t>
            </w:r>
            <w:r>
              <w:rPr>
                <w:rFonts w:hint="eastAsia"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w:t>
            </w:r>
          </w:p>
          <w:p w14:paraId="5454AC12">
            <w:pPr>
              <w:pStyle w:val="1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200" w:right="0" w:rightChars="0" w:firstLine="632" w:firstLineChars="300"/>
              <w:jc w:val="both"/>
              <w:textAlignment w:val="auto"/>
              <w:rPr>
                <w:rFonts w:hint="eastAsia"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eastAsia" w:cs="Times New Roman"/>
                <w:b/>
                <w:color w:val="000000" w:themeColor="text1"/>
                <w:kern w:val="0"/>
                <w:sz w:val="21"/>
                <w:szCs w:val="21"/>
                <w:lang w:val="en-US" w:eastAsia="zh-CN" w:bidi="ar-SA"/>
                <w14:textFill>
                  <w14:solidFill>
                    <w14:schemeClr w14:val="tx1"/>
                  </w14:solidFill>
                </w14:textFill>
              </w:rPr>
              <w:t xml:space="preserve">表1-2       </w:t>
            </w:r>
            <w:r>
              <w:rPr>
                <w:rFonts w:hint="eastAsia" w:ascii="Times New Roman" w:hAnsi="Times New Roman" w:eastAsia="宋体" w:cs="Times New Roman"/>
                <w:b/>
                <w:color w:val="000000" w:themeColor="text1"/>
                <w:kern w:val="0"/>
                <w:sz w:val="21"/>
                <w:szCs w:val="21"/>
                <w:lang w:val="en-US" w:eastAsia="zh-CN" w:bidi="ar-SA"/>
                <w14:textFill>
                  <w14:solidFill>
                    <w14:schemeClr w14:val="tx1"/>
                  </w14:solidFill>
                </w14:textFill>
              </w:rPr>
              <w:t>规划符合性分析表</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709"/>
              <w:gridCol w:w="1310"/>
            </w:tblGrid>
            <w:tr w14:paraId="105A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63" w:type="pct"/>
                  <w:noWrap w:val="0"/>
                  <w:vAlign w:val="center"/>
                </w:tcPr>
                <w:p w14:paraId="1335E7D3">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eastAsia="宋体"/>
                      <w:b/>
                      <w:bCs w:val="0"/>
                      <w:color w:val="000000" w:themeColor="text1"/>
                      <w:sz w:val="21"/>
                      <w:szCs w:val="21"/>
                      <w:vertAlign w:val="baseline"/>
                      <w:lang w:val="en-US" w:eastAsia="zh-CN"/>
                      <w14:textFill>
                        <w14:solidFill>
                          <w14:schemeClr w14:val="tx1"/>
                        </w14:solidFill>
                      </w14:textFill>
                    </w:rPr>
                  </w:pPr>
                  <w:r>
                    <w:rPr>
                      <w:rFonts w:hint="eastAsia"/>
                      <w:b/>
                      <w:bCs w:val="0"/>
                      <w:color w:val="000000" w:themeColor="text1"/>
                      <w:sz w:val="21"/>
                      <w:szCs w:val="21"/>
                      <w:vertAlign w:val="baseline"/>
                      <w:lang w:val="en-US" w:eastAsia="zh-CN"/>
                      <w14:textFill>
                        <w14:solidFill>
                          <w14:schemeClr w14:val="tx1"/>
                        </w14:solidFill>
                      </w14:textFill>
                    </w:rPr>
                    <w:t>文件名称</w:t>
                  </w:r>
                </w:p>
              </w:tc>
              <w:tc>
                <w:tcPr>
                  <w:tcW w:w="2761" w:type="pct"/>
                  <w:noWrap w:val="0"/>
                  <w:vAlign w:val="center"/>
                </w:tcPr>
                <w:p w14:paraId="4705C055">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eastAsia="宋体"/>
                      <w:b/>
                      <w:bCs w:val="0"/>
                      <w:color w:val="000000" w:themeColor="text1"/>
                      <w:sz w:val="21"/>
                      <w:szCs w:val="21"/>
                      <w:vertAlign w:val="baseline"/>
                      <w:lang w:val="en-US" w:eastAsia="zh-CN"/>
                      <w14:textFill>
                        <w14:solidFill>
                          <w14:schemeClr w14:val="tx1"/>
                        </w14:solidFill>
                      </w14:textFill>
                    </w:rPr>
                  </w:pPr>
                  <w:r>
                    <w:rPr>
                      <w:rFonts w:hint="eastAsia"/>
                      <w:b/>
                      <w:bCs w:val="0"/>
                      <w:color w:val="000000" w:themeColor="text1"/>
                      <w:sz w:val="21"/>
                      <w:szCs w:val="21"/>
                      <w:vertAlign w:val="baseline"/>
                      <w:lang w:val="en-US" w:eastAsia="zh-CN"/>
                      <w14:textFill>
                        <w14:solidFill>
                          <w14:schemeClr w14:val="tx1"/>
                        </w14:solidFill>
                      </w14:textFill>
                    </w:rPr>
                    <w:t>规划内容</w:t>
                  </w:r>
                </w:p>
              </w:tc>
              <w:tc>
                <w:tcPr>
                  <w:tcW w:w="975" w:type="pct"/>
                  <w:noWrap w:val="0"/>
                  <w:vAlign w:val="center"/>
                </w:tcPr>
                <w:p w14:paraId="1CB16478">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b/>
                      <w:bCs w:val="0"/>
                      <w:color w:val="000000" w:themeColor="text1"/>
                      <w:sz w:val="21"/>
                      <w:szCs w:val="21"/>
                      <w:vertAlign w:val="baseline"/>
                      <w:lang w:val="en-US" w:eastAsia="zh-CN"/>
                      <w14:textFill>
                        <w14:solidFill>
                          <w14:schemeClr w14:val="tx1"/>
                        </w14:solidFill>
                      </w14:textFill>
                    </w:rPr>
                  </w:pPr>
                  <w:r>
                    <w:rPr>
                      <w:rFonts w:hint="eastAsia"/>
                      <w:b/>
                      <w:bCs w:val="0"/>
                      <w:color w:val="000000" w:themeColor="text1"/>
                      <w:sz w:val="21"/>
                      <w:szCs w:val="21"/>
                      <w:vertAlign w:val="baseline"/>
                      <w:lang w:val="en-US" w:eastAsia="zh-CN"/>
                      <w14:textFill>
                        <w14:solidFill>
                          <w14:schemeClr w14:val="tx1"/>
                        </w14:solidFill>
                      </w14:textFill>
                    </w:rPr>
                    <w:t>本项目</w:t>
                  </w:r>
                </w:p>
                <w:p w14:paraId="6D17EB91">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eastAsia="宋体"/>
                      <w:b/>
                      <w:bCs w:val="0"/>
                      <w:color w:val="000000" w:themeColor="text1"/>
                      <w:sz w:val="21"/>
                      <w:szCs w:val="21"/>
                      <w:vertAlign w:val="baseline"/>
                      <w:lang w:val="en-US" w:eastAsia="zh-CN"/>
                      <w14:textFill>
                        <w14:solidFill>
                          <w14:schemeClr w14:val="tx1"/>
                        </w14:solidFill>
                      </w14:textFill>
                    </w:rPr>
                  </w:pPr>
                  <w:r>
                    <w:rPr>
                      <w:rFonts w:hint="eastAsia"/>
                      <w:b/>
                      <w:bCs w:val="0"/>
                      <w:color w:val="000000" w:themeColor="text1"/>
                      <w:sz w:val="21"/>
                      <w:szCs w:val="21"/>
                      <w:vertAlign w:val="baseline"/>
                      <w:lang w:val="en-US" w:eastAsia="zh-CN"/>
                      <w14:textFill>
                        <w14:solidFill>
                          <w14:schemeClr w14:val="tx1"/>
                        </w14:solidFill>
                      </w14:textFill>
                    </w:rPr>
                    <w:t>情况</w:t>
                  </w:r>
                </w:p>
              </w:tc>
            </w:tr>
            <w:tr w14:paraId="6F3A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1263" w:type="pct"/>
                  <w:noWrap w:val="0"/>
                  <w:vAlign w:val="center"/>
                </w:tcPr>
                <w:p w14:paraId="73C86C2B">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bCs/>
                      <w:color w:val="000000" w:themeColor="text1"/>
                      <w:sz w:val="21"/>
                      <w:szCs w:val="21"/>
                      <w:vertAlign w:val="baseline"/>
                      <w:lang w:val="en-US"/>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r>
                    <w:rPr>
                      <w:rFonts w:hint="default" w:ascii="宋体" w:hAnsi="宋体" w:cs="宋体"/>
                      <w:color w:val="000000" w:themeColor="text1"/>
                      <w:kern w:val="0"/>
                      <w:sz w:val="21"/>
                      <w:szCs w:val="21"/>
                      <w14:textFill>
                        <w14:solidFill>
                          <w14:schemeClr w14:val="tx1"/>
                        </w14:solidFill>
                      </w14:textFill>
                    </w:rPr>
                    <w:t>安康高新技术产业开发区规划</w:t>
                  </w:r>
                  <w:r>
                    <w:rPr>
                      <w:rFonts w:hint="eastAsia" w:ascii="宋体" w:hAnsi="宋体" w:cs="宋体"/>
                      <w:color w:val="000000" w:themeColor="text1"/>
                      <w:kern w:val="0"/>
                      <w:sz w:val="21"/>
                      <w:szCs w:val="21"/>
                      <w:lang w:val="en-US" w:eastAsia="zh-CN"/>
                      <w14:textFill>
                        <w14:solidFill>
                          <w14:schemeClr w14:val="tx1"/>
                        </w14:solidFill>
                      </w14:textFill>
                    </w:rPr>
                    <w:t>纲要》</w:t>
                  </w:r>
                  <w:r>
                    <w:rPr>
                      <w:rFonts w:hint="default" w:ascii="Times New Roman" w:hAnsi="Times New Roman" w:cs="Times New Roman"/>
                      <w:color w:val="000000" w:themeColor="text1"/>
                      <w:kern w:val="0"/>
                      <w:sz w:val="21"/>
                      <w:szCs w:val="21"/>
                      <w:lang w:val="en-US" w:eastAsia="zh-CN"/>
                      <w14:textFill>
                        <w14:solidFill>
                          <w14:schemeClr w14:val="tx1"/>
                        </w14:solidFill>
                      </w14:textFill>
                    </w:rPr>
                    <w:t>（2009-2025</w:t>
                  </w:r>
                  <w:r>
                    <w:rPr>
                      <w:rFonts w:hint="eastAsia" w:ascii="宋体" w:hAnsi="宋体" w:cs="宋体"/>
                      <w:color w:val="000000" w:themeColor="text1"/>
                      <w:kern w:val="0"/>
                      <w:sz w:val="21"/>
                      <w:szCs w:val="21"/>
                      <w:lang w:val="en-US" w:eastAsia="zh-CN"/>
                      <w14:textFill>
                        <w14:solidFill>
                          <w14:schemeClr w14:val="tx1"/>
                        </w14:solidFill>
                      </w14:textFill>
                    </w:rPr>
                    <w:t>）</w:t>
                  </w:r>
                </w:p>
              </w:tc>
              <w:tc>
                <w:tcPr>
                  <w:tcW w:w="2761" w:type="pct"/>
                  <w:noWrap w:val="0"/>
                  <w:vAlign w:val="center"/>
                </w:tcPr>
                <w:p w14:paraId="4A2824C2">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bCs/>
                      <w:color w:val="000000" w:themeColor="text1"/>
                      <w:sz w:val="21"/>
                      <w:szCs w:val="21"/>
                      <w:vertAlign w:val="baseline"/>
                      <w:lang w:val="en-US"/>
                      <w14:textFill>
                        <w14:solidFill>
                          <w14:schemeClr w14:val="tx1"/>
                        </w14:solidFill>
                      </w14:textFill>
                    </w:rPr>
                  </w:pPr>
                  <w:r>
                    <w:rPr>
                      <w:rFonts w:hint="default"/>
                      <w:bCs/>
                      <w:color w:val="000000" w:themeColor="text1"/>
                      <w:sz w:val="21"/>
                      <w:szCs w:val="21"/>
                      <w:vertAlign w:val="baseline"/>
                      <w:lang w:val="en-US"/>
                      <w14:textFill>
                        <w14:solidFill>
                          <w14:schemeClr w14:val="tx1"/>
                        </w14:solidFill>
                      </w14:textFill>
                    </w:rPr>
                    <w:t>高新区作为</w:t>
                  </w:r>
                  <w:r>
                    <w:rPr>
                      <w:rFonts w:hint="eastAsia" w:ascii="宋体" w:hAnsi="宋体" w:eastAsia="宋体" w:cs="宋体"/>
                      <w:bCs/>
                      <w:color w:val="000000" w:themeColor="text1"/>
                      <w:sz w:val="21"/>
                      <w:szCs w:val="21"/>
                      <w:vertAlign w:val="baseline"/>
                      <w:lang w:val="en-US"/>
                      <w14:textFill>
                        <w14:solidFill>
                          <w14:schemeClr w14:val="tx1"/>
                        </w14:solidFill>
                      </w14:textFill>
                    </w:rPr>
                    <w:t>“一体两翼”</w:t>
                  </w:r>
                  <w:r>
                    <w:rPr>
                      <w:rFonts w:hint="default"/>
                      <w:bCs/>
                      <w:color w:val="000000" w:themeColor="text1"/>
                      <w:sz w:val="21"/>
                      <w:szCs w:val="21"/>
                      <w:vertAlign w:val="baseline"/>
                      <w:lang w:val="en-US"/>
                      <w14:textFill>
                        <w14:solidFill>
                          <w14:schemeClr w14:val="tx1"/>
                        </w14:solidFill>
                      </w14:textFill>
                    </w:rPr>
                    <w:t>的核心区、产业聚集区和综合城市新区,高新区必将发挥对市域经济的带动作用，对城市发展的引领作用，对工业强市、产业兴市的支持作用，重点发展生物医药、新型材料、特色服务、环保等产业，将安康市打造成为具有区域性竞争力的，各类产业协调发展的现代城市。</w:t>
                  </w:r>
                </w:p>
                <w:p w14:paraId="6E89A5F7">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bCs/>
                      <w:color w:val="000000" w:themeColor="text1"/>
                      <w:sz w:val="21"/>
                      <w:szCs w:val="21"/>
                      <w:vertAlign w:val="baseline"/>
                      <w:lang w:val="en-US"/>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目前，新安康门户功能区布局保护：空港经济区、新行政中心区、秦巴特色产业区、新经济引领区和现代服务聚集区。其中新经济引领区包括大数据、互联网经济区。</w:t>
                  </w:r>
                </w:p>
              </w:tc>
              <w:tc>
                <w:tcPr>
                  <w:tcW w:w="975" w:type="pct"/>
                  <w:noWrap w:val="0"/>
                  <w:vAlign w:val="center"/>
                </w:tcPr>
                <w:p w14:paraId="3EE036CF">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eastAsia" w:eastAsia="宋体"/>
                      <w:bCs/>
                      <w:color w:val="000000" w:themeColor="text1"/>
                      <w:sz w:val="21"/>
                      <w:szCs w:val="21"/>
                      <w:vertAlign w:val="baseline"/>
                      <w:lang w:val="en-US" w:eastAsia="zh-CN"/>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本项目位于</w:t>
                  </w:r>
                  <w:r>
                    <w:rPr>
                      <w:rFonts w:hint="eastAsia"/>
                      <w:bCs/>
                      <w:color w:val="FF0000"/>
                      <w:sz w:val="21"/>
                      <w:szCs w:val="21"/>
                      <w:vertAlign w:val="baseline"/>
                      <w:lang w:val="en-US" w:eastAsia="zh-CN"/>
                    </w:rPr>
                    <w:t>安康高新技术产业开发区</w:t>
                  </w:r>
                  <w:r>
                    <w:rPr>
                      <w:rFonts w:hint="eastAsia"/>
                      <w:bCs/>
                      <w:color w:val="000000" w:themeColor="text1"/>
                      <w:sz w:val="21"/>
                      <w:szCs w:val="21"/>
                      <w:vertAlign w:val="baseline"/>
                      <w:lang w:val="en-US" w:eastAsia="zh-CN"/>
                      <w14:textFill>
                        <w14:solidFill>
                          <w14:schemeClr w14:val="tx1"/>
                        </w14:solidFill>
                      </w14:textFill>
                    </w:rPr>
                    <w:t>，建设新能源汽车机电产业园，用地性质为工业用地，符合</w:t>
                  </w:r>
                  <w:r>
                    <w:rPr>
                      <w:rFonts w:hint="default" w:ascii="宋体" w:hAnsi="宋体" w:cs="宋体"/>
                      <w:color w:val="000000" w:themeColor="text1"/>
                      <w:kern w:val="0"/>
                      <w:sz w:val="21"/>
                      <w:szCs w:val="21"/>
                      <w14:textFill>
                        <w14:solidFill>
                          <w14:schemeClr w14:val="tx1"/>
                        </w14:solidFill>
                      </w14:textFill>
                    </w:rPr>
                    <w:t>安康高新技术产业开发区规划</w:t>
                  </w:r>
                  <w:r>
                    <w:rPr>
                      <w:rFonts w:hint="eastAsia" w:ascii="宋体" w:hAnsi="宋体" w:cs="宋体"/>
                      <w:color w:val="000000" w:themeColor="text1"/>
                      <w:kern w:val="0"/>
                      <w:sz w:val="21"/>
                      <w:szCs w:val="21"/>
                      <w:lang w:eastAsia="zh-CN"/>
                      <w14:textFill>
                        <w14:solidFill>
                          <w14:schemeClr w14:val="tx1"/>
                        </w14:solidFill>
                      </w14:textFill>
                    </w:rPr>
                    <w:t>。</w:t>
                  </w:r>
                </w:p>
              </w:tc>
            </w:tr>
            <w:tr w14:paraId="4D51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3" w:hRule="atLeast"/>
              </w:trPr>
              <w:tc>
                <w:tcPr>
                  <w:tcW w:w="1263" w:type="pct"/>
                  <w:noWrap w:val="0"/>
                  <w:vAlign w:val="center"/>
                </w:tcPr>
                <w:p w14:paraId="424A3770">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bCs/>
                      <w:color w:val="000000" w:themeColor="text1"/>
                      <w:sz w:val="21"/>
                      <w:szCs w:val="21"/>
                      <w:vertAlign w:val="baseline"/>
                      <w:lang w:val="en-US"/>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w:t>
                  </w:r>
                  <w:r>
                    <w:rPr>
                      <w:rFonts w:hint="default" w:ascii="宋体" w:hAnsi="宋体" w:cs="宋体"/>
                      <w:color w:val="000000" w:themeColor="text1"/>
                      <w:kern w:val="0"/>
                      <w:sz w:val="21"/>
                      <w:szCs w:val="21"/>
                      <w14:textFill>
                        <w14:solidFill>
                          <w14:schemeClr w14:val="tx1"/>
                        </w14:solidFill>
                      </w14:textFill>
                    </w:rPr>
                    <w:t>安康高新技术产业开发区</w:t>
                  </w:r>
                  <w:r>
                    <w:rPr>
                      <w:rFonts w:hint="eastAsia" w:ascii="宋体" w:hAnsi="宋体" w:cs="宋体"/>
                      <w:color w:val="000000" w:themeColor="text1"/>
                      <w:kern w:val="0"/>
                      <w:sz w:val="21"/>
                      <w:szCs w:val="21"/>
                      <w:lang w:val="en-US" w:eastAsia="zh-CN"/>
                      <w14:textFill>
                        <w14:solidFill>
                          <w14:schemeClr w14:val="tx1"/>
                        </w14:solidFill>
                      </w14:textFill>
                    </w:rPr>
                    <w:t>总体规划环境影响报告书》审查意见</w:t>
                  </w:r>
                </w:p>
              </w:tc>
              <w:tc>
                <w:tcPr>
                  <w:tcW w:w="2761" w:type="pct"/>
                  <w:noWrap w:val="0"/>
                  <w:vAlign w:val="center"/>
                </w:tcPr>
                <w:p w14:paraId="00A6C2E1">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①规划实施应合理布局，生活区应位于主导风向上风向，工业区应位于下风向，工业区和生活区之间必须采用绿化带隔离，统筹考虑园区工业生产用热（汽），尽量使用清洁能源，如需建燃煤锅炉外排烟气必须经除尘、脱硫处理。</w:t>
                  </w:r>
                </w:p>
                <w:p w14:paraId="7B876A53">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②规划的工业区垃圾、污水处理及管网等环保设施应先行建设。</w:t>
                  </w:r>
                </w:p>
                <w:p w14:paraId="2352D5BD">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③进一步调整优化开发区产业结构，现有水泥企业应逐步搬出开发区，硫酸、冶炼及水泥生产等高耗能、高污染企业不得入区。</w:t>
                  </w:r>
                </w:p>
                <w:p w14:paraId="1AB2470A">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微软雅黑" w:cs="Times New Roman"/>
                      <w:bCs/>
                      <w:color w:val="000000" w:themeColor="text1"/>
                      <w:sz w:val="21"/>
                      <w:szCs w:val="21"/>
                      <w:vertAlign w:val="baseline"/>
                      <w:lang w:val="en-US"/>
                      <w14:textFill>
                        <w14:solidFill>
                          <w14:schemeClr w14:val="tx1"/>
                        </w14:solidFill>
                      </w14:textFill>
                    </w:rPr>
                    <w:t>④</w:t>
                  </w: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进一步推进开发区环境管理和环保能力建设，设专门管理机构统一管理区内环保工作，并接受当地环保部门的统一领导，确保区内企业的环保监督和管理责任落到实处。</w:t>
                  </w:r>
                </w:p>
              </w:tc>
              <w:tc>
                <w:tcPr>
                  <w:tcW w:w="975" w:type="pct"/>
                  <w:noWrap w:val="0"/>
                  <w:vAlign w:val="center"/>
                </w:tcPr>
                <w:p w14:paraId="084C3792">
                  <w:pPr>
                    <w:pStyle w:val="1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default" w:eastAsia="宋体"/>
                      <w:bCs/>
                      <w:color w:val="000000" w:themeColor="text1"/>
                      <w:sz w:val="21"/>
                      <w:szCs w:val="21"/>
                      <w:vertAlign w:val="baseline"/>
                      <w:lang w:val="en-US" w:eastAsia="zh-CN"/>
                      <w14:textFill>
                        <w14:solidFill>
                          <w14:schemeClr w14:val="tx1"/>
                        </w14:solidFill>
                      </w14:textFill>
                    </w:rPr>
                  </w:pPr>
                  <w:r>
                    <w:rPr>
                      <w:rFonts w:hint="eastAsia"/>
                      <w:bCs/>
                      <w:color w:val="000000" w:themeColor="text1"/>
                      <w:sz w:val="21"/>
                      <w:szCs w:val="21"/>
                      <w:vertAlign w:val="baseline"/>
                      <w:lang w:val="en-US" w:eastAsia="zh-CN"/>
                      <w14:textFill>
                        <w14:solidFill>
                          <w14:schemeClr w14:val="tx1"/>
                        </w14:solidFill>
                      </w14:textFill>
                    </w:rPr>
                    <w:t>项目使用电能，属于清洁能源；项目所在地污水处理厂及污水管网敷设到位；项目不属于高污染企业，项目建成后由安康市生态环境局高新分局等部门进行环保监管，符合审查意见要求。</w:t>
                  </w:r>
                </w:p>
              </w:tc>
            </w:tr>
          </w:tbl>
          <w:p w14:paraId="40300A7D">
            <w:pPr>
              <w:pStyle w:val="1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cs="Times New Roman"/>
                <w:color w:val="000000" w:themeColor="text1"/>
                <w:kern w:val="21"/>
                <w:sz w:val="24"/>
                <w:szCs w:val="144"/>
                <w:lang w:val="en-US" w:eastAsia="zh-CN"/>
                <w14:textFill>
                  <w14:solidFill>
                    <w14:schemeClr w14:val="tx1"/>
                  </w14:solidFill>
                </w14:textFill>
              </w:rPr>
            </w:pPr>
          </w:p>
        </w:tc>
      </w:tr>
      <w:tr w14:paraId="3A518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1023" w:type="pct"/>
            <w:vAlign w:val="center"/>
          </w:tcPr>
          <w:p w14:paraId="43A8D6B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r>
              <w:rPr>
                <w:rFonts w:hint="default" w:ascii="Times New Roman" w:hAnsi="Times New Roman" w:eastAsia="宋体" w:cs="Times New Roman"/>
                <w:color w:val="auto"/>
                <w:kern w:val="21"/>
                <w:sz w:val="24"/>
              </w:rPr>
              <w:t>其他符合性分析</w:t>
            </w:r>
          </w:p>
        </w:tc>
        <w:tc>
          <w:tcPr>
            <w:tcW w:w="6945" w:type="dxa"/>
            <w:gridSpan w:val="3"/>
            <w:vAlign w:val="center"/>
          </w:tcPr>
          <w:p w14:paraId="1833E690">
            <w:pPr>
              <w:pStyle w:val="30"/>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left"/>
              <w:textAlignment w:val="auto"/>
              <w:rPr>
                <w:rFonts w:hint="default" w:ascii="Times New Roman" w:hAnsi="Times New Roman" w:eastAsia="宋体" w:cs="Times New Roman"/>
                <w:b/>
                <w:bCs w:val="0"/>
                <w:color w:val="auto"/>
                <w:kern w:val="2"/>
                <w:sz w:val="24"/>
                <w:szCs w:val="24"/>
              </w:rPr>
            </w:pPr>
            <w:r>
              <w:rPr>
                <w:rFonts w:hint="default" w:ascii="Times New Roman" w:hAnsi="Times New Roman" w:eastAsia="宋体" w:cs="Times New Roman"/>
                <w:b/>
                <w:bCs w:val="0"/>
                <w:color w:val="auto"/>
                <w:kern w:val="2"/>
                <w:sz w:val="24"/>
                <w:szCs w:val="24"/>
                <w:lang w:val="en-US" w:eastAsia="zh-CN" w:bidi="ar"/>
              </w:rPr>
              <w:t>1、产业政策符合性分析</w:t>
            </w:r>
          </w:p>
          <w:p w14:paraId="3A075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本项目属于</w:t>
            </w:r>
            <w:r>
              <w:rPr>
                <w:rFonts w:hint="default" w:ascii="Times New Roman" w:hAnsi="Times New Roman" w:cs="Times New Roman" w:eastAsiaTheme="minorEastAsia"/>
                <w:color w:val="000000" w:themeColor="text1"/>
                <w:sz w:val="24"/>
                <w14:textFill>
                  <w14:solidFill>
                    <w14:schemeClr w14:val="tx1"/>
                  </w14:solidFill>
                </w14:textFill>
              </w:rPr>
              <w:t>C3813</w:t>
            </w:r>
            <w:r>
              <w:rPr>
                <w:rFonts w:hint="eastAsia" w:ascii="Times New Roman" w:hAnsi="Times New Roman" w:cs="Times New Roman" w:eastAsiaTheme="minorEastAsia"/>
                <w:color w:val="000000" w:themeColor="text1"/>
                <w:sz w:val="24"/>
                <w14:textFill>
                  <w14:solidFill>
                    <w14:schemeClr w14:val="tx1"/>
                  </w14:solidFill>
                </w14:textFill>
              </w:rPr>
              <w:t>微特电机及组件制造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，根据国家发展和改革委员会发布的《产业结构调整指导目录（2024年本）》，</w:t>
            </w:r>
            <w:r>
              <w:rPr>
                <w:rFonts w:hint="eastAsia"/>
                <w:color w:val="000000" w:themeColor="text1"/>
                <w:sz w:val="24"/>
                <w:szCs w:val="24"/>
                <w14:textFill>
                  <w14:solidFill>
                    <w14:schemeClr w14:val="tx1"/>
                  </w14:solidFill>
                </w14:textFill>
              </w:rPr>
              <w:t>不属于其中鼓励类、限制类、淘汰类，为允许类项目。依据《市场准入负面清单（2022年版）》（发改体改规</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2022</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397号），本项目不属于其中禁止准入类、许可准入类项目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228F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陕西轩意光电科技有限公司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于20</w:t>
            </w:r>
            <w:r>
              <w:rPr>
                <w:rFonts w:hint="default"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日取得了</w:t>
            </w:r>
            <w:r>
              <w:rPr>
                <w:rFonts w:hint="eastAsia" w:cs="Times New Roman"/>
                <w:color w:val="000000" w:themeColor="text1"/>
                <w:sz w:val="24"/>
                <w:szCs w:val="24"/>
                <w:lang w:val="en-US" w:eastAsia="zh-CN"/>
                <w14:textFill>
                  <w14:solidFill>
                    <w14:schemeClr w14:val="tx1"/>
                  </w14:solidFill>
                </w14:textFill>
              </w:rPr>
              <w:t>安康高新区经济发展科技局</w:t>
            </w:r>
            <w:r>
              <w:rPr>
                <w:rFonts w:hint="default" w:ascii="Times New Roman" w:hAnsi="Times New Roman" w:cs="Times New Roman"/>
                <w:color w:val="000000" w:themeColor="text1"/>
                <w:sz w:val="24"/>
                <w:szCs w:val="24"/>
                <w:lang w:val="en-US" w:eastAsia="zh-CN"/>
                <w14:textFill>
                  <w14:solidFill>
                    <w14:schemeClr w14:val="tx1"/>
                  </w14:solidFill>
                </w14:textFill>
              </w:rPr>
              <w:t>对于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本项目的备案确认书，项目编码为</w:t>
            </w:r>
            <w:r>
              <w:rPr>
                <w:rFonts w:hint="eastAsia" w:cs="Times New Roman"/>
                <w:color w:val="000000" w:themeColor="text1"/>
                <w:sz w:val="24"/>
                <w:lang w:val="en-US" w:eastAsia="zh-CN"/>
                <w14:textFill>
                  <w14:solidFill>
                    <w14:schemeClr w14:val="tx1"/>
                  </w14:solidFill>
                </w14:textFill>
              </w:rPr>
              <w:t>2406-610961-04-01-648733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见附件2。因此，本项目符合国家和地方产业政策。</w:t>
            </w:r>
          </w:p>
          <w:p w14:paraId="5C12A598">
            <w:pPr>
              <w:pStyle w:val="30"/>
              <w:keepNext w:val="0"/>
              <w:keepLines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val="0"/>
                <w:color w:val="000000" w:themeColor="text1"/>
                <w:kern w:val="2"/>
                <w:sz w:val="24"/>
                <w:szCs w:val="24"/>
                <w:lang w:val="en-US" w:eastAsia="zh-CN" w:bidi="ar"/>
                <w14:textFill>
                  <w14:solidFill>
                    <w14:schemeClr w14:val="tx1"/>
                  </w14:solidFill>
                </w14:textFill>
              </w:rPr>
            </w:pPr>
            <w:r>
              <w:rPr>
                <w:rFonts w:hint="default" w:ascii="Times New Roman" w:hAnsi="Times New Roman" w:eastAsia="宋体" w:cs="Times New Roman"/>
                <w:b/>
                <w:bCs w:val="0"/>
                <w:color w:val="000000" w:themeColor="text1"/>
                <w:kern w:val="2"/>
                <w:sz w:val="24"/>
                <w:szCs w:val="24"/>
                <w:lang w:val="en-US" w:eastAsia="zh-CN" w:bidi="ar"/>
                <w14:textFill>
                  <w14:solidFill>
                    <w14:schemeClr w14:val="tx1"/>
                  </w14:solidFill>
                </w14:textFill>
              </w:rPr>
              <w:t>2、“三线一单”符合性分析</w:t>
            </w:r>
          </w:p>
          <w:p w14:paraId="211BF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FF"/>
                <w:sz w:val="24"/>
                <w:szCs w:val="24"/>
                <w:lang w:val="en-US" w:eastAsia="zh-CN"/>
              </w:rPr>
            </w:pP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本项目与“三线一单”符合性分析内容见表1-</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C674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表1-3    本项目与“三线一单”符合性分析表</w:t>
            </w:r>
          </w:p>
          <w:tbl>
            <w:tblPr>
              <w:tblStyle w:val="35"/>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
              <w:gridCol w:w="3912"/>
              <w:gridCol w:w="1977"/>
              <w:gridCol w:w="449"/>
            </w:tblGrid>
            <w:tr w14:paraId="0C3F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269" w:type="dxa"/>
                  <w:gridSpan w:val="2"/>
                  <w:noWrap w:val="0"/>
                  <w:tcMar>
                    <w:top w:w="0" w:type="dxa"/>
                    <w:left w:w="45" w:type="dxa"/>
                    <w:bottom w:w="0" w:type="dxa"/>
                    <w:right w:w="45" w:type="dxa"/>
                  </w:tcMar>
                  <w:vAlign w:val="center"/>
                </w:tcPr>
                <w:p w14:paraId="0C14122A">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文件要求</w:t>
                  </w:r>
                </w:p>
              </w:tc>
              <w:tc>
                <w:tcPr>
                  <w:tcW w:w="1977" w:type="dxa"/>
                  <w:noWrap w:val="0"/>
                  <w:tcMar>
                    <w:top w:w="0" w:type="dxa"/>
                    <w:left w:w="45" w:type="dxa"/>
                    <w:bottom w:w="0" w:type="dxa"/>
                    <w:right w:w="45" w:type="dxa"/>
                  </w:tcMar>
                  <w:vAlign w:val="center"/>
                </w:tcPr>
                <w:p w14:paraId="63686BD1">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项目情况</w:t>
                  </w:r>
                </w:p>
              </w:tc>
              <w:tc>
                <w:tcPr>
                  <w:tcW w:w="449" w:type="dxa"/>
                  <w:noWrap w:val="0"/>
                  <w:tcMar>
                    <w:top w:w="0" w:type="dxa"/>
                    <w:left w:w="45" w:type="dxa"/>
                    <w:bottom w:w="0" w:type="dxa"/>
                    <w:right w:w="45" w:type="dxa"/>
                  </w:tcMar>
                  <w:vAlign w:val="center"/>
                </w:tcPr>
                <w:p w14:paraId="52E0893E">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符合性</w:t>
                  </w:r>
                </w:p>
              </w:tc>
            </w:tr>
            <w:tr w14:paraId="6340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8" w:hRule="atLeast"/>
                <w:jc w:val="center"/>
              </w:trPr>
              <w:tc>
                <w:tcPr>
                  <w:tcW w:w="357" w:type="dxa"/>
                  <w:noWrap w:val="0"/>
                  <w:tcMar>
                    <w:top w:w="0" w:type="dxa"/>
                    <w:left w:w="45" w:type="dxa"/>
                    <w:bottom w:w="0" w:type="dxa"/>
                    <w:right w:w="45" w:type="dxa"/>
                  </w:tcMar>
                  <w:vAlign w:val="center"/>
                </w:tcPr>
                <w:p w14:paraId="395346BC">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生态保护红线</w:t>
                  </w:r>
                </w:p>
              </w:tc>
              <w:tc>
                <w:tcPr>
                  <w:tcW w:w="3912" w:type="dxa"/>
                  <w:noWrap w:val="0"/>
                  <w:tcMar>
                    <w:top w:w="0" w:type="dxa"/>
                    <w:left w:w="45" w:type="dxa"/>
                    <w:bottom w:w="0" w:type="dxa"/>
                    <w:right w:w="45" w:type="dxa"/>
                  </w:tcMar>
                  <w:vAlign w:val="center"/>
                </w:tcPr>
                <w:p w14:paraId="2C83DE02">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w:t>
                  </w:r>
                  <w:r>
                    <w:rPr>
                      <w:rFonts w:hint="eastAsia"/>
                      <w:color w:val="000000" w:themeColor="text1"/>
                      <w:szCs w:val="21"/>
                      <w:lang w:val="en-US" w:eastAsia="zh-CN"/>
                      <w14:textFill>
                        <w14:solidFill>
                          <w14:schemeClr w14:val="tx1"/>
                        </w14:solidFill>
                      </w14:textFill>
                    </w:rPr>
                    <w:t>严</w:t>
                  </w:r>
                  <w:r>
                    <w:rPr>
                      <w:rFonts w:hint="default"/>
                      <w:color w:val="000000" w:themeColor="text1"/>
                      <w:szCs w:val="21"/>
                      <w14:textFill>
                        <w14:solidFill>
                          <w14:schemeClr w14:val="tx1"/>
                        </w14:solidFill>
                      </w14:textFill>
                    </w:rPr>
                    <w:t>控各类</w:t>
                  </w:r>
                  <w:r>
                    <w:rPr>
                      <w:rFonts w:hint="eastAsia"/>
                      <w:color w:val="000000" w:themeColor="text1"/>
                      <w:szCs w:val="21"/>
                      <w:lang w:val="en-US" w:eastAsia="zh-CN"/>
                      <w14:textFill>
                        <w14:solidFill>
                          <w14:schemeClr w14:val="tx1"/>
                        </w14:solidFill>
                      </w14:textFill>
                    </w:rPr>
                    <w:t>开</w:t>
                  </w:r>
                  <w:r>
                    <w:rPr>
                      <w:rFonts w:hint="default"/>
                      <w:color w:val="000000" w:themeColor="text1"/>
                      <w:szCs w:val="21"/>
                      <w14:textFill>
                        <w14:solidFill>
                          <w14:schemeClr w14:val="tx1"/>
                        </w14:solidFill>
                      </w14:textFill>
                    </w:rPr>
                    <w:t>发建设</w:t>
                  </w:r>
                  <w:r>
                    <w:rPr>
                      <w:rFonts w:hint="eastAsia"/>
                      <w:color w:val="000000" w:themeColor="text1"/>
                      <w:szCs w:val="21"/>
                      <w:lang w:val="en-US" w:eastAsia="zh-CN"/>
                      <w14:textFill>
                        <w14:solidFill>
                          <w14:schemeClr w14:val="tx1"/>
                        </w14:solidFill>
                      </w14:textFill>
                    </w:rPr>
                    <w:t>活</w:t>
                  </w:r>
                  <w:r>
                    <w:rPr>
                      <w:rFonts w:hint="default"/>
                      <w:color w:val="000000" w:themeColor="text1"/>
                      <w:szCs w:val="21"/>
                      <w14:textFill>
                        <w14:solidFill>
                          <w14:schemeClr w14:val="tx1"/>
                        </w14:solidFill>
                      </w14:textFill>
                    </w:rPr>
                    <w:t>动，依法不予审批新建工业项目和矿产开发项目的环评文件。</w:t>
                  </w:r>
                </w:p>
              </w:tc>
              <w:tc>
                <w:tcPr>
                  <w:tcW w:w="1977" w:type="dxa"/>
                  <w:noWrap w:val="0"/>
                  <w:tcMar>
                    <w:top w:w="0" w:type="dxa"/>
                    <w:left w:w="45" w:type="dxa"/>
                    <w:bottom w:w="0" w:type="dxa"/>
                    <w:right w:w="45" w:type="dxa"/>
                  </w:tcMar>
                  <w:vAlign w:val="center"/>
                </w:tcPr>
                <w:p w14:paraId="6787589E">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陕西省“三线一单”数据应用系统冲突分析导出的《陕西省“三线一单”生态环境管控单元对照分析报告》《安康市“三线一单”生态环境分区管控方案》（安政发〔2021〕18号）可知，本项目位于重点管控区，不涉及优先保护单元和一般管控单元，不涉及生态保护红线。</w:t>
                  </w:r>
                </w:p>
              </w:tc>
              <w:tc>
                <w:tcPr>
                  <w:tcW w:w="449" w:type="dxa"/>
                  <w:noWrap w:val="0"/>
                  <w:tcMar>
                    <w:top w:w="0" w:type="dxa"/>
                    <w:left w:w="45" w:type="dxa"/>
                    <w:bottom w:w="0" w:type="dxa"/>
                    <w:right w:w="45" w:type="dxa"/>
                  </w:tcMar>
                  <w:vAlign w:val="center"/>
                </w:tcPr>
                <w:p w14:paraId="29DC90EC">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7B2C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jc w:val="center"/>
              </w:trPr>
              <w:tc>
                <w:tcPr>
                  <w:tcW w:w="357" w:type="dxa"/>
                  <w:noWrap w:val="0"/>
                  <w:tcMar>
                    <w:top w:w="0" w:type="dxa"/>
                    <w:left w:w="45" w:type="dxa"/>
                    <w:bottom w:w="0" w:type="dxa"/>
                    <w:right w:w="45" w:type="dxa"/>
                  </w:tcMar>
                  <w:vAlign w:val="center"/>
                </w:tcPr>
                <w:p w14:paraId="6A53C45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环境质量底线</w:t>
                  </w:r>
                </w:p>
              </w:tc>
              <w:tc>
                <w:tcPr>
                  <w:tcW w:w="3912" w:type="dxa"/>
                  <w:noWrap w:val="0"/>
                  <w:tcMar>
                    <w:top w:w="0" w:type="dxa"/>
                    <w:left w:w="45" w:type="dxa"/>
                    <w:bottom w:w="0" w:type="dxa"/>
                    <w:right w:w="45" w:type="dxa"/>
                  </w:tcMar>
                  <w:vAlign w:val="center"/>
                </w:tcPr>
                <w:p w14:paraId="412C235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977" w:type="dxa"/>
                  <w:noWrap w:val="0"/>
                  <w:tcMar>
                    <w:top w:w="0" w:type="dxa"/>
                    <w:left w:w="45" w:type="dxa"/>
                    <w:bottom w:w="0" w:type="dxa"/>
                    <w:right w:w="45" w:type="dxa"/>
                  </w:tcMar>
                  <w:vAlign w:val="center"/>
                </w:tcPr>
                <w:p w14:paraId="792AA1B3">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本项目所在区环境质量现状较好，本工程运营期在采取相应的污染防治措施后，各项污染物均能达标排放，不触及项目区环境质量底线。</w:t>
                  </w:r>
                </w:p>
              </w:tc>
              <w:tc>
                <w:tcPr>
                  <w:tcW w:w="449" w:type="dxa"/>
                  <w:noWrap w:val="0"/>
                  <w:tcMar>
                    <w:top w:w="0" w:type="dxa"/>
                    <w:left w:w="45" w:type="dxa"/>
                    <w:bottom w:w="0" w:type="dxa"/>
                    <w:right w:w="45" w:type="dxa"/>
                  </w:tcMar>
                  <w:vAlign w:val="center"/>
                </w:tcPr>
                <w:p w14:paraId="5432ACF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75AD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dxa"/>
                  <w:noWrap w:val="0"/>
                  <w:tcMar>
                    <w:top w:w="0" w:type="dxa"/>
                    <w:left w:w="45" w:type="dxa"/>
                    <w:bottom w:w="0" w:type="dxa"/>
                    <w:right w:w="45" w:type="dxa"/>
                  </w:tcMar>
                  <w:vAlign w:val="center"/>
                </w:tcPr>
                <w:p w14:paraId="32E5C2E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资源利用上线</w:t>
                  </w:r>
                </w:p>
              </w:tc>
              <w:tc>
                <w:tcPr>
                  <w:tcW w:w="3912" w:type="dxa"/>
                  <w:noWrap w:val="0"/>
                  <w:tcMar>
                    <w:top w:w="0" w:type="dxa"/>
                    <w:left w:w="45" w:type="dxa"/>
                    <w:bottom w:w="0" w:type="dxa"/>
                    <w:right w:w="45" w:type="dxa"/>
                  </w:tcMar>
                  <w:vAlign w:val="center"/>
                </w:tcPr>
                <w:p w14:paraId="0BF364D2">
                  <w:pPr>
                    <w:keepNext w:val="0"/>
                    <w:keepLines w:val="0"/>
                    <w:suppressLineNumbers w:val="0"/>
                    <w:autoSpaceDE w:val="0"/>
                    <w:autoSpaceDN w:val="0"/>
                    <w:spacing w:before="0" w:beforeAutospacing="0" w:after="0" w:afterAutospacing="0" w:line="240" w:lineRule="auto"/>
                    <w:ind w:left="0" w:right="0" w:firstLine="0" w:firstLineChars="0"/>
                    <w:jc w:val="both"/>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资源是环境的载体，资源利用上线是各地区能源、水、土地等资源消耗不得突破的</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天花板</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相关规划环评应依据有关资源利用上线，对规划实施以及规划内项目的资源开发利用，区分不同行业，从能源资源开发等量或减量替代、开发方式和规模控制、利用效率和保护措施等方面提出建议，为规划编制和审批决策提供重要依据。</w:t>
                  </w:r>
                </w:p>
              </w:tc>
              <w:tc>
                <w:tcPr>
                  <w:tcW w:w="1977" w:type="dxa"/>
                  <w:noWrap w:val="0"/>
                  <w:tcMar>
                    <w:top w:w="0" w:type="dxa"/>
                    <w:left w:w="45" w:type="dxa"/>
                    <w:bottom w:w="0" w:type="dxa"/>
                    <w:right w:w="45" w:type="dxa"/>
                  </w:tcMar>
                  <w:vAlign w:val="center"/>
                </w:tcPr>
                <w:p w14:paraId="5F5EFDFF">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bCs/>
                      <w:color w:val="000000" w:themeColor="text1"/>
                      <w:szCs w:val="21"/>
                      <w14:textFill>
                        <w14:solidFill>
                          <w14:schemeClr w14:val="tx1"/>
                        </w14:solidFill>
                      </w14:textFill>
                    </w:rPr>
                  </w:pPr>
                  <w:r>
                    <w:rPr>
                      <w:rFonts w:hint="eastAsia"/>
                      <w:color w:val="FF0000"/>
                      <w:szCs w:val="21"/>
                    </w:rPr>
                    <w:t>本项目位于</w:t>
                  </w:r>
                  <w:r>
                    <w:rPr>
                      <w:rFonts w:hint="eastAsia"/>
                      <w:bCs/>
                      <w:color w:val="FF0000"/>
                      <w:sz w:val="21"/>
                      <w:szCs w:val="21"/>
                      <w:vertAlign w:val="baseline"/>
                      <w:lang w:val="en-US" w:eastAsia="zh-CN"/>
                    </w:rPr>
                    <w:t>安康高新技术产业开发区</w:t>
                  </w:r>
                  <w:r>
                    <w:rPr>
                      <w:rFonts w:hint="eastAsia"/>
                      <w:color w:val="FF0000"/>
                      <w:szCs w:val="21"/>
                    </w:rPr>
                    <w:t>，用地性质为工业用地。</w:t>
                  </w:r>
                  <w:r>
                    <w:rPr>
                      <w:rFonts w:hint="eastAsia"/>
                      <w:color w:val="FF0000"/>
                      <w:szCs w:val="21"/>
                      <w:lang w:val="en-US" w:eastAsia="zh-CN"/>
                    </w:rPr>
                    <w:t>运营期主要使用电能、水，相较于区域使用量占比较小，</w:t>
                  </w:r>
                  <w:r>
                    <w:rPr>
                      <w:rFonts w:hint="eastAsia"/>
                      <w:color w:val="FF0000"/>
                      <w:szCs w:val="21"/>
                    </w:rPr>
                    <w:t>不会触及资源利用上线。</w:t>
                  </w:r>
                </w:p>
              </w:tc>
              <w:tc>
                <w:tcPr>
                  <w:tcW w:w="449" w:type="dxa"/>
                  <w:noWrap w:val="0"/>
                  <w:tcMar>
                    <w:top w:w="0" w:type="dxa"/>
                    <w:left w:w="45" w:type="dxa"/>
                    <w:bottom w:w="0" w:type="dxa"/>
                    <w:right w:w="45" w:type="dxa"/>
                  </w:tcMar>
                  <w:vAlign w:val="center"/>
                </w:tcPr>
                <w:p w14:paraId="69ECADA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251A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357" w:type="dxa"/>
                  <w:noWrap w:val="0"/>
                  <w:tcMar>
                    <w:top w:w="0" w:type="dxa"/>
                    <w:left w:w="45" w:type="dxa"/>
                    <w:bottom w:w="0" w:type="dxa"/>
                    <w:right w:w="45" w:type="dxa"/>
                  </w:tcMar>
                  <w:vAlign w:val="center"/>
                </w:tcPr>
                <w:p w14:paraId="78125F0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生态准入清单</w:t>
                  </w:r>
                </w:p>
              </w:tc>
              <w:tc>
                <w:tcPr>
                  <w:tcW w:w="3912" w:type="dxa"/>
                  <w:noWrap w:val="0"/>
                  <w:tcMar>
                    <w:top w:w="0" w:type="dxa"/>
                    <w:left w:w="45" w:type="dxa"/>
                    <w:bottom w:w="0" w:type="dxa"/>
                    <w:right w:w="45" w:type="dxa"/>
                  </w:tcMar>
                  <w:vAlign w:val="center"/>
                </w:tcPr>
                <w:p w14:paraId="1D958DA9">
                  <w:pPr>
                    <w:keepNext w:val="0"/>
                    <w:keepLines w:val="0"/>
                    <w:suppressLineNumbers w:val="0"/>
                    <w:autoSpaceDE w:val="0"/>
                    <w:autoSpaceDN w:val="0"/>
                    <w:spacing w:before="0" w:beforeAutospacing="0" w:after="0" w:afterAutospacing="0" w:line="240" w:lineRule="auto"/>
                    <w:ind w:left="0" w:right="0" w:firstLine="0" w:firstLineChars="0"/>
                    <w:jc w:val="both"/>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977" w:type="dxa"/>
                  <w:noWrap w:val="0"/>
                  <w:tcMar>
                    <w:top w:w="0" w:type="dxa"/>
                    <w:left w:w="45" w:type="dxa"/>
                    <w:bottom w:w="0" w:type="dxa"/>
                    <w:right w:w="45" w:type="dxa"/>
                  </w:tcMar>
                  <w:vAlign w:val="center"/>
                </w:tcPr>
                <w:p w14:paraId="723B48D6">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根据《市场准入负面清单（2022年版）》，本项目不属于“清单”中限制类、禁止类、淘汰类项目，不涉及清单中落后设备、落后产品。项目也不在生态环境准入清单内。</w:t>
                  </w:r>
                </w:p>
              </w:tc>
              <w:tc>
                <w:tcPr>
                  <w:tcW w:w="449" w:type="dxa"/>
                  <w:noWrap w:val="0"/>
                  <w:tcMar>
                    <w:top w:w="0" w:type="dxa"/>
                    <w:left w:w="45" w:type="dxa"/>
                    <w:bottom w:w="0" w:type="dxa"/>
                    <w:right w:w="45" w:type="dxa"/>
                  </w:tcMar>
                  <w:vAlign w:val="center"/>
                </w:tcPr>
                <w:p w14:paraId="793D05E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bl>
          <w:p w14:paraId="67EA2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陕西省“三线一单”生态环境分区管控应用技术指南：环境影响评价（试行）》中环评文件规范化要求：环评文件涉及“三线一单”生态环境分区管控符合性分析采取“一图、一表、一说明”的表达方式，在对照分析结果右侧加列，并论证规划或建设项目的符合性</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3B8E17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fldChar w:fldCharType="begin"/>
            </w:r>
            <w:r>
              <w:rPr>
                <w:rFonts w:hint="default" w:cs="Times New Roman"/>
                <w:color w:val="000000" w:themeColor="text1"/>
                <w:sz w:val="24"/>
                <w:szCs w:val="24"/>
                <w:lang w:val="en-US" w:eastAsia="zh-CN"/>
                <w14:textFill>
                  <w14:solidFill>
                    <w14:schemeClr w14:val="tx1"/>
                  </w14:solidFill>
                </w14:textFill>
              </w:rPr>
              <w:instrText xml:space="preserve"> = 1 \* GB3 \* MERGEFORMAT </w:instrText>
            </w:r>
            <w:r>
              <w:rPr>
                <w:rFonts w:hint="default" w:cs="Times New Roman"/>
                <w:color w:val="000000" w:themeColor="text1"/>
                <w:sz w:val="24"/>
                <w:szCs w:val="24"/>
                <w:lang w:val="en-US" w:eastAsia="zh-CN"/>
                <w14:textFill>
                  <w14:solidFill>
                    <w14:schemeClr w14:val="tx1"/>
                  </w14:solidFill>
                </w14:textFill>
              </w:rPr>
              <w:fldChar w:fldCharType="separate"/>
            </w:r>
            <w:r>
              <w:rPr>
                <w:rFonts w:hint="eastAsia" w:cs="Times New Roman"/>
                <w:color w:val="000000" w:themeColor="text1"/>
                <w:sz w:val="24"/>
                <w:szCs w:val="24"/>
                <w:lang w:val="en-US" w:eastAsia="zh-CN"/>
                <w14:textFill>
                  <w14:solidFill>
                    <w14:schemeClr w14:val="tx1"/>
                  </w14:solidFill>
                </w14:textFill>
              </w:rPr>
              <w:t>①</w:t>
            </w:r>
            <w:r>
              <w:rPr>
                <w:rFonts w:hint="default" w:cs="Times New Roman"/>
                <w:color w:val="000000" w:themeColor="text1"/>
                <w:sz w:val="24"/>
                <w:szCs w:val="24"/>
                <w:lang w:val="en-US" w:eastAsia="zh-CN"/>
                <w14:textFill>
                  <w14:solidFill>
                    <w14:schemeClr w14:val="tx1"/>
                  </w14:solidFill>
                </w14:textFill>
              </w:rPr>
              <w:fldChar w:fldCharType="end"/>
            </w:r>
            <w:r>
              <w:rPr>
                <w:rFonts w:hint="default"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一图”：指的是规划或建设项目与环境管控单元对照分析示意图。</w:t>
            </w:r>
          </w:p>
          <w:p w14:paraId="5D1F1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根据《安康市人民政府关于印发安康市“三线一单”生态环境分区管控方案的通知》（安政发〔2021〕18 号）中的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安康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市生态环境管控单元分布示意图、《陕西省“三线一单”生态环境管控单元对照分析报告》中“空间冲突附图”，本项目位于重点管控单元，见图1-1。</w:t>
            </w:r>
          </w:p>
          <w:p w14:paraId="348C3E31">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rPr>
            </w:pPr>
            <w:r>
              <w:rPr>
                <w:rFonts w:hint="default"/>
              </w:rPr>
              <w:drawing>
                <wp:inline distT="0" distB="0" distL="114300" distR="114300">
                  <wp:extent cx="2849880" cy="4030980"/>
                  <wp:effectExtent l="0" t="0" r="7620" b="762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9"/>
                          <a:stretch>
                            <a:fillRect/>
                          </a:stretch>
                        </pic:blipFill>
                        <pic:spPr>
                          <a:xfrm>
                            <a:off x="0" y="0"/>
                            <a:ext cx="2849880" cy="4030980"/>
                          </a:xfrm>
                          <a:prstGeom prst="rect">
                            <a:avLst/>
                          </a:prstGeom>
                          <a:noFill/>
                          <a:ln>
                            <a:noFill/>
                          </a:ln>
                        </pic:spPr>
                      </pic:pic>
                    </a:graphicData>
                  </a:graphic>
                </wp:inline>
              </w:drawing>
            </w:r>
          </w:p>
          <w:p w14:paraId="301F8C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图1</w:t>
            </w:r>
            <w:r>
              <w:rPr>
                <w:rFonts w:hint="default" w:ascii="Times New Roman" w:hAnsi="Times New Roman" w:eastAsia="宋体" w:cs="Times New Roman"/>
                <w:b/>
                <w:bCs/>
                <w:color w:val="auto"/>
                <w:sz w:val="24"/>
                <w:szCs w:val="32"/>
                <w:lang w:val="en-US" w:eastAsia="zh-CN"/>
              </w:rPr>
              <w:t>-1</w:t>
            </w:r>
            <w:r>
              <w:rPr>
                <w:rFonts w:hint="default" w:ascii="Times New Roman" w:hAnsi="Times New Roman" w:eastAsia="宋体" w:cs="Times New Roman"/>
                <w:b/>
                <w:bCs/>
                <w:color w:val="auto"/>
                <w:sz w:val="24"/>
                <w:szCs w:val="32"/>
              </w:rPr>
              <w:t xml:space="preserve">  本项目与</w:t>
            </w:r>
            <w:r>
              <w:rPr>
                <w:rFonts w:hint="eastAsia" w:cs="Times New Roman"/>
                <w:b/>
                <w:bCs/>
                <w:color w:val="auto"/>
                <w:sz w:val="24"/>
                <w:szCs w:val="32"/>
                <w:lang w:eastAsia="zh-CN"/>
              </w:rPr>
              <w:t>安康市</w:t>
            </w:r>
            <w:r>
              <w:rPr>
                <w:rFonts w:hint="default" w:ascii="Times New Roman" w:hAnsi="Times New Roman" w:eastAsia="宋体" w:cs="Times New Roman"/>
                <w:b/>
                <w:bCs/>
                <w:color w:val="auto"/>
                <w:sz w:val="24"/>
                <w:szCs w:val="32"/>
              </w:rPr>
              <w:t>“三线一单”环境管控单元对照图</w:t>
            </w:r>
          </w:p>
          <w:p w14:paraId="43E6A90B">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sz w:val="21"/>
                <w:szCs w:val="21"/>
              </w:rPr>
              <w:t>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“一表”：指的是项目或规划范围涉及的生态环境管控单元准入清单。</w:t>
            </w:r>
          </w:p>
          <w:p w14:paraId="63DDC3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安康市“三线一单”生态环境分区管控方案</w:t>
            </w:r>
            <w:r>
              <w:rPr>
                <w:rFonts w:hint="default" w:ascii="Times New Roman" w:hAnsi="Times New Roman" w:eastAsia="宋体" w:cs="Times New Roman"/>
                <w:color w:val="000000" w:themeColor="text1"/>
                <w:sz w:val="24"/>
                <w:lang w:eastAsia="zh-CN"/>
                <w14:textFill>
                  <w14:solidFill>
                    <w14:schemeClr w14:val="tx1"/>
                  </w14:solidFill>
                </w14:textFill>
              </w:rPr>
              <w:t>》，项目位于</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重点管控单元</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安康市</w:t>
            </w:r>
            <w:r>
              <w:rPr>
                <w:rFonts w:hint="default" w:ascii="Times New Roman" w:hAnsi="Times New Roman" w:eastAsia="宋体" w:cs="Times New Roman"/>
                <w:color w:val="000000" w:themeColor="text1"/>
                <w:sz w:val="24"/>
                <w:lang w:eastAsia="zh-CN"/>
                <w14:textFill>
                  <w14:solidFill>
                    <w14:schemeClr w14:val="tx1"/>
                  </w14:solidFill>
                </w14:textFill>
              </w:rPr>
              <w:t>重点管控单元的分区管控要求是：应优化空间布局，加强污染物排放控制和环境风险防控，提升资源利用效率，解决突出生态环境问题。</w:t>
            </w:r>
          </w:p>
          <w:p w14:paraId="7F20FE86">
            <w:pPr>
              <w:keepNext w:val="0"/>
              <w:keepLines w:val="0"/>
              <w:numPr>
                <w:ilvl w:val="0"/>
                <w:numId w:val="0"/>
              </w:numPr>
              <w:suppressLineNumbers w:val="0"/>
              <w:spacing w:before="0" w:beforeAutospacing="0" w:after="0" w:afterAutospacing="0" w:line="360" w:lineRule="auto"/>
              <w:ind w:left="0" w:right="0" w:firstLine="723" w:firstLineChars="3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表1-4     本项目与分区管控占地类型一览表</w:t>
            </w:r>
          </w:p>
          <w:tbl>
            <w:tblPr>
              <w:tblStyle w:val="36"/>
              <w:tblW w:w="6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267"/>
              <w:gridCol w:w="3312"/>
            </w:tblGrid>
            <w:tr w14:paraId="2851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940" w:type="dxa"/>
                  <w:vAlign w:val="center"/>
                </w:tcPr>
                <w:p w14:paraId="6A642B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环境管控单位分类</w:t>
                  </w:r>
                </w:p>
              </w:tc>
              <w:tc>
                <w:tcPr>
                  <w:tcW w:w="1267" w:type="dxa"/>
                  <w:vAlign w:val="center"/>
                </w:tcPr>
                <w:p w14:paraId="14AC09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是否涉及</w:t>
                  </w:r>
                </w:p>
              </w:tc>
              <w:tc>
                <w:tcPr>
                  <w:tcW w:w="3312" w:type="dxa"/>
                  <w:vAlign w:val="center"/>
                </w:tcPr>
                <w:p w14:paraId="6CB886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面积/长度</w:t>
                  </w:r>
                </w:p>
              </w:tc>
            </w:tr>
            <w:tr w14:paraId="1A15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940" w:type="dxa"/>
                  <w:vAlign w:val="center"/>
                </w:tcPr>
                <w:p w14:paraId="634B53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优先保护单元</w:t>
                  </w:r>
                </w:p>
              </w:tc>
              <w:tc>
                <w:tcPr>
                  <w:tcW w:w="1267" w:type="dxa"/>
                  <w:vAlign w:val="center"/>
                </w:tcPr>
                <w:p w14:paraId="68D636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c>
                <w:tcPr>
                  <w:tcW w:w="3312" w:type="dxa"/>
                  <w:vAlign w:val="center"/>
                </w:tcPr>
                <w:p w14:paraId="48DFD5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0平方米</w:t>
                  </w:r>
                </w:p>
              </w:tc>
            </w:tr>
            <w:tr w14:paraId="6BA7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940" w:type="dxa"/>
                  <w:vAlign w:val="center"/>
                </w:tcPr>
                <w:p w14:paraId="12908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重点管控单元</w:t>
                  </w:r>
                </w:p>
              </w:tc>
              <w:tc>
                <w:tcPr>
                  <w:tcW w:w="1267" w:type="dxa"/>
                  <w:vAlign w:val="center"/>
                </w:tcPr>
                <w:p w14:paraId="110F7D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是</w:t>
                  </w:r>
                </w:p>
              </w:tc>
              <w:tc>
                <w:tcPr>
                  <w:tcW w:w="3312" w:type="dxa"/>
                  <w:vAlign w:val="center"/>
                </w:tcPr>
                <w:p w14:paraId="55B4E2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29058.25平方米（仅为参考）</w:t>
                  </w:r>
                </w:p>
              </w:tc>
            </w:tr>
            <w:tr w14:paraId="0508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940" w:type="dxa"/>
                  <w:vAlign w:val="center"/>
                </w:tcPr>
                <w:p w14:paraId="71BAC8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一般管控单元</w:t>
                  </w:r>
                </w:p>
              </w:tc>
              <w:tc>
                <w:tcPr>
                  <w:tcW w:w="1267" w:type="dxa"/>
                  <w:vAlign w:val="center"/>
                </w:tcPr>
                <w:p w14:paraId="7E24BD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tc>
              <w:tc>
                <w:tcPr>
                  <w:tcW w:w="3312" w:type="dxa"/>
                  <w:vAlign w:val="center"/>
                </w:tcPr>
                <w:p w14:paraId="32E71A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0平方米</w:t>
                  </w:r>
                </w:p>
              </w:tc>
            </w:tr>
          </w:tbl>
          <w:p w14:paraId="41B46F30">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lang w:val="en-US" w:eastAsia="zh-CN" w:bidi="ar"/>
              </w:rPr>
            </w:pPr>
          </w:p>
          <w:p w14:paraId="4D4CA085">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5338D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74600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13B010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52A09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5340D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59807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0B853E0F">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701FB08A">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42E4529D">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699716F8">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689315BA">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29E6B866">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1D516285">
            <w:pPr>
              <w:pStyle w:val="3"/>
              <w:suppressLineNumbers w:val="0"/>
              <w:spacing w:beforeAutospacing="0" w:afterAutospacing="0"/>
              <w:ind w:left="0" w:right="0"/>
              <w:jc w:val="both"/>
              <w:rPr>
                <w:rFonts w:hint="default"/>
                <w:lang w:val="en-US" w:eastAsia="zh-CN"/>
              </w:rPr>
            </w:pPr>
          </w:p>
          <w:p w14:paraId="39AEB891">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10ECC7B0">
            <w:pPr>
              <w:pStyle w:val="3"/>
              <w:suppressLineNumbers w:val="0"/>
              <w:spacing w:beforeAutospacing="0" w:afterAutospacing="0"/>
              <w:ind w:left="0" w:right="0"/>
              <w:jc w:val="both"/>
              <w:rPr>
                <w:rFonts w:hint="default"/>
                <w:lang w:val="en-US" w:eastAsia="zh-CN"/>
              </w:rPr>
            </w:pPr>
          </w:p>
          <w:p w14:paraId="79004993">
            <w:pPr>
              <w:keepNext w:val="0"/>
              <w:keepLines w:val="0"/>
              <w:suppressLineNumbers w:val="0"/>
              <w:spacing w:before="0" w:beforeAutospacing="0" w:after="0" w:afterAutospacing="0"/>
              <w:ind w:left="0" w:right="0"/>
              <w:rPr>
                <w:rFonts w:hint="default"/>
                <w:lang w:val="en-US" w:eastAsia="zh-CN"/>
              </w:rPr>
            </w:pPr>
          </w:p>
          <w:p w14:paraId="56FE6248">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25990E4C">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39A34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4905D676">
            <w:pPr>
              <w:pStyle w:val="3"/>
              <w:suppressLineNumbers w:val="0"/>
              <w:spacing w:beforeAutospacing="0" w:afterAutospacing="0"/>
              <w:ind w:left="0" w:right="0"/>
              <w:jc w:val="both"/>
              <w:rPr>
                <w:rFonts w:hint="default"/>
                <w:lang w:val="en-US" w:eastAsia="zh-CN"/>
              </w:rPr>
            </w:pPr>
          </w:p>
          <w:p w14:paraId="7AB2ACF8">
            <w:pPr>
              <w:keepNext w:val="0"/>
              <w:keepLines w:val="0"/>
              <w:suppressLineNumbers w:val="0"/>
              <w:spacing w:before="0" w:beforeAutospacing="0" w:after="0" w:afterAutospacing="0"/>
              <w:ind w:left="0" w:right="0"/>
              <w:rPr>
                <w:rFonts w:hint="default"/>
                <w:lang w:val="en-US" w:eastAsia="zh-CN"/>
              </w:rPr>
            </w:pPr>
          </w:p>
        </w:tc>
      </w:tr>
    </w:tbl>
    <w:p w14:paraId="2265B65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 w:val="24"/>
        </w:rPr>
      </w:pPr>
    </w:p>
    <w:p w14:paraId="4C080145">
      <w:pPr>
        <w:rPr>
          <w:rFonts w:hint="default"/>
        </w:rPr>
        <w:sectPr>
          <w:footerReference r:id="rId4" w:type="default"/>
          <w:pgSz w:w="11906" w:h="16838"/>
          <w:pgMar w:top="1418" w:right="1418" w:bottom="1418" w:left="1701" w:header="992" w:footer="992" w:gutter="0"/>
          <w:pgBorders>
            <w:top w:val="none" w:sz="0" w:space="0"/>
            <w:left w:val="none" w:sz="0" w:space="0"/>
            <w:bottom w:val="none" w:sz="0" w:space="0"/>
            <w:right w:val="none" w:sz="0" w:space="0"/>
          </w:pgBorders>
          <w:pgNumType w:start="1"/>
          <w:cols w:space="720" w:num="1"/>
          <w:docGrid w:linePitch="312" w:charSpace="0"/>
        </w:sectPr>
      </w:pPr>
    </w:p>
    <w:tbl>
      <w:tblPr>
        <w:tblStyle w:val="35"/>
        <w:tblW w:w="48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2553"/>
      </w:tblGrid>
      <w:tr w14:paraId="3C5AC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8" w:hRule="atLeast"/>
          <w:jc w:val="center"/>
        </w:trPr>
        <w:tc>
          <w:tcPr>
            <w:tcW w:w="454" w:type="pct"/>
            <w:vAlign w:val="center"/>
          </w:tcPr>
          <w:p w14:paraId="698A276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 w:val="24"/>
              </w:rPr>
              <w:t>其他符合性分析</w:t>
            </w:r>
          </w:p>
        </w:tc>
        <w:tc>
          <w:tcPr>
            <w:tcW w:w="4545" w:type="pct"/>
            <w:vAlign w:val="top"/>
          </w:tcPr>
          <w:p w14:paraId="7528771E">
            <w:pPr>
              <w:keepNext w:val="0"/>
              <w:keepLines w:val="0"/>
              <w:numPr>
                <w:ilvl w:val="0"/>
                <w:numId w:val="0"/>
              </w:numPr>
              <w:suppressLineNumbers w:val="0"/>
              <w:tabs>
                <w:tab w:val="left" w:pos="0"/>
              </w:tabs>
              <w:spacing w:before="0" w:beforeAutospacing="0" w:after="0" w:afterAutospacing="0"/>
              <w:ind w:left="0" w:leftChars="0" w:right="0" w:rightChars="0" w:firstLine="1897" w:firstLineChars="900"/>
              <w:jc w:val="both"/>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表1-5</w:t>
            </w:r>
            <w:r>
              <w:rPr>
                <w:rFonts w:hint="default" w:ascii="Times New Roman" w:hAnsi="Times New Roman" w:eastAsia="宋体" w:cs="Times New Roman"/>
                <w:b/>
                <w:bCs/>
                <w:color w:val="auto"/>
                <w:szCs w:val="21"/>
                <w:lang w:val="en-US" w:eastAsia="zh-CN"/>
              </w:rPr>
              <w:t xml:space="preserve"> </w:t>
            </w:r>
            <w:r>
              <w:rPr>
                <w:rFonts w:hint="eastAsia" w:cs="Times New Roman"/>
                <w:b/>
                <w:bCs/>
                <w:color w:val="auto"/>
                <w:szCs w:val="21"/>
                <w:lang w:val="en-US" w:eastAsia="zh-CN"/>
              </w:rPr>
              <w:t xml:space="preserve">     </w:t>
            </w:r>
            <w:r>
              <w:rPr>
                <w:rFonts w:hint="default" w:ascii="Times New Roman" w:hAnsi="Times New Roman" w:eastAsia="宋体" w:cs="Times New Roman"/>
                <w:b/>
                <w:bCs/>
                <w:color w:val="auto"/>
                <w:szCs w:val="21"/>
                <w:lang w:val="en-US" w:eastAsia="zh-CN"/>
              </w:rPr>
              <w:t xml:space="preserve"> 项目与《</w:t>
            </w:r>
            <w:r>
              <w:rPr>
                <w:rFonts w:hint="eastAsia" w:cs="Times New Roman"/>
                <w:b/>
                <w:bCs/>
                <w:color w:val="auto"/>
                <w:szCs w:val="21"/>
                <w:lang w:val="en-US" w:eastAsia="zh-CN"/>
              </w:rPr>
              <w:t>安康市</w:t>
            </w:r>
            <w:r>
              <w:rPr>
                <w:rFonts w:hint="default" w:ascii="Times New Roman" w:hAnsi="Times New Roman" w:eastAsia="宋体" w:cs="Times New Roman"/>
                <w:b/>
                <w:bCs/>
                <w:color w:val="auto"/>
                <w:szCs w:val="21"/>
                <w:lang w:val="en-US" w:eastAsia="zh-CN"/>
              </w:rPr>
              <w:t>“三线一单”生态环境分区管控方案》的相符性分析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853"/>
              <w:gridCol w:w="904"/>
              <w:gridCol w:w="5564"/>
              <w:gridCol w:w="3725"/>
              <w:gridCol w:w="517"/>
            </w:tblGrid>
            <w:tr w14:paraId="0F73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noWrap w:val="0"/>
                  <w:tcMar>
                    <w:top w:w="0" w:type="dxa"/>
                    <w:left w:w="45" w:type="dxa"/>
                    <w:bottom w:w="0" w:type="dxa"/>
                    <w:right w:w="45" w:type="dxa"/>
                  </w:tcMar>
                  <w:vAlign w:val="center"/>
                </w:tcPr>
                <w:p w14:paraId="7A3647B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b/>
                      <w:bCs/>
                      <w:szCs w:val="21"/>
                      <w:lang w:val="en-US" w:eastAsia="zh-CN"/>
                    </w:rPr>
                  </w:pPr>
                  <w:r>
                    <w:rPr>
                      <w:rFonts w:hint="eastAsia"/>
                      <w:b/>
                      <w:bCs/>
                      <w:szCs w:val="21"/>
                      <w:lang w:val="en-US" w:eastAsia="zh-CN"/>
                    </w:rPr>
                    <w:t>涉及的环境管控单元</w:t>
                  </w:r>
                </w:p>
              </w:tc>
              <w:tc>
                <w:tcPr>
                  <w:tcW w:w="853" w:type="dxa"/>
                  <w:noWrap w:val="0"/>
                  <w:tcMar>
                    <w:top w:w="0" w:type="dxa"/>
                    <w:left w:w="45" w:type="dxa"/>
                    <w:bottom w:w="0" w:type="dxa"/>
                    <w:right w:w="45" w:type="dxa"/>
                  </w:tcMar>
                  <w:vAlign w:val="center"/>
                </w:tcPr>
                <w:p w14:paraId="02BEF2B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b/>
                      <w:bCs/>
                      <w:szCs w:val="21"/>
                      <w:lang w:val="en-US" w:eastAsia="zh-CN"/>
                    </w:rPr>
                  </w:pPr>
                  <w:r>
                    <w:rPr>
                      <w:rFonts w:hint="eastAsia"/>
                      <w:b/>
                      <w:bCs/>
                      <w:szCs w:val="21"/>
                      <w:lang w:val="en-US" w:eastAsia="zh-CN"/>
                    </w:rPr>
                    <w:t>单元要素属性</w:t>
                  </w:r>
                </w:p>
              </w:tc>
              <w:tc>
                <w:tcPr>
                  <w:tcW w:w="904" w:type="dxa"/>
                  <w:noWrap w:val="0"/>
                  <w:tcMar>
                    <w:top w:w="0" w:type="dxa"/>
                    <w:left w:w="45" w:type="dxa"/>
                    <w:bottom w:w="0" w:type="dxa"/>
                    <w:right w:w="45" w:type="dxa"/>
                  </w:tcMar>
                  <w:vAlign w:val="center"/>
                </w:tcPr>
                <w:p w14:paraId="572FE58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b/>
                      <w:bCs/>
                      <w:szCs w:val="21"/>
                      <w:lang w:val="en-US" w:eastAsia="zh-CN"/>
                    </w:rPr>
                  </w:pPr>
                  <w:r>
                    <w:rPr>
                      <w:rFonts w:hint="eastAsia"/>
                      <w:b/>
                      <w:bCs/>
                      <w:szCs w:val="21"/>
                      <w:lang w:val="en-US" w:eastAsia="zh-CN"/>
                    </w:rPr>
                    <w:t>管控要求分类</w:t>
                  </w:r>
                </w:p>
              </w:tc>
              <w:tc>
                <w:tcPr>
                  <w:tcW w:w="5564" w:type="dxa"/>
                  <w:noWrap w:val="0"/>
                  <w:tcMar>
                    <w:top w:w="0" w:type="dxa"/>
                    <w:left w:w="45" w:type="dxa"/>
                    <w:bottom w:w="0" w:type="dxa"/>
                    <w:right w:w="45" w:type="dxa"/>
                  </w:tcMar>
                  <w:vAlign w:val="center"/>
                </w:tcPr>
                <w:p w14:paraId="4AE19823">
                  <w:pPr>
                    <w:keepNext w:val="0"/>
                    <w:keepLines w:val="0"/>
                    <w:widowControl/>
                    <w:suppressLineNumbers w:val="0"/>
                    <w:topLinePunct w:val="0"/>
                    <w:spacing w:before="0" w:beforeAutospacing="0" w:after="0" w:afterAutospacing="0" w:line="240" w:lineRule="auto"/>
                    <w:ind w:left="0" w:right="0" w:firstLine="0" w:firstLineChars="0"/>
                    <w:jc w:val="center"/>
                    <w:rPr>
                      <w:rFonts w:hint="eastAsia" w:eastAsia="宋体"/>
                      <w:b/>
                      <w:bCs/>
                      <w:szCs w:val="21"/>
                      <w:lang w:val="en-US" w:eastAsia="zh-CN"/>
                    </w:rPr>
                  </w:pPr>
                  <w:r>
                    <w:rPr>
                      <w:rFonts w:hint="eastAsia"/>
                      <w:b/>
                      <w:bCs/>
                      <w:szCs w:val="21"/>
                      <w:lang w:val="en-US" w:eastAsia="zh-CN"/>
                    </w:rPr>
                    <w:t>管控要求</w:t>
                  </w:r>
                </w:p>
              </w:tc>
              <w:tc>
                <w:tcPr>
                  <w:tcW w:w="3725" w:type="dxa"/>
                  <w:noWrap w:val="0"/>
                  <w:tcMar>
                    <w:top w:w="0" w:type="dxa"/>
                    <w:left w:w="45" w:type="dxa"/>
                    <w:bottom w:w="0" w:type="dxa"/>
                    <w:right w:w="45" w:type="dxa"/>
                  </w:tcMar>
                  <w:vAlign w:val="center"/>
                </w:tcPr>
                <w:p w14:paraId="42B5AC9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b/>
                      <w:bCs/>
                      <w:szCs w:val="21"/>
                      <w:lang w:val="en-US" w:eastAsia="zh-CN"/>
                    </w:rPr>
                  </w:pPr>
                  <w:r>
                    <w:rPr>
                      <w:rFonts w:hint="eastAsia"/>
                      <w:b/>
                      <w:bCs/>
                      <w:szCs w:val="21"/>
                      <w:lang w:val="en-US" w:eastAsia="zh-CN"/>
                    </w:rPr>
                    <w:t>本项目情况</w:t>
                  </w:r>
                </w:p>
              </w:tc>
              <w:tc>
                <w:tcPr>
                  <w:tcW w:w="517" w:type="dxa"/>
                  <w:noWrap w:val="0"/>
                  <w:tcMar>
                    <w:top w:w="0" w:type="dxa"/>
                    <w:left w:w="45" w:type="dxa"/>
                    <w:bottom w:w="0" w:type="dxa"/>
                    <w:right w:w="45" w:type="dxa"/>
                  </w:tcMar>
                  <w:vAlign w:val="center"/>
                </w:tcPr>
                <w:p w14:paraId="60CF3982">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eastAsia="宋体"/>
                      <w:szCs w:val="21"/>
                      <w:lang w:val="en-US" w:eastAsia="zh-CN"/>
                    </w:rPr>
                  </w:pPr>
                  <w:r>
                    <w:rPr>
                      <w:rFonts w:hint="eastAsia"/>
                      <w:b/>
                      <w:bCs/>
                      <w:szCs w:val="21"/>
                      <w:lang w:val="en-US" w:eastAsia="zh-CN"/>
                    </w:rPr>
                    <w:t>符合性</w:t>
                  </w:r>
                </w:p>
              </w:tc>
            </w:tr>
            <w:tr w14:paraId="1951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restart"/>
                  <w:noWrap w:val="0"/>
                  <w:tcMar>
                    <w:top w:w="0" w:type="dxa"/>
                    <w:left w:w="45" w:type="dxa"/>
                    <w:bottom w:w="0" w:type="dxa"/>
                    <w:right w:w="45" w:type="dxa"/>
                  </w:tcMar>
                  <w:vAlign w:val="center"/>
                </w:tcPr>
                <w:p w14:paraId="12121246">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安康高新技术</w:t>
                  </w:r>
                </w:p>
                <w:p w14:paraId="5A5E3A7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eastAsia"/>
                      <w:szCs w:val="21"/>
                    </w:rPr>
                    <w:t>产业开发区</w:t>
                  </w:r>
                </w:p>
              </w:tc>
              <w:tc>
                <w:tcPr>
                  <w:tcW w:w="853" w:type="dxa"/>
                  <w:vMerge w:val="restart"/>
                  <w:noWrap w:val="0"/>
                  <w:tcMar>
                    <w:top w:w="0" w:type="dxa"/>
                    <w:left w:w="45" w:type="dxa"/>
                    <w:bottom w:w="0" w:type="dxa"/>
                    <w:right w:w="45" w:type="dxa"/>
                  </w:tcMar>
                  <w:vAlign w:val="center"/>
                </w:tcPr>
                <w:p w14:paraId="1D5D41EC">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大气环境高排</w:t>
                  </w:r>
                </w:p>
                <w:p w14:paraId="0FC1D622">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放重点管控区</w:t>
                  </w:r>
                </w:p>
              </w:tc>
              <w:tc>
                <w:tcPr>
                  <w:tcW w:w="904" w:type="dxa"/>
                  <w:shd w:val="clear" w:color="auto" w:fill="auto"/>
                  <w:noWrap w:val="0"/>
                  <w:tcMar>
                    <w:top w:w="0" w:type="dxa"/>
                    <w:left w:w="45" w:type="dxa"/>
                    <w:bottom w:w="0" w:type="dxa"/>
                    <w:right w:w="45" w:type="dxa"/>
                  </w:tcMar>
                  <w:vAlign w:val="center"/>
                </w:tcPr>
                <w:p w14:paraId="38A43C03">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szCs w:val="21"/>
                    </w:rPr>
                    <w:t>空间布局约束</w:t>
                  </w:r>
                </w:p>
              </w:tc>
              <w:tc>
                <w:tcPr>
                  <w:tcW w:w="5564" w:type="dxa"/>
                  <w:shd w:val="clear" w:color="auto" w:fill="auto"/>
                  <w:noWrap w:val="0"/>
                  <w:tcMar>
                    <w:top w:w="0" w:type="dxa"/>
                    <w:left w:w="45" w:type="dxa"/>
                    <w:bottom w:w="0" w:type="dxa"/>
                    <w:right w:w="45" w:type="dxa"/>
                  </w:tcMar>
                  <w:vAlign w:val="center"/>
                </w:tcPr>
                <w:p w14:paraId="13A25109">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大气环境高排放重点管控区：</w:t>
                  </w:r>
                </w:p>
                <w:p w14:paraId="74483CD5">
                  <w:pPr>
                    <w:keepNext w:val="0"/>
                    <w:keepLines w:val="0"/>
                    <w:widowControl/>
                    <w:suppressLineNumbers w:val="0"/>
                    <w:topLinePunct w:val="0"/>
                    <w:spacing w:before="0" w:beforeAutospacing="0" w:after="0" w:afterAutospacing="0" w:line="240" w:lineRule="auto"/>
                    <w:ind w:left="0" w:leftChars="0" w:right="0" w:rightChars="0" w:firstLine="0" w:firstLineChars="0"/>
                    <w:rPr>
                      <w:rFonts w:hint="eastAsia" w:ascii="Times New Roman" w:hAnsi="Times New Roman" w:eastAsia="宋体" w:cs="Times New Roman"/>
                      <w:kern w:val="2"/>
                      <w:sz w:val="21"/>
                      <w:szCs w:val="21"/>
                      <w:lang w:val="en-US" w:eastAsia="zh-CN" w:bidi="ar-SA"/>
                    </w:rPr>
                  </w:pPr>
                  <w:r>
                    <w:rPr>
                      <w:rFonts w:hint="eastAsia"/>
                      <w:szCs w:val="21"/>
                    </w:rPr>
                    <w:t>1.优先发展绿色循环经济产业，推动绿色产品、高效节能产品。</w:t>
                  </w:r>
                </w:p>
              </w:tc>
              <w:tc>
                <w:tcPr>
                  <w:tcW w:w="3725" w:type="dxa"/>
                  <w:vMerge w:val="restart"/>
                  <w:noWrap w:val="0"/>
                  <w:tcMar>
                    <w:top w:w="0" w:type="dxa"/>
                    <w:left w:w="45" w:type="dxa"/>
                    <w:bottom w:w="0" w:type="dxa"/>
                    <w:right w:w="45" w:type="dxa"/>
                  </w:tcMar>
                  <w:vAlign w:val="center"/>
                </w:tcPr>
                <w:p w14:paraId="08EDA022">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color w:val="FF0000"/>
                      <w:szCs w:val="21"/>
                    </w:rPr>
                  </w:pPr>
                  <w:r>
                    <w:rPr>
                      <w:rFonts w:hint="eastAsia"/>
                      <w:color w:val="FF0000"/>
                      <w:szCs w:val="21"/>
                    </w:rPr>
                    <w:t>项目位于</w:t>
                  </w:r>
                  <w:r>
                    <w:rPr>
                      <w:rFonts w:hint="eastAsia"/>
                      <w:bCs/>
                      <w:color w:val="FF0000"/>
                      <w:sz w:val="21"/>
                      <w:szCs w:val="21"/>
                      <w:vertAlign w:val="baseline"/>
                      <w:lang w:val="en-US" w:eastAsia="zh-CN"/>
                    </w:rPr>
                    <w:t>安康高新技术产业开发区，用地性质为工业用地</w:t>
                  </w:r>
                  <w:r>
                    <w:rPr>
                      <w:rFonts w:hint="eastAsia"/>
                      <w:color w:val="FF0000"/>
                      <w:szCs w:val="21"/>
                    </w:rPr>
                    <w:t>；</w:t>
                  </w:r>
                  <w:r>
                    <w:rPr>
                      <w:rFonts w:hint="eastAsia"/>
                      <w:color w:val="FF0000"/>
                      <w:szCs w:val="21"/>
                      <w:highlight w:val="none"/>
                    </w:rPr>
                    <w:t>项目生产过程使用电</w:t>
                  </w:r>
                  <w:r>
                    <w:rPr>
                      <w:rFonts w:hint="eastAsia"/>
                      <w:color w:val="FF0000"/>
                      <w:szCs w:val="21"/>
                      <w:highlight w:val="none"/>
                      <w:lang w:val="en-US" w:eastAsia="zh-CN"/>
                    </w:rPr>
                    <w:t>能</w:t>
                  </w:r>
                  <w:r>
                    <w:rPr>
                      <w:rFonts w:hint="eastAsia"/>
                      <w:color w:val="FF0000"/>
                      <w:szCs w:val="21"/>
                      <w:highlight w:val="none"/>
                      <w:lang w:eastAsia="zh-CN"/>
                    </w:rPr>
                    <w:t>、</w:t>
                  </w:r>
                  <w:r>
                    <w:rPr>
                      <w:rFonts w:hint="eastAsia"/>
                      <w:color w:val="FF0000"/>
                      <w:szCs w:val="21"/>
                      <w:highlight w:val="none"/>
                      <w:lang w:val="en-US" w:eastAsia="zh-CN"/>
                    </w:rPr>
                    <w:t>水</w:t>
                  </w:r>
                  <w:r>
                    <w:rPr>
                      <w:rFonts w:hint="eastAsia"/>
                      <w:color w:val="FF0000"/>
                      <w:szCs w:val="21"/>
                      <w:highlight w:val="none"/>
                    </w:rPr>
                    <w:t>能，</w:t>
                  </w:r>
                  <w:r>
                    <w:rPr>
                      <w:rFonts w:hint="eastAsia"/>
                      <w:color w:val="FF0000"/>
                      <w:szCs w:val="21"/>
                      <w:highlight w:val="none"/>
                      <w:lang w:val="en-US" w:eastAsia="zh-CN"/>
                    </w:rPr>
                    <w:t>能耗折标煤约1454t/a，</w:t>
                  </w:r>
                  <w:r>
                    <w:rPr>
                      <w:rFonts w:hint="eastAsia"/>
                      <w:color w:val="FF0000"/>
                      <w:szCs w:val="21"/>
                      <w:highlight w:val="none"/>
                    </w:rPr>
                    <w:t>不属于高耗能企业。</w:t>
                  </w:r>
                  <w:r>
                    <w:rPr>
                      <w:rFonts w:hint="eastAsia"/>
                      <w:color w:val="FF0000"/>
                      <w:szCs w:val="21"/>
                    </w:rPr>
                    <w:t>本项目严格执行相关排污许可要求。</w:t>
                  </w:r>
                </w:p>
              </w:tc>
              <w:tc>
                <w:tcPr>
                  <w:tcW w:w="517" w:type="dxa"/>
                  <w:noWrap w:val="0"/>
                  <w:tcMar>
                    <w:top w:w="0" w:type="dxa"/>
                    <w:left w:w="45" w:type="dxa"/>
                    <w:bottom w:w="0" w:type="dxa"/>
                    <w:right w:w="45" w:type="dxa"/>
                  </w:tcMar>
                  <w:vAlign w:val="center"/>
                </w:tcPr>
                <w:p w14:paraId="738F69F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szCs w:val="21"/>
                    </w:rPr>
                  </w:pPr>
                  <w:r>
                    <w:rPr>
                      <w:rFonts w:hint="default"/>
                      <w:bCs/>
                      <w:szCs w:val="21"/>
                    </w:rPr>
                    <w:t>符合</w:t>
                  </w:r>
                </w:p>
              </w:tc>
            </w:tr>
            <w:tr w14:paraId="60C1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noWrap w:val="0"/>
                  <w:tcMar>
                    <w:top w:w="0" w:type="dxa"/>
                    <w:left w:w="45" w:type="dxa"/>
                    <w:bottom w:w="0" w:type="dxa"/>
                    <w:right w:w="45" w:type="dxa"/>
                  </w:tcMar>
                  <w:vAlign w:val="center"/>
                </w:tcPr>
                <w:p w14:paraId="52B0204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53" w:type="dxa"/>
                  <w:vMerge w:val="continue"/>
                  <w:noWrap w:val="0"/>
                  <w:tcMar>
                    <w:top w:w="0" w:type="dxa"/>
                    <w:left w:w="45" w:type="dxa"/>
                    <w:bottom w:w="0" w:type="dxa"/>
                    <w:right w:w="45" w:type="dxa"/>
                  </w:tcMar>
                  <w:vAlign w:val="center"/>
                </w:tcPr>
                <w:p w14:paraId="0B6FAFA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904" w:type="dxa"/>
                  <w:noWrap w:val="0"/>
                  <w:tcMar>
                    <w:top w:w="0" w:type="dxa"/>
                    <w:left w:w="45" w:type="dxa"/>
                    <w:bottom w:w="0" w:type="dxa"/>
                    <w:right w:w="45" w:type="dxa"/>
                  </w:tcMar>
                  <w:vAlign w:val="center"/>
                </w:tcPr>
                <w:p w14:paraId="7546873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rPr>
                    <w:t>污染物排放管控</w:t>
                  </w:r>
                </w:p>
              </w:tc>
              <w:tc>
                <w:tcPr>
                  <w:tcW w:w="5564" w:type="dxa"/>
                  <w:noWrap w:val="0"/>
                  <w:tcMar>
                    <w:top w:w="0" w:type="dxa"/>
                    <w:left w:w="45" w:type="dxa"/>
                    <w:bottom w:w="0" w:type="dxa"/>
                    <w:right w:w="45" w:type="dxa"/>
                  </w:tcMar>
                  <w:vAlign w:val="center"/>
                </w:tcPr>
                <w:p w14:paraId="42D8FB57">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大气环境高排放重点管控区：</w:t>
                  </w:r>
                </w:p>
                <w:p w14:paraId="451A1550">
                  <w:pPr>
                    <w:keepNext w:val="0"/>
                    <w:keepLines w:val="0"/>
                    <w:suppressLineNumbers w:val="0"/>
                    <w:autoSpaceDE w:val="0"/>
                    <w:autoSpaceDN w:val="0"/>
                    <w:spacing w:before="0" w:beforeAutospacing="0" w:after="0" w:afterAutospacing="0" w:line="240" w:lineRule="auto"/>
                    <w:ind w:left="0" w:right="0" w:firstLine="0" w:firstLineChars="0"/>
                    <w:rPr>
                      <w:rFonts w:hint="eastAsia"/>
                    </w:rPr>
                  </w:pPr>
                  <w:r>
                    <w:rPr>
                      <w:rFonts w:hint="eastAsia"/>
                    </w:rPr>
                    <w:t>1</w:t>
                  </w:r>
                  <w:r>
                    <w:rPr>
                      <w:rFonts w:hint="default"/>
                    </w:rPr>
                    <w:t>.对高耗能高污染行业企业采用更加先进高效的污染控制措施</w:t>
                  </w:r>
                  <w:r>
                    <w:rPr>
                      <w:rFonts w:hint="eastAsia"/>
                    </w:rPr>
                    <w:t>。</w:t>
                  </w:r>
                  <w:r>
                    <w:rPr>
                      <w:rFonts w:hint="default"/>
                    </w:rPr>
                    <w:t>严格执行排污许可要求</w:t>
                  </w:r>
                  <w:r>
                    <w:rPr>
                      <w:rFonts w:hint="eastAsia"/>
                    </w:rPr>
                    <w:t>。</w:t>
                  </w:r>
                </w:p>
              </w:tc>
              <w:tc>
                <w:tcPr>
                  <w:tcW w:w="3725" w:type="dxa"/>
                  <w:vMerge w:val="continue"/>
                  <w:noWrap w:val="0"/>
                  <w:tcMar>
                    <w:top w:w="0" w:type="dxa"/>
                    <w:left w:w="45" w:type="dxa"/>
                    <w:bottom w:w="0" w:type="dxa"/>
                    <w:right w:w="45" w:type="dxa"/>
                  </w:tcMar>
                  <w:vAlign w:val="center"/>
                </w:tcPr>
                <w:p w14:paraId="5BCDD26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FF0000"/>
                    </w:rPr>
                  </w:pPr>
                </w:p>
              </w:tc>
              <w:tc>
                <w:tcPr>
                  <w:tcW w:w="517" w:type="dxa"/>
                  <w:noWrap w:val="0"/>
                  <w:tcMar>
                    <w:top w:w="0" w:type="dxa"/>
                    <w:left w:w="45" w:type="dxa"/>
                    <w:bottom w:w="0" w:type="dxa"/>
                    <w:right w:w="45" w:type="dxa"/>
                  </w:tcMar>
                  <w:vAlign w:val="center"/>
                </w:tcPr>
                <w:p w14:paraId="47BF33C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r w14:paraId="5A04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noWrap w:val="0"/>
                  <w:tcMar>
                    <w:top w:w="0" w:type="dxa"/>
                    <w:left w:w="45" w:type="dxa"/>
                    <w:bottom w:w="0" w:type="dxa"/>
                    <w:right w:w="45" w:type="dxa"/>
                  </w:tcMar>
                  <w:vAlign w:val="center"/>
                </w:tcPr>
                <w:p w14:paraId="333CEB2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53" w:type="dxa"/>
                  <w:noWrap w:val="0"/>
                  <w:tcMar>
                    <w:top w:w="0" w:type="dxa"/>
                    <w:left w:w="45" w:type="dxa"/>
                    <w:bottom w:w="0" w:type="dxa"/>
                    <w:right w:w="45" w:type="dxa"/>
                  </w:tcMar>
                  <w:vAlign w:val="center"/>
                </w:tcPr>
                <w:p w14:paraId="40044395">
                  <w:pPr>
                    <w:keepNext w:val="0"/>
                    <w:keepLines w:val="0"/>
                    <w:widowControl/>
                    <w:suppressLineNumbers w:val="0"/>
                    <w:topLinePunct w:val="0"/>
                    <w:spacing w:before="0" w:beforeAutospacing="0" w:after="0" w:afterAutospacing="0" w:line="240" w:lineRule="auto"/>
                    <w:ind w:left="0" w:right="0" w:firstLine="0" w:firstLineChars="0"/>
                    <w:jc w:val="center"/>
                    <w:rPr>
                      <w:rFonts w:hint="default"/>
                      <w:szCs w:val="21"/>
                    </w:rPr>
                  </w:pPr>
                  <w:r>
                    <w:rPr>
                      <w:rFonts w:hint="default"/>
                      <w:szCs w:val="21"/>
                    </w:rPr>
                    <w:t>土地资源重点管控区</w:t>
                  </w:r>
                </w:p>
              </w:tc>
              <w:tc>
                <w:tcPr>
                  <w:tcW w:w="904" w:type="dxa"/>
                  <w:noWrap w:val="0"/>
                  <w:tcMar>
                    <w:top w:w="0" w:type="dxa"/>
                    <w:left w:w="45" w:type="dxa"/>
                    <w:bottom w:w="0" w:type="dxa"/>
                    <w:right w:w="45" w:type="dxa"/>
                  </w:tcMar>
                  <w:vAlign w:val="center"/>
                </w:tcPr>
                <w:p w14:paraId="34E31EEE">
                  <w:pPr>
                    <w:keepNext w:val="0"/>
                    <w:keepLines w:val="0"/>
                    <w:widowControl/>
                    <w:suppressLineNumbers w:val="0"/>
                    <w:topLinePunct w:val="0"/>
                    <w:spacing w:before="0" w:beforeAutospacing="0" w:after="0" w:afterAutospacing="0" w:line="240" w:lineRule="auto"/>
                    <w:ind w:left="0" w:right="0" w:firstLine="0" w:firstLineChars="0"/>
                    <w:jc w:val="center"/>
                    <w:rPr>
                      <w:rFonts w:hint="default"/>
                      <w:szCs w:val="21"/>
                    </w:rPr>
                  </w:pPr>
                  <w:r>
                    <w:rPr>
                      <w:rFonts w:hint="default"/>
                      <w:szCs w:val="21"/>
                    </w:rPr>
                    <w:t>资源开发效率要求</w:t>
                  </w:r>
                </w:p>
              </w:tc>
              <w:tc>
                <w:tcPr>
                  <w:tcW w:w="5564" w:type="dxa"/>
                  <w:noWrap w:val="0"/>
                  <w:tcMar>
                    <w:top w:w="0" w:type="dxa"/>
                    <w:left w:w="45" w:type="dxa"/>
                    <w:bottom w:w="0" w:type="dxa"/>
                    <w:right w:w="45" w:type="dxa"/>
                  </w:tcMar>
                  <w:vAlign w:val="center"/>
                </w:tcPr>
                <w:p w14:paraId="4054E950">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土地资源重点管控区：</w:t>
                  </w:r>
                </w:p>
                <w:p w14:paraId="2C799026">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应进一步优化投资环境，规范工业园区（开发区）入园用地项目管理，推进园区土地集约、节约利用，提高入园项目质量，确保园区经济快速健康发展，以提高土地利用质量和效益为目的，对项目在用地期限内的利用状况实施全过程动态评估和监管，通过健全工业园区用地准入、综合效益评估、土地使用权推出等机制，实现土地利用管理系统化、精细化、动态化；项目入园要严格按照有关部门审核同意的项目建设内容使用土地，不得擅自改变土地用途、超越地界线占用土地。</w:t>
                  </w:r>
                </w:p>
              </w:tc>
              <w:tc>
                <w:tcPr>
                  <w:tcW w:w="3725" w:type="dxa"/>
                  <w:noWrap w:val="0"/>
                  <w:tcMar>
                    <w:top w:w="0" w:type="dxa"/>
                    <w:left w:w="45" w:type="dxa"/>
                    <w:bottom w:w="0" w:type="dxa"/>
                    <w:right w:w="45" w:type="dxa"/>
                  </w:tcMar>
                  <w:vAlign w:val="center"/>
                </w:tcPr>
                <w:p w14:paraId="74FD53A0">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color w:val="FF0000"/>
                      <w:szCs w:val="21"/>
                    </w:rPr>
                  </w:pPr>
                  <w:r>
                    <w:rPr>
                      <w:rFonts w:hint="eastAsia"/>
                      <w:color w:val="FF0000"/>
                      <w:szCs w:val="21"/>
                    </w:rPr>
                    <w:t>本项目位于</w:t>
                  </w:r>
                  <w:r>
                    <w:rPr>
                      <w:rFonts w:hint="eastAsia"/>
                      <w:bCs/>
                      <w:color w:val="FF0000"/>
                      <w:sz w:val="21"/>
                      <w:szCs w:val="21"/>
                      <w:vertAlign w:val="baseline"/>
                      <w:lang w:val="en-US" w:eastAsia="zh-CN"/>
                    </w:rPr>
                    <w:t>安康高新技术产业开发区</w:t>
                  </w:r>
                  <w:r>
                    <w:rPr>
                      <w:rFonts w:hint="eastAsia"/>
                      <w:color w:val="FF0000"/>
                      <w:szCs w:val="21"/>
                    </w:rPr>
                    <w:t>，用地性质为工业用地。</w:t>
                  </w:r>
                </w:p>
              </w:tc>
              <w:tc>
                <w:tcPr>
                  <w:tcW w:w="517" w:type="dxa"/>
                  <w:noWrap w:val="0"/>
                  <w:tcMar>
                    <w:top w:w="0" w:type="dxa"/>
                    <w:left w:w="45" w:type="dxa"/>
                    <w:bottom w:w="0" w:type="dxa"/>
                    <w:right w:w="45" w:type="dxa"/>
                  </w:tcMar>
                  <w:vAlign w:val="center"/>
                </w:tcPr>
                <w:p w14:paraId="76C7329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r w14:paraId="7B8A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noWrap w:val="0"/>
                  <w:tcMar>
                    <w:top w:w="0" w:type="dxa"/>
                    <w:left w:w="45" w:type="dxa"/>
                    <w:bottom w:w="0" w:type="dxa"/>
                    <w:right w:w="45" w:type="dxa"/>
                  </w:tcMar>
                  <w:vAlign w:val="center"/>
                </w:tcPr>
                <w:p w14:paraId="61C7D92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53" w:type="dxa"/>
                  <w:vMerge w:val="restart"/>
                  <w:noWrap w:val="0"/>
                  <w:tcMar>
                    <w:top w:w="0" w:type="dxa"/>
                    <w:left w:w="45" w:type="dxa"/>
                    <w:bottom w:w="0" w:type="dxa"/>
                    <w:right w:w="45" w:type="dxa"/>
                  </w:tcMar>
                  <w:vAlign w:val="center"/>
                </w:tcPr>
                <w:p w14:paraId="557F0DD8">
                  <w:pPr>
                    <w:keepNext w:val="0"/>
                    <w:keepLines w:val="0"/>
                    <w:widowControl/>
                    <w:suppressLineNumbers w:val="0"/>
                    <w:topLinePunct w:val="0"/>
                    <w:spacing w:before="0" w:beforeAutospacing="0" w:after="0" w:afterAutospacing="0" w:line="240" w:lineRule="auto"/>
                    <w:ind w:left="0" w:right="0" w:firstLine="0" w:firstLineChars="0"/>
                    <w:jc w:val="center"/>
                    <w:rPr>
                      <w:rFonts w:hint="eastAsia"/>
                      <w:szCs w:val="21"/>
                    </w:rPr>
                  </w:pPr>
                  <w:r>
                    <w:rPr>
                      <w:rFonts w:hint="eastAsia"/>
                      <w:szCs w:val="21"/>
                    </w:rPr>
                    <w:t>安康高新技术</w:t>
                  </w:r>
                </w:p>
                <w:p w14:paraId="05EAA3D1">
                  <w:pPr>
                    <w:keepNext w:val="0"/>
                    <w:keepLines w:val="0"/>
                    <w:widowControl/>
                    <w:suppressLineNumbers w:val="0"/>
                    <w:topLinePunct w:val="0"/>
                    <w:spacing w:before="0" w:beforeAutospacing="0" w:after="0" w:afterAutospacing="0" w:line="240" w:lineRule="auto"/>
                    <w:ind w:left="0" w:right="0" w:firstLine="0" w:firstLineChars="0"/>
                    <w:jc w:val="center"/>
                    <w:rPr>
                      <w:rFonts w:hint="default"/>
                      <w:szCs w:val="21"/>
                    </w:rPr>
                  </w:pPr>
                  <w:r>
                    <w:rPr>
                      <w:rFonts w:hint="eastAsia"/>
                      <w:szCs w:val="21"/>
                    </w:rPr>
                    <w:t>产业开发区</w:t>
                  </w:r>
                </w:p>
              </w:tc>
              <w:tc>
                <w:tcPr>
                  <w:tcW w:w="904" w:type="dxa"/>
                  <w:noWrap w:val="0"/>
                  <w:tcMar>
                    <w:top w:w="0" w:type="dxa"/>
                    <w:left w:w="45" w:type="dxa"/>
                    <w:bottom w:w="0" w:type="dxa"/>
                    <w:right w:w="45" w:type="dxa"/>
                  </w:tcMar>
                  <w:vAlign w:val="center"/>
                </w:tcPr>
                <w:p w14:paraId="6463853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eastAsia"/>
                      <w:szCs w:val="21"/>
                    </w:rPr>
                    <w:t>空间布 局约束</w:t>
                  </w:r>
                </w:p>
              </w:tc>
              <w:tc>
                <w:tcPr>
                  <w:tcW w:w="5564" w:type="dxa"/>
                  <w:noWrap w:val="0"/>
                  <w:tcMar>
                    <w:top w:w="0" w:type="dxa"/>
                    <w:left w:w="45" w:type="dxa"/>
                    <w:bottom w:w="0" w:type="dxa"/>
                    <w:right w:w="45" w:type="dxa"/>
                  </w:tcMar>
                  <w:vAlign w:val="center"/>
                </w:tcPr>
                <w:p w14:paraId="6380BAD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安康高新技术产业开发区：</w:t>
                  </w:r>
                </w:p>
                <w:p w14:paraId="4B95609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1.优先发展生态友好型产业，着力推进生态富硒、生态旅游、山林经济、涉水产业发展。坚持园区承载，提升发展装备制造、新型材料、清洁能源、生物医药、安康丝绸等支柱产业。</w:t>
                  </w:r>
                </w:p>
                <w:p w14:paraId="07F96D79">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2.严格落实规划环评及其批复文件制定的准入要求。</w:t>
                  </w:r>
                </w:p>
                <w:p w14:paraId="3FEC50E9">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3.重大项目原则上布局在高排放区，纳入重点管控范围</w:t>
                  </w:r>
                </w:p>
              </w:tc>
              <w:tc>
                <w:tcPr>
                  <w:tcW w:w="3725" w:type="dxa"/>
                  <w:noWrap w:val="0"/>
                  <w:tcMar>
                    <w:top w:w="0" w:type="dxa"/>
                    <w:left w:w="45" w:type="dxa"/>
                    <w:bottom w:w="0" w:type="dxa"/>
                    <w:right w:w="45" w:type="dxa"/>
                  </w:tcMar>
                  <w:vAlign w:val="center"/>
                </w:tcPr>
                <w:p w14:paraId="7B0DDD90">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color w:val="FF0000"/>
                      <w:szCs w:val="21"/>
                    </w:rPr>
                  </w:pPr>
                  <w:r>
                    <w:rPr>
                      <w:rFonts w:hint="default"/>
                      <w:color w:val="FF0000"/>
                      <w:szCs w:val="21"/>
                    </w:rPr>
                    <w:t>本项目位于</w:t>
                  </w:r>
                  <w:r>
                    <w:rPr>
                      <w:rFonts w:hint="eastAsia"/>
                      <w:bCs/>
                      <w:color w:val="FF0000"/>
                      <w:sz w:val="21"/>
                      <w:szCs w:val="21"/>
                      <w:vertAlign w:val="baseline"/>
                      <w:lang w:val="en-US" w:eastAsia="zh-CN"/>
                    </w:rPr>
                    <w:t>安康高新技术产业开发区</w:t>
                  </w:r>
                  <w:r>
                    <w:rPr>
                      <w:rFonts w:hint="eastAsia"/>
                      <w:color w:val="FF0000"/>
                      <w:szCs w:val="21"/>
                    </w:rPr>
                    <w:t>，</w:t>
                  </w:r>
                  <w:r>
                    <w:rPr>
                      <w:rFonts w:hint="eastAsia"/>
                      <w:color w:val="FF0000"/>
                      <w:szCs w:val="21"/>
                      <w:lang w:val="en-US" w:eastAsia="zh-CN"/>
                    </w:rPr>
                    <w:t>为电机制造项目，产品主要用于新能源汽车及其他智能产品，属于装备制造大类，</w:t>
                  </w:r>
                  <w:r>
                    <w:rPr>
                      <w:rFonts w:hint="eastAsia"/>
                      <w:color w:val="FF0000"/>
                      <w:szCs w:val="21"/>
                    </w:rPr>
                    <w:t>符合高新技术</w:t>
                  </w:r>
                  <w:r>
                    <w:rPr>
                      <w:rFonts w:hint="eastAsia"/>
                      <w:color w:val="FF0000"/>
                      <w:szCs w:val="21"/>
                      <w:lang w:val="en-US" w:eastAsia="zh-CN"/>
                    </w:rPr>
                    <w:t>产业开发区产业发展</w:t>
                  </w:r>
                  <w:r>
                    <w:rPr>
                      <w:rFonts w:hint="eastAsia"/>
                      <w:color w:val="FF0000"/>
                      <w:szCs w:val="21"/>
                    </w:rPr>
                    <w:t>要求。</w:t>
                  </w:r>
                </w:p>
              </w:tc>
              <w:tc>
                <w:tcPr>
                  <w:tcW w:w="517" w:type="dxa"/>
                  <w:noWrap w:val="0"/>
                  <w:tcMar>
                    <w:top w:w="0" w:type="dxa"/>
                    <w:left w:w="45" w:type="dxa"/>
                    <w:bottom w:w="0" w:type="dxa"/>
                    <w:right w:w="45" w:type="dxa"/>
                  </w:tcMar>
                  <w:vAlign w:val="center"/>
                </w:tcPr>
                <w:p w14:paraId="347C561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r w14:paraId="150E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noWrap w:val="0"/>
                  <w:tcMar>
                    <w:top w:w="0" w:type="dxa"/>
                    <w:left w:w="45" w:type="dxa"/>
                    <w:bottom w:w="0" w:type="dxa"/>
                    <w:right w:w="45" w:type="dxa"/>
                  </w:tcMar>
                  <w:vAlign w:val="center"/>
                </w:tcPr>
                <w:p w14:paraId="7492975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53" w:type="dxa"/>
                  <w:vMerge w:val="continue"/>
                  <w:noWrap w:val="0"/>
                  <w:tcMar>
                    <w:top w:w="0" w:type="dxa"/>
                    <w:left w:w="45" w:type="dxa"/>
                    <w:bottom w:w="0" w:type="dxa"/>
                    <w:right w:w="45" w:type="dxa"/>
                  </w:tcMar>
                  <w:vAlign w:val="center"/>
                </w:tcPr>
                <w:p w14:paraId="1665F97F">
                  <w:pPr>
                    <w:keepNext w:val="0"/>
                    <w:keepLines w:val="0"/>
                    <w:widowControl/>
                    <w:suppressLineNumbers w:val="0"/>
                    <w:topLinePunct w:val="0"/>
                    <w:spacing w:before="0" w:beforeAutospacing="0" w:after="0" w:afterAutospacing="0" w:line="240" w:lineRule="auto"/>
                    <w:ind w:left="0" w:right="0" w:firstLine="0" w:firstLineChars="0"/>
                    <w:jc w:val="center"/>
                    <w:rPr>
                      <w:rFonts w:hint="eastAsia"/>
                      <w:szCs w:val="21"/>
                    </w:rPr>
                  </w:pPr>
                </w:p>
              </w:tc>
              <w:tc>
                <w:tcPr>
                  <w:tcW w:w="904" w:type="dxa"/>
                  <w:noWrap w:val="0"/>
                  <w:tcMar>
                    <w:top w:w="0" w:type="dxa"/>
                    <w:left w:w="45" w:type="dxa"/>
                    <w:bottom w:w="0" w:type="dxa"/>
                    <w:right w:w="45" w:type="dxa"/>
                  </w:tcMar>
                  <w:vAlign w:val="center"/>
                </w:tcPr>
                <w:p w14:paraId="0F82888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rPr>
                    <w:t>污染物排放管控</w:t>
                  </w:r>
                </w:p>
              </w:tc>
              <w:tc>
                <w:tcPr>
                  <w:tcW w:w="5564" w:type="dxa"/>
                  <w:noWrap w:val="0"/>
                  <w:tcMar>
                    <w:top w:w="0" w:type="dxa"/>
                    <w:left w:w="45" w:type="dxa"/>
                    <w:bottom w:w="0" w:type="dxa"/>
                    <w:right w:w="45" w:type="dxa"/>
                  </w:tcMar>
                  <w:vAlign w:val="center"/>
                </w:tcPr>
                <w:p w14:paraId="7387C64F">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安康高新技术产业开发区：</w:t>
                  </w:r>
                </w:p>
                <w:p w14:paraId="743D2B11">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1.加强有色金属产业的节能环保改造。</w:t>
                  </w:r>
                </w:p>
                <w:p w14:paraId="3D2CB404">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2.重点关注二氧化氮和二氧化碳排放。</w:t>
                  </w:r>
                </w:p>
                <w:p w14:paraId="45D6B7F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3.对高能耗高污染行业企业采用更加先进高效的污染控制措施。严格执行排污许可要求。</w:t>
                  </w:r>
                </w:p>
                <w:p w14:paraId="7D5EF58E">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4.做好露天采矿区、采空区、尾矿堆积区的环境治理。到2025年，全市无主矿山地质环境治理达标率达到50%，大中型矿山的 绿色矿山治理达标率达到 60%以上，小型矿山按照绿色矿山标准进行规范管理。</w:t>
                  </w:r>
                </w:p>
                <w:p w14:paraId="714468EA">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5.严格落实规划环评及其批复文件制定的环保措施和风险防范措施。</w:t>
                  </w:r>
                </w:p>
                <w:p w14:paraId="74224C18">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6.推进各类高排放区清洁生产，清洁生产标准达到国际先进水平。</w:t>
                  </w:r>
                </w:p>
                <w:p w14:paraId="082568C9">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7.加强工业园区能源替代利用，积极推广集中供汽供热或建设清洁低碳能源中心等；充分利用园区内工厂余热、焦炉煤气等清洁低碳能源，加强分质与梯级利用，提高能源利用效率，促进形成清洁低碳高效产业链。</w:t>
                  </w:r>
                </w:p>
              </w:tc>
              <w:tc>
                <w:tcPr>
                  <w:tcW w:w="3725" w:type="dxa"/>
                  <w:noWrap w:val="0"/>
                  <w:tcMar>
                    <w:top w:w="0" w:type="dxa"/>
                    <w:left w:w="45" w:type="dxa"/>
                    <w:bottom w:w="0" w:type="dxa"/>
                    <w:right w:w="45" w:type="dxa"/>
                  </w:tcMar>
                  <w:vAlign w:val="center"/>
                </w:tcPr>
                <w:p w14:paraId="40AED18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szCs w:val="21"/>
                    </w:rPr>
                  </w:pPr>
                  <w:r>
                    <w:rPr>
                      <w:rFonts w:hint="eastAsia"/>
                      <w:szCs w:val="21"/>
                    </w:rPr>
                    <w:t>项目位于</w:t>
                  </w:r>
                  <w:r>
                    <w:rPr>
                      <w:rFonts w:hint="eastAsia"/>
                      <w:bCs/>
                      <w:color w:val="FF0000"/>
                      <w:sz w:val="21"/>
                      <w:szCs w:val="21"/>
                      <w:vertAlign w:val="baseline"/>
                      <w:lang w:val="en-US" w:eastAsia="zh-CN"/>
                    </w:rPr>
                    <w:t>安康高新技术产业开发区</w:t>
                  </w:r>
                  <w:r>
                    <w:rPr>
                      <w:rFonts w:hint="eastAsia"/>
                      <w:szCs w:val="21"/>
                    </w:rPr>
                    <w:t>，属于</w:t>
                  </w:r>
                  <w:r>
                    <w:rPr>
                      <w:rFonts w:hint="eastAsia"/>
                      <w:szCs w:val="21"/>
                      <w:lang w:val="en-US" w:eastAsia="zh-CN"/>
                    </w:rPr>
                    <w:t>电机制造项目</w:t>
                  </w:r>
                  <w:r>
                    <w:rPr>
                      <w:rFonts w:hint="eastAsia"/>
                      <w:szCs w:val="21"/>
                    </w:rPr>
                    <w:t>，</w:t>
                  </w:r>
                  <w:r>
                    <w:rPr>
                      <w:rFonts w:hint="eastAsia"/>
                      <w:color w:val="FF0000"/>
                      <w:szCs w:val="21"/>
                      <w:lang w:val="en-US" w:eastAsia="zh-CN"/>
                    </w:rPr>
                    <w:t>本项目能耗折标煤约1454t/a</w:t>
                  </w:r>
                  <w:r>
                    <w:rPr>
                      <w:rFonts w:hint="eastAsia"/>
                      <w:color w:val="FF0000"/>
                      <w:szCs w:val="21"/>
                    </w:rPr>
                    <w:t>，不属于高耗能企业，</w:t>
                  </w:r>
                  <w:r>
                    <w:rPr>
                      <w:rFonts w:hint="eastAsia"/>
                      <w:szCs w:val="21"/>
                    </w:rPr>
                    <w:t>不涉及矿山开采治理。</w:t>
                  </w:r>
                </w:p>
                <w:p w14:paraId="6F52BBA7">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szCs w:val="21"/>
                    </w:rPr>
                  </w:pPr>
                  <w:r>
                    <w:rPr>
                      <w:rFonts w:hint="eastAsia"/>
                      <w:szCs w:val="21"/>
                    </w:rPr>
                    <w:t>本项目主要大气污染物为V</w:t>
                  </w:r>
                  <w:r>
                    <w:rPr>
                      <w:rFonts w:hint="default"/>
                      <w:szCs w:val="21"/>
                    </w:rPr>
                    <w:t>OCs及颗粒物</w:t>
                  </w:r>
                  <w:r>
                    <w:rPr>
                      <w:rFonts w:hint="eastAsia"/>
                      <w:szCs w:val="21"/>
                    </w:rPr>
                    <w:t>，不排放二氧化氮和二氧化碳。严格落实排污许可相关要求。本项目在落实环评报告提出的各项环保措施后各类污染物均可达标排放。</w:t>
                  </w:r>
                </w:p>
              </w:tc>
              <w:tc>
                <w:tcPr>
                  <w:tcW w:w="517" w:type="dxa"/>
                  <w:noWrap w:val="0"/>
                  <w:tcMar>
                    <w:top w:w="0" w:type="dxa"/>
                    <w:left w:w="45" w:type="dxa"/>
                    <w:bottom w:w="0" w:type="dxa"/>
                    <w:right w:w="45" w:type="dxa"/>
                  </w:tcMar>
                  <w:vAlign w:val="center"/>
                </w:tcPr>
                <w:p w14:paraId="5413995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r w14:paraId="620C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vMerge w:val="continue"/>
                  <w:noWrap w:val="0"/>
                  <w:tcMar>
                    <w:top w:w="0" w:type="dxa"/>
                    <w:left w:w="45" w:type="dxa"/>
                    <w:bottom w:w="0" w:type="dxa"/>
                    <w:right w:w="45" w:type="dxa"/>
                  </w:tcMar>
                  <w:vAlign w:val="center"/>
                </w:tcPr>
                <w:p w14:paraId="3C95461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p>
              </w:tc>
              <w:tc>
                <w:tcPr>
                  <w:tcW w:w="853" w:type="dxa"/>
                  <w:vMerge w:val="continue"/>
                  <w:noWrap w:val="0"/>
                  <w:tcMar>
                    <w:top w:w="0" w:type="dxa"/>
                    <w:left w:w="45" w:type="dxa"/>
                    <w:bottom w:w="0" w:type="dxa"/>
                    <w:right w:w="45" w:type="dxa"/>
                  </w:tcMar>
                  <w:vAlign w:val="center"/>
                </w:tcPr>
                <w:p w14:paraId="47CD6654">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p>
              </w:tc>
              <w:tc>
                <w:tcPr>
                  <w:tcW w:w="904" w:type="dxa"/>
                  <w:noWrap w:val="0"/>
                  <w:tcMar>
                    <w:top w:w="0" w:type="dxa"/>
                    <w:left w:w="45" w:type="dxa"/>
                    <w:bottom w:w="0" w:type="dxa"/>
                    <w:right w:w="45" w:type="dxa"/>
                  </w:tcMar>
                  <w:vAlign w:val="center"/>
                </w:tcPr>
                <w:p w14:paraId="55B9733D">
                  <w:pPr>
                    <w:keepNext w:val="0"/>
                    <w:keepLines w:val="0"/>
                    <w:widowControl/>
                    <w:suppressLineNumbers w:val="0"/>
                    <w:topLinePunct w:val="0"/>
                    <w:spacing w:before="0" w:beforeAutospacing="0" w:after="0" w:afterAutospacing="0" w:line="240" w:lineRule="auto"/>
                    <w:ind w:left="0" w:right="0" w:firstLine="0" w:firstLineChars="0"/>
                    <w:jc w:val="center"/>
                    <w:rPr>
                      <w:rFonts w:hint="eastAsia"/>
                      <w:szCs w:val="21"/>
                    </w:rPr>
                  </w:pPr>
                  <w:r>
                    <w:rPr>
                      <w:rFonts w:hint="default"/>
                      <w:szCs w:val="21"/>
                    </w:rPr>
                    <w:t>资源开发效率要求</w:t>
                  </w:r>
                </w:p>
              </w:tc>
              <w:tc>
                <w:tcPr>
                  <w:tcW w:w="5564" w:type="dxa"/>
                  <w:noWrap w:val="0"/>
                  <w:tcMar>
                    <w:top w:w="0" w:type="dxa"/>
                    <w:left w:w="45" w:type="dxa"/>
                    <w:bottom w:w="0" w:type="dxa"/>
                    <w:right w:w="45" w:type="dxa"/>
                  </w:tcMar>
                  <w:vAlign w:val="center"/>
                </w:tcPr>
                <w:p w14:paraId="1F1D6F2B">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安康高新技术产业开发区：</w:t>
                  </w:r>
                </w:p>
                <w:p w14:paraId="3C61D2DC">
                  <w:pPr>
                    <w:keepNext w:val="0"/>
                    <w:keepLines w:val="0"/>
                    <w:widowControl/>
                    <w:suppressLineNumbers w:val="0"/>
                    <w:topLinePunct w:val="0"/>
                    <w:spacing w:before="0" w:beforeAutospacing="0" w:after="0" w:afterAutospacing="0" w:line="240" w:lineRule="auto"/>
                    <w:ind w:left="0" w:right="0" w:firstLine="0" w:firstLineChars="0"/>
                    <w:rPr>
                      <w:rFonts w:hint="eastAsia"/>
                      <w:szCs w:val="21"/>
                    </w:rPr>
                  </w:pPr>
                  <w:r>
                    <w:rPr>
                      <w:rFonts w:hint="eastAsia"/>
                      <w:szCs w:val="21"/>
                    </w:rPr>
                    <w:t>应进一步优化投资环境，规范工业园区（开发区）入园用地项目管理，推进园区土地集约、节约利用，提高入园项目质量，确保园区经济快速健康发展，以提高土地利用质量和效益为目的，对项目在用地期限内的利用状况实施全过程动态评估和监管，通过健全工业园区用地准入、综合效益评估、土地使用权推出等机制，实现土地利用管理系统化、精细化、动态化；项目入园要严格按照有关部门审核同意的项目建设内容使用土地，不得擅自改变土地用途、超越地界线占用土地。</w:t>
                  </w:r>
                </w:p>
              </w:tc>
              <w:tc>
                <w:tcPr>
                  <w:tcW w:w="3725" w:type="dxa"/>
                  <w:noWrap w:val="0"/>
                  <w:tcMar>
                    <w:top w:w="0" w:type="dxa"/>
                    <w:left w:w="45" w:type="dxa"/>
                    <w:bottom w:w="0" w:type="dxa"/>
                    <w:right w:w="45" w:type="dxa"/>
                  </w:tcMar>
                  <w:vAlign w:val="center"/>
                </w:tcPr>
                <w:p w14:paraId="71AFC8B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szCs w:val="21"/>
                      <w:lang w:val="en-US" w:eastAsia="zh-CN"/>
                    </w:rPr>
                  </w:pPr>
                  <w:r>
                    <w:rPr>
                      <w:rFonts w:hint="eastAsia"/>
                      <w:color w:val="FF0000"/>
                      <w:szCs w:val="21"/>
                    </w:rPr>
                    <w:t>本项目位于</w:t>
                  </w:r>
                  <w:r>
                    <w:rPr>
                      <w:rFonts w:hint="eastAsia"/>
                      <w:bCs/>
                      <w:color w:val="FF0000"/>
                      <w:sz w:val="21"/>
                      <w:szCs w:val="21"/>
                      <w:vertAlign w:val="baseline"/>
                      <w:lang w:val="en-US" w:eastAsia="zh-CN"/>
                    </w:rPr>
                    <w:t>安康高新技术产业开发区</w:t>
                  </w:r>
                  <w:r>
                    <w:rPr>
                      <w:rFonts w:hint="eastAsia"/>
                      <w:color w:val="FF0000"/>
                      <w:szCs w:val="21"/>
                    </w:rPr>
                    <w:t>，用地性质为工业用地</w:t>
                  </w:r>
                  <w:r>
                    <w:rPr>
                      <w:rFonts w:hint="eastAsia"/>
                      <w:color w:val="FF0000"/>
                      <w:szCs w:val="21"/>
                      <w:lang w:eastAsia="zh-CN"/>
                    </w:rPr>
                    <w:t>，</w:t>
                  </w:r>
                  <w:r>
                    <w:rPr>
                      <w:rFonts w:hint="eastAsia"/>
                      <w:color w:val="FF0000"/>
                      <w:szCs w:val="21"/>
                      <w:lang w:val="en-US" w:eastAsia="zh-CN"/>
                    </w:rPr>
                    <w:t>严格按照土地用途进行建设生产。</w:t>
                  </w:r>
                </w:p>
              </w:tc>
              <w:tc>
                <w:tcPr>
                  <w:tcW w:w="517" w:type="dxa"/>
                  <w:noWrap w:val="0"/>
                  <w:tcMar>
                    <w:top w:w="0" w:type="dxa"/>
                    <w:left w:w="45" w:type="dxa"/>
                    <w:bottom w:w="0" w:type="dxa"/>
                    <w:right w:w="45" w:type="dxa"/>
                  </w:tcMar>
                  <w:vAlign w:val="center"/>
                </w:tcPr>
                <w:p w14:paraId="43D0376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rPr>
                  </w:pPr>
                  <w:r>
                    <w:rPr>
                      <w:rFonts w:hint="default"/>
                      <w:bCs/>
                      <w:szCs w:val="21"/>
                    </w:rPr>
                    <w:t>符合</w:t>
                  </w:r>
                </w:p>
              </w:tc>
            </w:tr>
          </w:tbl>
          <w:p w14:paraId="0937FB3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3132" w:firstLineChars="1300"/>
              <w:jc w:val="both"/>
              <w:textAlignment w:val="auto"/>
              <w:rPr>
                <w:rFonts w:hint="eastAsia" w:cs="Times New Roman"/>
                <w:b/>
                <w:bCs/>
                <w:color w:val="FF0000"/>
                <w:kern w:val="2"/>
                <w:sz w:val="24"/>
                <w:szCs w:val="24"/>
                <w:highlight w:val="yellow"/>
                <w:lang w:val="en-US" w:eastAsia="zh-CN" w:bidi="ar"/>
              </w:rPr>
            </w:pPr>
            <w:r>
              <w:rPr>
                <w:rFonts w:hint="eastAsia" w:cs="Times New Roman"/>
                <w:b/>
                <w:bCs/>
                <w:color w:val="FF0000"/>
                <w:kern w:val="2"/>
                <w:sz w:val="24"/>
                <w:szCs w:val="24"/>
                <w:highlight w:val="yellow"/>
                <w:lang w:val="en-US" w:eastAsia="zh-CN" w:bidi="ar"/>
              </w:rPr>
              <w:t>表1-6    项目与区域环境管控要求的符合性分析</w:t>
            </w:r>
          </w:p>
          <w:tbl>
            <w:tblPr>
              <w:tblStyle w:val="35"/>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51"/>
              <w:gridCol w:w="5564"/>
              <w:gridCol w:w="3725"/>
              <w:gridCol w:w="659"/>
            </w:tblGrid>
            <w:tr w14:paraId="05EB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noWrap w:val="0"/>
                  <w:tcMar>
                    <w:top w:w="0" w:type="dxa"/>
                    <w:left w:w="45" w:type="dxa"/>
                    <w:bottom w:w="0" w:type="dxa"/>
                    <w:right w:w="45" w:type="dxa"/>
                  </w:tcMar>
                  <w:vAlign w:val="center"/>
                </w:tcPr>
                <w:p w14:paraId="5E857D0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b/>
                      <w:bCs/>
                      <w:color w:val="FF0000"/>
                      <w:szCs w:val="21"/>
                      <w:highlight w:val="yellow"/>
                      <w:lang w:val="en-US" w:eastAsia="zh-CN"/>
                    </w:rPr>
                  </w:pPr>
                  <w:r>
                    <w:rPr>
                      <w:rFonts w:hint="eastAsia"/>
                      <w:b/>
                      <w:bCs/>
                      <w:color w:val="FF0000"/>
                      <w:szCs w:val="21"/>
                      <w:highlight w:val="yellow"/>
                      <w:lang w:val="en-US" w:eastAsia="zh-CN"/>
                    </w:rPr>
                    <w:t>区域名称</w:t>
                  </w:r>
                </w:p>
              </w:tc>
              <w:tc>
                <w:tcPr>
                  <w:tcW w:w="1551" w:type="dxa"/>
                  <w:noWrap w:val="0"/>
                  <w:tcMar>
                    <w:top w:w="0" w:type="dxa"/>
                    <w:left w:w="45" w:type="dxa"/>
                    <w:bottom w:w="0" w:type="dxa"/>
                    <w:right w:w="45" w:type="dxa"/>
                  </w:tcMar>
                  <w:vAlign w:val="center"/>
                </w:tcPr>
                <w:p w14:paraId="2CBC876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b/>
                      <w:bCs/>
                      <w:color w:val="FF0000"/>
                      <w:szCs w:val="21"/>
                      <w:highlight w:val="yellow"/>
                      <w:lang w:val="en-US" w:eastAsia="zh-CN"/>
                    </w:rPr>
                  </w:pPr>
                  <w:r>
                    <w:rPr>
                      <w:rFonts w:hint="eastAsia"/>
                      <w:b/>
                      <w:bCs/>
                      <w:color w:val="FF0000"/>
                      <w:szCs w:val="21"/>
                      <w:highlight w:val="yellow"/>
                      <w:lang w:val="en-US" w:eastAsia="zh-CN"/>
                    </w:rPr>
                    <w:t>管控类别</w:t>
                  </w:r>
                </w:p>
              </w:tc>
              <w:tc>
                <w:tcPr>
                  <w:tcW w:w="5564" w:type="dxa"/>
                  <w:noWrap w:val="0"/>
                  <w:tcMar>
                    <w:top w:w="0" w:type="dxa"/>
                    <w:left w:w="45" w:type="dxa"/>
                    <w:bottom w:w="0" w:type="dxa"/>
                    <w:right w:w="45" w:type="dxa"/>
                  </w:tcMar>
                  <w:vAlign w:val="center"/>
                </w:tcPr>
                <w:p w14:paraId="54E1A193">
                  <w:pPr>
                    <w:keepNext w:val="0"/>
                    <w:keepLines w:val="0"/>
                    <w:widowControl/>
                    <w:suppressLineNumbers w:val="0"/>
                    <w:topLinePunct w:val="0"/>
                    <w:spacing w:before="0" w:beforeAutospacing="0" w:after="0" w:afterAutospacing="0" w:line="240" w:lineRule="auto"/>
                    <w:ind w:left="0" w:right="0" w:firstLine="0" w:firstLineChars="0"/>
                    <w:jc w:val="center"/>
                    <w:rPr>
                      <w:rFonts w:hint="eastAsia" w:eastAsia="宋体"/>
                      <w:b/>
                      <w:bCs/>
                      <w:color w:val="FF0000"/>
                      <w:szCs w:val="21"/>
                      <w:highlight w:val="yellow"/>
                      <w:lang w:val="en-US" w:eastAsia="zh-CN"/>
                    </w:rPr>
                  </w:pPr>
                  <w:r>
                    <w:rPr>
                      <w:rFonts w:hint="eastAsia"/>
                      <w:b/>
                      <w:bCs/>
                      <w:color w:val="FF0000"/>
                      <w:szCs w:val="21"/>
                      <w:highlight w:val="yellow"/>
                      <w:lang w:val="en-US" w:eastAsia="zh-CN"/>
                    </w:rPr>
                    <w:t>管控要求</w:t>
                  </w:r>
                </w:p>
              </w:tc>
              <w:tc>
                <w:tcPr>
                  <w:tcW w:w="3725" w:type="dxa"/>
                  <w:noWrap w:val="0"/>
                  <w:tcMar>
                    <w:top w:w="0" w:type="dxa"/>
                    <w:left w:w="45" w:type="dxa"/>
                    <w:bottom w:w="0" w:type="dxa"/>
                    <w:right w:w="45" w:type="dxa"/>
                  </w:tcMar>
                  <w:vAlign w:val="center"/>
                </w:tcPr>
                <w:p w14:paraId="639D974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b/>
                      <w:bCs/>
                      <w:color w:val="FF0000"/>
                      <w:szCs w:val="21"/>
                      <w:highlight w:val="yellow"/>
                      <w:lang w:val="en-US" w:eastAsia="zh-CN"/>
                    </w:rPr>
                  </w:pPr>
                  <w:r>
                    <w:rPr>
                      <w:rFonts w:hint="eastAsia"/>
                      <w:b/>
                      <w:bCs/>
                      <w:color w:val="FF0000"/>
                      <w:szCs w:val="21"/>
                      <w:highlight w:val="yellow"/>
                      <w:lang w:val="en-US" w:eastAsia="zh-CN"/>
                    </w:rPr>
                    <w:t>本项目情况</w:t>
                  </w:r>
                </w:p>
              </w:tc>
              <w:tc>
                <w:tcPr>
                  <w:tcW w:w="659" w:type="dxa"/>
                  <w:noWrap w:val="0"/>
                  <w:tcMar>
                    <w:top w:w="0" w:type="dxa"/>
                    <w:left w:w="45" w:type="dxa"/>
                    <w:bottom w:w="0" w:type="dxa"/>
                    <w:right w:w="45" w:type="dxa"/>
                  </w:tcMar>
                  <w:vAlign w:val="center"/>
                </w:tcPr>
                <w:p w14:paraId="67147143">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eastAsia="宋体"/>
                      <w:color w:val="FF0000"/>
                      <w:szCs w:val="21"/>
                      <w:highlight w:val="yellow"/>
                      <w:lang w:val="en-US" w:eastAsia="zh-CN"/>
                    </w:rPr>
                  </w:pPr>
                  <w:r>
                    <w:rPr>
                      <w:rFonts w:hint="eastAsia"/>
                      <w:b/>
                      <w:bCs/>
                      <w:color w:val="FF0000"/>
                      <w:szCs w:val="21"/>
                      <w:highlight w:val="yellow"/>
                      <w:lang w:val="en-US" w:eastAsia="zh-CN"/>
                    </w:rPr>
                    <w:t>符合性</w:t>
                  </w:r>
                </w:p>
              </w:tc>
            </w:tr>
            <w:tr w14:paraId="1398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noWrap w:val="0"/>
                  <w:tcMar>
                    <w:top w:w="0" w:type="dxa"/>
                    <w:left w:w="45" w:type="dxa"/>
                    <w:bottom w:w="0" w:type="dxa"/>
                    <w:right w:w="45" w:type="dxa"/>
                  </w:tcMar>
                  <w:vAlign w:val="center"/>
                </w:tcPr>
                <w:p w14:paraId="0DB17E8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color w:val="FF0000"/>
                      <w:highlight w:val="yellow"/>
                      <w:lang w:val="en-US" w:eastAsia="zh-CN"/>
                    </w:rPr>
                  </w:pPr>
                  <w:r>
                    <w:rPr>
                      <w:rFonts w:hint="eastAsia"/>
                      <w:color w:val="FF0000"/>
                      <w:highlight w:val="yellow"/>
                      <w:lang w:val="en-US" w:eastAsia="zh-CN"/>
                    </w:rPr>
                    <w:t>陕南地区</w:t>
                  </w:r>
                </w:p>
              </w:tc>
              <w:tc>
                <w:tcPr>
                  <w:tcW w:w="1551" w:type="dxa"/>
                  <w:shd w:val="clear" w:color="auto" w:fill="auto"/>
                  <w:noWrap w:val="0"/>
                  <w:tcMar>
                    <w:top w:w="0" w:type="dxa"/>
                    <w:left w:w="45" w:type="dxa"/>
                    <w:bottom w:w="0" w:type="dxa"/>
                    <w:right w:w="45" w:type="dxa"/>
                  </w:tcMar>
                  <w:vAlign w:val="center"/>
                </w:tcPr>
                <w:p w14:paraId="6816FF22">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FF0000"/>
                      <w:kern w:val="2"/>
                      <w:sz w:val="21"/>
                      <w:szCs w:val="21"/>
                      <w:highlight w:val="yellow"/>
                      <w:lang w:val="en-US" w:eastAsia="zh-CN" w:bidi="ar-SA"/>
                    </w:rPr>
                  </w:pPr>
                  <w:r>
                    <w:rPr>
                      <w:rFonts w:hint="eastAsia"/>
                      <w:color w:val="FF0000"/>
                      <w:szCs w:val="21"/>
                      <w:highlight w:val="yellow"/>
                    </w:rPr>
                    <w:t>空间布局约束</w:t>
                  </w:r>
                </w:p>
              </w:tc>
              <w:tc>
                <w:tcPr>
                  <w:tcW w:w="5564" w:type="dxa"/>
                  <w:shd w:val="clear" w:color="auto" w:fill="auto"/>
                  <w:noWrap w:val="0"/>
                  <w:tcMar>
                    <w:top w:w="0" w:type="dxa"/>
                    <w:left w:w="45" w:type="dxa"/>
                    <w:bottom w:w="0" w:type="dxa"/>
                    <w:right w:w="45" w:type="dxa"/>
                  </w:tcMar>
                  <w:vAlign w:val="center"/>
                </w:tcPr>
                <w:p w14:paraId="2065E5CF">
                  <w:pPr>
                    <w:keepNext w:val="0"/>
                    <w:keepLines w:val="0"/>
                    <w:widowControl/>
                    <w:suppressLineNumbers w:val="0"/>
                    <w:topLinePunct w:val="0"/>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FF0000"/>
                      <w:kern w:val="2"/>
                      <w:sz w:val="21"/>
                      <w:szCs w:val="21"/>
                      <w:highlight w:val="yellow"/>
                      <w:lang w:val="en-US" w:eastAsia="zh-CN" w:bidi="ar-SA"/>
                    </w:rPr>
                  </w:pPr>
                  <w:r>
                    <w:rPr>
                      <w:rFonts w:hint="eastAsia" w:ascii="Times New Roman" w:hAnsi="Times New Roman" w:eastAsia="宋体" w:cs="Times New Roman"/>
                      <w:color w:val="FF0000"/>
                      <w:kern w:val="2"/>
                      <w:sz w:val="21"/>
                      <w:szCs w:val="21"/>
                      <w:highlight w:val="yellow"/>
                      <w:lang w:val="en-US" w:eastAsia="zh-CN" w:bidi="ar-SA"/>
                    </w:rPr>
                    <w:t>陕南地区严格控制新建、扩建黄姜皂素生产、化学制浆造纸、果汁加工、有色金属、电镀、印染等涉水重点行业</w:t>
                  </w:r>
                  <w:r>
                    <w:rPr>
                      <w:rFonts w:hint="eastAsia" w:cs="Times New Roman"/>
                      <w:color w:val="FF0000"/>
                      <w:kern w:val="2"/>
                      <w:sz w:val="21"/>
                      <w:szCs w:val="21"/>
                      <w:highlight w:val="yellow"/>
                      <w:lang w:val="en-US" w:eastAsia="zh-CN" w:bidi="ar-SA"/>
                    </w:rPr>
                    <w:t>。</w:t>
                  </w:r>
                </w:p>
              </w:tc>
              <w:tc>
                <w:tcPr>
                  <w:tcW w:w="3725" w:type="dxa"/>
                  <w:noWrap w:val="0"/>
                  <w:tcMar>
                    <w:top w:w="0" w:type="dxa"/>
                    <w:left w:w="45" w:type="dxa"/>
                    <w:bottom w:w="0" w:type="dxa"/>
                    <w:right w:w="45" w:type="dxa"/>
                  </w:tcMar>
                  <w:vAlign w:val="center"/>
                </w:tcPr>
                <w:p w14:paraId="1FF9403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eastAsia="宋体"/>
                      <w:color w:val="FF0000"/>
                      <w:szCs w:val="21"/>
                      <w:highlight w:val="yellow"/>
                      <w:lang w:val="en-US" w:eastAsia="zh-CN"/>
                    </w:rPr>
                  </w:pPr>
                  <w:r>
                    <w:rPr>
                      <w:rFonts w:hint="eastAsia"/>
                      <w:color w:val="FF0000"/>
                      <w:szCs w:val="21"/>
                      <w:highlight w:val="yellow"/>
                      <w:lang w:val="en-US" w:eastAsia="zh-CN"/>
                    </w:rPr>
                    <w:t>本项目电镀外委处理，符合陕南地区的空间布局要求。</w:t>
                  </w:r>
                </w:p>
              </w:tc>
              <w:tc>
                <w:tcPr>
                  <w:tcW w:w="659" w:type="dxa"/>
                  <w:noWrap w:val="0"/>
                  <w:tcMar>
                    <w:top w:w="0" w:type="dxa"/>
                    <w:left w:w="45" w:type="dxa"/>
                    <w:bottom w:w="0" w:type="dxa"/>
                    <w:right w:w="45" w:type="dxa"/>
                  </w:tcMar>
                  <w:vAlign w:val="center"/>
                </w:tcPr>
                <w:p w14:paraId="660E184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bCs/>
                      <w:color w:val="FF0000"/>
                      <w:szCs w:val="21"/>
                      <w:highlight w:val="yellow"/>
                    </w:rPr>
                  </w:pPr>
                  <w:r>
                    <w:rPr>
                      <w:rFonts w:hint="default"/>
                      <w:bCs/>
                      <w:color w:val="FF0000"/>
                      <w:szCs w:val="21"/>
                      <w:highlight w:val="yellow"/>
                    </w:rPr>
                    <w:t>符合</w:t>
                  </w:r>
                </w:p>
              </w:tc>
            </w:tr>
            <w:tr w14:paraId="6A6F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Merge w:val="restart"/>
                  <w:noWrap w:val="0"/>
                  <w:tcMar>
                    <w:top w:w="0" w:type="dxa"/>
                    <w:left w:w="45" w:type="dxa"/>
                    <w:bottom w:w="0" w:type="dxa"/>
                    <w:right w:w="45" w:type="dxa"/>
                  </w:tcMar>
                  <w:vAlign w:val="center"/>
                </w:tcPr>
                <w:p w14:paraId="597B9463">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eastAsia="宋体"/>
                      <w:color w:val="FF0000"/>
                      <w:highlight w:val="yellow"/>
                      <w:lang w:val="en-US" w:eastAsia="zh-CN"/>
                    </w:rPr>
                  </w:pPr>
                  <w:r>
                    <w:rPr>
                      <w:rFonts w:hint="eastAsia"/>
                      <w:color w:val="FF0000"/>
                      <w:highlight w:val="yellow"/>
                      <w:lang w:val="en-US" w:eastAsia="zh-CN"/>
                    </w:rPr>
                    <w:t>安康市</w:t>
                  </w:r>
                </w:p>
              </w:tc>
              <w:tc>
                <w:tcPr>
                  <w:tcW w:w="1551" w:type="dxa"/>
                  <w:noWrap w:val="0"/>
                  <w:tcMar>
                    <w:top w:w="0" w:type="dxa"/>
                    <w:left w:w="45" w:type="dxa"/>
                    <w:bottom w:w="0" w:type="dxa"/>
                    <w:right w:w="45" w:type="dxa"/>
                  </w:tcMar>
                  <w:vAlign w:val="center"/>
                </w:tcPr>
                <w:p w14:paraId="4534238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FF0000"/>
                      <w:highlight w:val="yellow"/>
                    </w:rPr>
                  </w:pPr>
                  <w:r>
                    <w:rPr>
                      <w:rFonts w:hint="eastAsia"/>
                      <w:color w:val="FF0000"/>
                      <w:szCs w:val="21"/>
                      <w:highlight w:val="yellow"/>
                    </w:rPr>
                    <w:t>空间布局约束</w:t>
                  </w:r>
                </w:p>
              </w:tc>
              <w:tc>
                <w:tcPr>
                  <w:tcW w:w="5564" w:type="dxa"/>
                  <w:noWrap w:val="0"/>
                  <w:tcMar>
                    <w:top w:w="0" w:type="dxa"/>
                    <w:left w:w="45" w:type="dxa"/>
                    <w:bottom w:w="0" w:type="dxa"/>
                    <w:right w:w="45" w:type="dxa"/>
                  </w:tcMar>
                  <w:vAlign w:val="center"/>
                </w:tcPr>
                <w:p w14:paraId="48D93EFF">
                  <w:pPr>
                    <w:keepNext w:val="0"/>
                    <w:keepLines w:val="0"/>
                    <w:widowControl/>
                    <w:suppressLineNumbers w:val="0"/>
                    <w:topLinePunct w:val="0"/>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FF0000"/>
                      <w:kern w:val="2"/>
                      <w:sz w:val="21"/>
                      <w:szCs w:val="21"/>
                      <w:highlight w:val="yellow"/>
                      <w:lang w:val="en-US" w:eastAsia="zh-CN" w:bidi="ar-SA"/>
                    </w:rPr>
                  </w:pPr>
                  <w:r>
                    <w:rPr>
                      <w:rFonts w:hint="eastAsia" w:ascii="Times New Roman" w:hAnsi="Times New Roman" w:eastAsia="宋体" w:cs="Times New Roman"/>
                      <w:color w:val="FF0000"/>
                      <w:kern w:val="2"/>
                      <w:sz w:val="21"/>
                      <w:szCs w:val="21"/>
                      <w:highlight w:val="yellow"/>
                      <w:lang w:val="en-US" w:eastAsia="zh-CN" w:bidi="ar-SA"/>
                    </w:rPr>
                    <w:t>严把“两高</w:t>
                  </w:r>
                  <w:r>
                    <w:rPr>
                      <w:rFonts w:hint="default" w:ascii="Times New Roman" w:hAnsi="Times New Roman" w:eastAsia="宋体" w:cs="Times New Roman"/>
                      <w:color w:val="FF0000"/>
                      <w:kern w:val="2"/>
                      <w:sz w:val="21"/>
                      <w:szCs w:val="21"/>
                      <w:highlight w:val="yellow"/>
                      <w:lang w:val="en-US" w:eastAsia="zh-CN" w:bidi="ar-SA"/>
                    </w:rPr>
                    <w:t>”</w:t>
                  </w:r>
                  <w:r>
                    <w:rPr>
                      <w:rFonts w:hint="eastAsia" w:ascii="Times New Roman" w:hAnsi="Times New Roman" w:eastAsia="宋体" w:cs="Times New Roman"/>
                      <w:color w:val="FF0000"/>
                      <w:kern w:val="2"/>
                      <w:sz w:val="21"/>
                      <w:szCs w:val="21"/>
                      <w:highlight w:val="yellow"/>
                      <w:lang w:val="en-US" w:eastAsia="zh-CN" w:bidi="ar-SA"/>
                    </w:rPr>
                    <w:t>项目环境准入关。坚决遏制高耗能、高排放项目盲目发展。严格控制新建、扩建黄姜皂素生产、有色金属、电镀、印染等涉水重点行业。禁止新建、扩建原生汞矿开采项目。坚决淘汰和替代高耗能高污染企业和落后产能。</w:t>
                  </w:r>
                </w:p>
              </w:tc>
              <w:tc>
                <w:tcPr>
                  <w:tcW w:w="3725" w:type="dxa"/>
                  <w:noWrap w:val="0"/>
                  <w:tcMar>
                    <w:top w:w="0" w:type="dxa"/>
                    <w:left w:w="45" w:type="dxa"/>
                    <w:bottom w:w="0" w:type="dxa"/>
                    <w:right w:w="45" w:type="dxa"/>
                  </w:tcMar>
                  <w:vAlign w:val="center"/>
                </w:tcPr>
                <w:p w14:paraId="7B3C066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FF0000"/>
                      <w:highlight w:val="yellow"/>
                      <w:lang w:val="en-US"/>
                    </w:rPr>
                  </w:pPr>
                  <w:r>
                    <w:rPr>
                      <w:rFonts w:hint="eastAsia"/>
                      <w:color w:val="FF0000"/>
                      <w:szCs w:val="21"/>
                      <w:highlight w:val="yellow"/>
                      <w:lang w:val="en-US" w:eastAsia="zh-CN"/>
                    </w:rPr>
                    <w:t>本项目不属于“两高”项目，运营期采用电能，综合能耗折标煤约1454t/a</w:t>
                  </w:r>
                  <w:r>
                    <w:rPr>
                      <w:rFonts w:hint="eastAsia"/>
                      <w:color w:val="FF0000"/>
                      <w:szCs w:val="21"/>
                      <w:highlight w:val="yellow"/>
                    </w:rPr>
                    <w:t>，</w:t>
                  </w:r>
                  <w:r>
                    <w:rPr>
                      <w:rFonts w:hint="eastAsia"/>
                      <w:color w:val="FF0000"/>
                      <w:szCs w:val="21"/>
                      <w:highlight w:val="yellow"/>
                      <w:lang w:val="en-US" w:eastAsia="zh-CN"/>
                    </w:rPr>
                    <w:t>电镀外委处理，符合安康市空间布局要求。</w:t>
                  </w:r>
                </w:p>
              </w:tc>
              <w:tc>
                <w:tcPr>
                  <w:tcW w:w="659" w:type="dxa"/>
                  <w:noWrap w:val="0"/>
                  <w:tcMar>
                    <w:top w:w="0" w:type="dxa"/>
                    <w:left w:w="45" w:type="dxa"/>
                    <w:bottom w:w="0" w:type="dxa"/>
                    <w:right w:w="45" w:type="dxa"/>
                  </w:tcMar>
                  <w:vAlign w:val="center"/>
                </w:tcPr>
                <w:p w14:paraId="4184DBB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FF0000"/>
                      <w:highlight w:val="yellow"/>
                    </w:rPr>
                  </w:pPr>
                  <w:r>
                    <w:rPr>
                      <w:rFonts w:hint="default"/>
                      <w:bCs/>
                      <w:color w:val="FF0000"/>
                      <w:szCs w:val="21"/>
                      <w:highlight w:val="yellow"/>
                    </w:rPr>
                    <w:t>符合</w:t>
                  </w:r>
                </w:p>
              </w:tc>
            </w:tr>
            <w:tr w14:paraId="2ABF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Merge w:val="continue"/>
                  <w:noWrap w:val="0"/>
                  <w:tcMar>
                    <w:top w:w="0" w:type="dxa"/>
                    <w:left w:w="45" w:type="dxa"/>
                    <w:bottom w:w="0" w:type="dxa"/>
                    <w:right w:w="45" w:type="dxa"/>
                  </w:tcMar>
                  <w:vAlign w:val="center"/>
                </w:tcPr>
                <w:p w14:paraId="264ADAC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FF0000"/>
                      <w:highlight w:val="yellow"/>
                    </w:rPr>
                  </w:pPr>
                </w:p>
              </w:tc>
              <w:tc>
                <w:tcPr>
                  <w:tcW w:w="1551" w:type="dxa"/>
                  <w:noWrap w:val="0"/>
                  <w:tcMar>
                    <w:top w:w="0" w:type="dxa"/>
                    <w:left w:w="45" w:type="dxa"/>
                    <w:bottom w:w="0" w:type="dxa"/>
                    <w:right w:w="45" w:type="dxa"/>
                  </w:tcMar>
                  <w:vAlign w:val="center"/>
                </w:tcPr>
                <w:p w14:paraId="7988CAB4">
                  <w:pPr>
                    <w:keepNext w:val="0"/>
                    <w:keepLines w:val="0"/>
                    <w:widowControl/>
                    <w:suppressLineNumbers w:val="0"/>
                    <w:topLinePunct w:val="0"/>
                    <w:spacing w:before="0" w:beforeAutospacing="0" w:after="0" w:afterAutospacing="0" w:line="240" w:lineRule="auto"/>
                    <w:ind w:left="0" w:right="0" w:firstLine="0" w:firstLineChars="0"/>
                    <w:jc w:val="center"/>
                    <w:rPr>
                      <w:rFonts w:hint="default" w:eastAsia="宋体"/>
                      <w:color w:val="FF0000"/>
                      <w:szCs w:val="21"/>
                      <w:highlight w:val="yellow"/>
                      <w:lang w:val="en-US" w:eastAsia="zh-CN"/>
                    </w:rPr>
                  </w:pPr>
                  <w:r>
                    <w:rPr>
                      <w:rFonts w:hint="eastAsia"/>
                      <w:color w:val="FF0000"/>
                      <w:szCs w:val="21"/>
                      <w:highlight w:val="yellow"/>
                      <w:lang w:val="en-US" w:eastAsia="zh-CN"/>
                    </w:rPr>
                    <w:t>污染排放管控</w:t>
                  </w:r>
                </w:p>
              </w:tc>
              <w:tc>
                <w:tcPr>
                  <w:tcW w:w="5564" w:type="dxa"/>
                  <w:noWrap w:val="0"/>
                  <w:tcMar>
                    <w:top w:w="0" w:type="dxa"/>
                    <w:left w:w="45" w:type="dxa"/>
                    <w:bottom w:w="0" w:type="dxa"/>
                    <w:right w:w="45" w:type="dxa"/>
                  </w:tcMar>
                  <w:vAlign w:val="center"/>
                </w:tcPr>
                <w:p w14:paraId="72CAC8CF">
                  <w:pPr>
                    <w:keepNext w:val="0"/>
                    <w:keepLines w:val="0"/>
                    <w:widowControl/>
                    <w:suppressLineNumbers w:val="0"/>
                    <w:topLinePunct w:val="0"/>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FF0000"/>
                      <w:kern w:val="2"/>
                      <w:sz w:val="21"/>
                      <w:szCs w:val="21"/>
                      <w:highlight w:val="yellow"/>
                      <w:lang w:val="en-US" w:eastAsia="zh-CN" w:bidi="ar-SA"/>
                    </w:rPr>
                  </w:pPr>
                  <w:r>
                    <w:rPr>
                      <w:rFonts w:hint="eastAsia" w:ascii="Times New Roman" w:hAnsi="Times New Roman" w:eastAsia="宋体" w:cs="Times New Roman"/>
                      <w:color w:val="FF0000"/>
                      <w:kern w:val="2"/>
                      <w:sz w:val="21"/>
                      <w:szCs w:val="21"/>
                      <w:highlight w:val="yellow"/>
                      <w:lang w:val="en-US" w:eastAsia="zh-CN" w:bidi="ar-SA"/>
                    </w:rPr>
                    <w:t>安康市汉滨区、旬阳县的重有色金属冶炼业铅、锌工业，电镀工业，电池工业严格执行《陕西省人民政府关于在矿产资源开发利用集中的县(区</w:t>
                  </w:r>
                  <w:r>
                    <w:rPr>
                      <w:rFonts w:hint="default" w:ascii="Times New Roman" w:hAnsi="Times New Roman" w:eastAsia="宋体" w:cs="Times New Roman"/>
                      <w:color w:val="FF0000"/>
                      <w:kern w:val="2"/>
                      <w:sz w:val="21"/>
                      <w:szCs w:val="21"/>
                      <w:highlight w:val="yellow"/>
                      <w:lang w:val="en-US" w:eastAsia="zh-CN" w:bidi="ar-SA"/>
                    </w:rPr>
                    <w:t>)</w:t>
                  </w:r>
                  <w:r>
                    <w:rPr>
                      <w:rFonts w:hint="eastAsia" w:ascii="Times New Roman" w:hAnsi="Times New Roman" w:eastAsia="宋体" w:cs="Times New Roman"/>
                      <w:color w:val="FF0000"/>
                      <w:kern w:val="2"/>
                      <w:sz w:val="21"/>
                      <w:szCs w:val="21"/>
                      <w:highlight w:val="yellow"/>
                      <w:lang w:val="en-US" w:eastAsia="zh-CN" w:bidi="ar-SA"/>
                    </w:rPr>
                    <w:t>执行重点污染物特别排放限值的公告》</w:t>
                  </w:r>
                  <w:r>
                    <w:rPr>
                      <w:rFonts w:hint="default" w:ascii="Times New Roman" w:hAnsi="Times New Roman" w:eastAsia="宋体" w:cs="Times New Roman"/>
                      <w:color w:val="FF0000"/>
                      <w:kern w:val="2"/>
                      <w:sz w:val="21"/>
                      <w:szCs w:val="21"/>
                      <w:highlight w:val="yellow"/>
                      <w:lang w:val="en-US" w:eastAsia="zh-CN" w:bidi="ar-SA"/>
                    </w:rPr>
                    <w:t>(</w:t>
                  </w:r>
                  <w:r>
                    <w:rPr>
                      <w:rFonts w:hint="eastAsia" w:ascii="Times New Roman" w:hAnsi="Times New Roman" w:eastAsia="宋体" w:cs="Times New Roman"/>
                      <w:color w:val="FF0000"/>
                      <w:kern w:val="2"/>
                      <w:sz w:val="21"/>
                      <w:szCs w:val="21"/>
                      <w:highlight w:val="yellow"/>
                      <w:lang w:val="en-US" w:eastAsia="zh-CN" w:bidi="ar-SA"/>
                    </w:rPr>
                    <w:t>陕政发〔</w:t>
                  </w:r>
                  <w:r>
                    <w:rPr>
                      <w:rFonts w:hint="default" w:ascii="Times New Roman" w:hAnsi="Times New Roman" w:eastAsia="宋体" w:cs="Times New Roman"/>
                      <w:color w:val="FF0000"/>
                      <w:kern w:val="2"/>
                      <w:sz w:val="21"/>
                      <w:szCs w:val="21"/>
                      <w:highlight w:val="yellow"/>
                      <w:lang w:val="en-US" w:eastAsia="zh-CN" w:bidi="ar-SA"/>
                    </w:rPr>
                    <w:t>2017</w:t>
                  </w:r>
                  <w:r>
                    <w:rPr>
                      <w:rFonts w:hint="eastAsia" w:ascii="Times New Roman" w:hAnsi="Times New Roman" w:eastAsia="宋体" w:cs="Times New Roman"/>
                      <w:color w:val="FF0000"/>
                      <w:kern w:val="2"/>
                      <w:sz w:val="21"/>
                      <w:szCs w:val="21"/>
                      <w:highlight w:val="yellow"/>
                      <w:lang w:val="en-US" w:eastAsia="zh-CN" w:bidi="ar-SA"/>
                    </w:rPr>
                    <w:t>〕</w:t>
                  </w:r>
                  <w:r>
                    <w:rPr>
                      <w:rFonts w:hint="default" w:ascii="Times New Roman" w:hAnsi="Times New Roman" w:eastAsia="宋体" w:cs="Times New Roman"/>
                      <w:color w:val="FF0000"/>
                      <w:kern w:val="2"/>
                      <w:sz w:val="21"/>
                      <w:szCs w:val="21"/>
                      <w:highlight w:val="yellow"/>
                      <w:lang w:val="en-US" w:eastAsia="zh-CN" w:bidi="ar-SA"/>
                    </w:rPr>
                    <w:t xml:space="preserve">54 </w:t>
                  </w:r>
                  <w:r>
                    <w:rPr>
                      <w:rFonts w:hint="eastAsia" w:ascii="Times New Roman" w:hAnsi="Times New Roman" w:eastAsia="宋体" w:cs="Times New Roman"/>
                      <w:color w:val="FF0000"/>
                      <w:kern w:val="2"/>
                      <w:sz w:val="21"/>
                      <w:szCs w:val="21"/>
                      <w:highlight w:val="yellow"/>
                      <w:lang w:val="en-US" w:eastAsia="zh-CN" w:bidi="ar-SA"/>
                    </w:rPr>
                    <w:t>号</w:t>
                  </w:r>
                  <w:r>
                    <w:rPr>
                      <w:rFonts w:hint="default" w:ascii="Times New Roman" w:hAnsi="Times New Roman" w:eastAsia="宋体" w:cs="Times New Roman"/>
                      <w:color w:val="FF0000"/>
                      <w:kern w:val="2"/>
                      <w:sz w:val="21"/>
                      <w:szCs w:val="21"/>
                      <w:highlight w:val="yellow"/>
                      <w:lang w:val="en-US" w:eastAsia="zh-CN" w:bidi="ar-SA"/>
                    </w:rPr>
                    <w:t>)</w:t>
                  </w:r>
                  <w:r>
                    <w:rPr>
                      <w:rFonts w:hint="eastAsia" w:ascii="Times New Roman" w:hAnsi="Times New Roman" w:eastAsia="宋体" w:cs="Times New Roman"/>
                      <w:color w:val="FF0000"/>
                      <w:kern w:val="2"/>
                      <w:sz w:val="21"/>
                      <w:szCs w:val="21"/>
                      <w:highlight w:val="yellow"/>
                      <w:lang w:val="en-US" w:eastAsia="zh-CN" w:bidi="ar-SA"/>
                    </w:rPr>
                    <w:t>。</w:t>
                  </w:r>
                </w:p>
              </w:tc>
              <w:tc>
                <w:tcPr>
                  <w:tcW w:w="3725" w:type="dxa"/>
                  <w:noWrap w:val="0"/>
                  <w:tcMar>
                    <w:top w:w="0" w:type="dxa"/>
                    <w:left w:w="45" w:type="dxa"/>
                    <w:bottom w:w="0" w:type="dxa"/>
                    <w:right w:w="45" w:type="dxa"/>
                  </w:tcMar>
                  <w:vAlign w:val="center"/>
                </w:tcPr>
                <w:p w14:paraId="5EE6273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FF0000"/>
                      <w:szCs w:val="21"/>
                      <w:highlight w:val="yellow"/>
                      <w:lang w:val="en-US"/>
                    </w:rPr>
                  </w:pPr>
                  <w:r>
                    <w:rPr>
                      <w:rFonts w:hint="default"/>
                      <w:color w:val="FF0000"/>
                      <w:szCs w:val="21"/>
                      <w:highlight w:val="yellow"/>
                    </w:rPr>
                    <w:t>本项目位于</w:t>
                  </w:r>
                  <w:r>
                    <w:rPr>
                      <w:rFonts w:hint="eastAsia"/>
                      <w:bCs/>
                      <w:color w:val="FF0000"/>
                      <w:sz w:val="21"/>
                      <w:szCs w:val="21"/>
                      <w:highlight w:val="yellow"/>
                      <w:vertAlign w:val="baseline"/>
                      <w:lang w:val="en-US" w:eastAsia="zh-CN"/>
                    </w:rPr>
                    <w:t>安康高新技术产业开发区，</w:t>
                  </w:r>
                  <w:r>
                    <w:rPr>
                      <w:rFonts w:hint="eastAsia"/>
                      <w:color w:val="FF0000"/>
                      <w:szCs w:val="21"/>
                      <w:highlight w:val="yellow"/>
                      <w:lang w:val="en-US" w:eastAsia="zh-CN"/>
                    </w:rPr>
                    <w:t>为电机制造项目，电镀外委处理。</w:t>
                  </w:r>
                </w:p>
              </w:tc>
              <w:tc>
                <w:tcPr>
                  <w:tcW w:w="659" w:type="dxa"/>
                  <w:noWrap w:val="0"/>
                  <w:tcMar>
                    <w:top w:w="0" w:type="dxa"/>
                    <w:left w:w="45" w:type="dxa"/>
                    <w:bottom w:w="0" w:type="dxa"/>
                    <w:right w:w="45" w:type="dxa"/>
                  </w:tcMar>
                  <w:vAlign w:val="center"/>
                </w:tcPr>
                <w:p w14:paraId="7694328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color w:val="FF0000"/>
                      <w:highlight w:val="yellow"/>
                    </w:rPr>
                  </w:pPr>
                  <w:r>
                    <w:rPr>
                      <w:rFonts w:hint="default"/>
                      <w:bCs/>
                      <w:color w:val="FF0000"/>
                      <w:szCs w:val="21"/>
                      <w:highlight w:val="yellow"/>
                    </w:rPr>
                    <w:t>符合</w:t>
                  </w:r>
                </w:p>
              </w:tc>
            </w:tr>
          </w:tbl>
          <w:p w14:paraId="73B614A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（3）“一说明”：指的是依据“一图”和“一表”结果，论证规划或建设项目符合性的说明。</w:t>
            </w:r>
          </w:p>
          <w:p w14:paraId="6DB61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根据</w:t>
            </w:r>
            <w:r>
              <w:rPr>
                <w:rFonts w:hint="default" w:ascii="Times New Roman" w:hAnsi="Times New Roman" w:eastAsia="宋体" w:cs="Times New Roman"/>
                <w:color w:val="auto"/>
                <w:sz w:val="24"/>
                <w:szCs w:val="24"/>
                <w:lang w:val="en-US" w:eastAsia="zh-CN"/>
              </w:rPr>
              <w:t>陕西省“三线一单”生态环境管控单元对照分析报告</w:t>
            </w:r>
            <w:r>
              <w:rPr>
                <w:rFonts w:hint="eastAsia" w:cs="Times New Roman"/>
                <w:color w:val="auto"/>
                <w:sz w:val="24"/>
                <w:szCs w:val="24"/>
                <w:lang w:val="en-US" w:eastAsia="zh-CN"/>
              </w:rPr>
              <w:t>，本项目位于重点管控单元，不涉及优先保护单元和一般管控单元，不涉及生态保护红线，用地性质为工业用地，</w:t>
            </w:r>
            <w:r>
              <w:rPr>
                <w:rFonts w:hint="eastAsia" w:cs="Times New Roman"/>
                <w:color w:val="FF0000"/>
                <w:sz w:val="24"/>
                <w:szCs w:val="24"/>
                <w:lang w:val="en-US" w:eastAsia="zh-CN"/>
              </w:rPr>
              <w:t>电镀外委</w:t>
            </w:r>
            <w:r>
              <w:rPr>
                <w:rFonts w:hint="eastAsia" w:cs="Times New Roman"/>
                <w:color w:val="auto"/>
                <w:sz w:val="24"/>
                <w:szCs w:val="24"/>
                <w:lang w:val="en-US" w:eastAsia="zh-CN"/>
              </w:rPr>
              <w:t>，选址合理。</w:t>
            </w: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运营期</w:t>
            </w:r>
            <w:r>
              <w:rPr>
                <w:rFonts w:hint="eastAsia" w:ascii="Times New Roman" w:hAnsi="Times New Roman" w:eastAsia="宋体" w:cs="Times New Roman"/>
                <w:sz w:val="24"/>
                <w:szCs w:val="24"/>
                <w:lang w:val="en-US" w:eastAsia="zh-CN"/>
              </w:rPr>
              <w:t>过程中涉及的资源主要为电及水资源，电能属于清洁能源，用水由市政管网供给，不触及区域资源利用上线。运营期</w:t>
            </w:r>
            <w:r>
              <w:rPr>
                <w:rFonts w:hint="default" w:ascii="Times New Roman" w:hAnsi="Times New Roman" w:eastAsia="宋体" w:cs="Times New Roman"/>
                <w:sz w:val="24"/>
                <w:szCs w:val="24"/>
              </w:rPr>
              <w:t>主要大气污染物为VOCs及颗粒物，在落实环评报告提出的各项环保措施后各类污染物均可达标排放</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故，项目的建设符合“三线一单”的相关要求。</w:t>
            </w:r>
          </w:p>
          <w:p w14:paraId="3B39A52E">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lang w:val="en-US" w:eastAsia="zh-CN" w:bidi="ar"/>
              </w:rPr>
            </w:pPr>
            <w:r>
              <w:rPr>
                <w:rFonts w:hint="eastAsia" w:cs="Times New Roman"/>
                <w:b/>
                <w:bCs/>
                <w:color w:val="auto"/>
                <w:kern w:val="2"/>
                <w:sz w:val="24"/>
                <w:szCs w:val="24"/>
                <w:lang w:val="en-US" w:eastAsia="zh-CN" w:bidi="ar"/>
              </w:rPr>
              <w:t>4</w:t>
            </w:r>
            <w:r>
              <w:rPr>
                <w:rFonts w:hint="default" w:ascii="Times New Roman" w:hAnsi="Times New Roman" w:eastAsia="宋体" w:cs="Times New Roman"/>
                <w:b/>
                <w:bCs/>
                <w:color w:val="auto"/>
                <w:kern w:val="2"/>
                <w:sz w:val="24"/>
                <w:szCs w:val="24"/>
                <w:lang w:val="en-US" w:eastAsia="zh-CN" w:bidi="ar"/>
              </w:rPr>
              <w:t>、相关政策符合性分析</w:t>
            </w:r>
          </w:p>
          <w:p w14:paraId="49EAC81C">
            <w:pPr>
              <w:keepNext w:val="0"/>
              <w:keepLines w:val="0"/>
              <w:numPr>
                <w:ilvl w:val="0"/>
                <w:numId w:val="0"/>
              </w:numPr>
              <w:suppressLineNumbers w:val="0"/>
              <w:tabs>
                <w:tab w:val="left" w:pos="0"/>
              </w:tabs>
              <w:spacing w:before="0" w:beforeAutospacing="0" w:after="0" w:afterAutospacing="0"/>
              <w:ind w:left="0" w:leftChars="0" w:right="0" w:rightChars="0" w:firstLine="3132" w:firstLineChars="1300"/>
              <w:jc w:val="left"/>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 xml:space="preserve">表1-7    </w:t>
            </w:r>
            <w:r>
              <w:rPr>
                <w:rFonts w:hint="default" w:ascii="Times New Roman" w:hAnsi="Times New Roman" w:eastAsia="宋体" w:cs="Times New Roman"/>
                <w:b/>
                <w:bCs/>
                <w:color w:val="auto"/>
                <w:sz w:val="24"/>
                <w:szCs w:val="24"/>
                <w:lang w:val="en-US" w:eastAsia="zh-CN"/>
              </w:rPr>
              <w:t xml:space="preserve">  项目与产业政策及技术政策的符合性分析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6096"/>
              <w:gridCol w:w="3271"/>
              <w:gridCol w:w="924"/>
            </w:tblGrid>
            <w:tr w14:paraId="51CA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25" w:type="pct"/>
                  <w:tcBorders>
                    <w:top w:val="single" w:color="auto" w:sz="4" w:space="0"/>
                    <w:left w:val="single" w:color="auto" w:sz="4" w:space="0"/>
                    <w:right w:val="single" w:color="auto" w:sz="4" w:space="0"/>
                  </w:tcBorders>
                  <w:noWrap w:val="0"/>
                  <w:vAlign w:val="center"/>
                </w:tcPr>
                <w:p w14:paraId="5F65A441">
                  <w:pPr>
                    <w:keepNext w:val="0"/>
                    <w:keepLines w:val="0"/>
                    <w:suppressLineNumbers w:val="0"/>
                    <w:spacing w:before="0" w:beforeAutospacing="0" w:after="0" w:afterAutospacing="0" w:line="240" w:lineRule="auto"/>
                    <w:ind w:left="0" w:right="0" w:firstLine="0" w:firstLineChars="0"/>
                    <w:jc w:val="center"/>
                    <w:rPr>
                      <w:rFonts w:hint="default" w:eastAsia="宋体"/>
                      <w:b/>
                      <w:bCs/>
                      <w:szCs w:val="21"/>
                      <w:lang w:val="en-US" w:eastAsia="zh-CN"/>
                    </w:rPr>
                  </w:pPr>
                  <w:r>
                    <w:rPr>
                      <w:rFonts w:hint="eastAsia"/>
                      <w:b/>
                      <w:bCs/>
                      <w:szCs w:val="21"/>
                      <w:lang w:val="en-US" w:eastAsia="zh-CN"/>
                    </w:rPr>
                    <w:t>政策名称</w:t>
                  </w:r>
                </w:p>
              </w:tc>
              <w:tc>
                <w:tcPr>
                  <w:tcW w:w="2472" w:type="pct"/>
                  <w:tcBorders>
                    <w:top w:val="single" w:color="auto" w:sz="4" w:space="0"/>
                    <w:left w:val="single" w:color="auto" w:sz="4" w:space="0"/>
                    <w:right w:val="single" w:color="auto" w:sz="4" w:space="0"/>
                  </w:tcBorders>
                  <w:noWrap w:val="0"/>
                  <w:vAlign w:val="center"/>
                </w:tcPr>
                <w:p w14:paraId="6278224A">
                  <w:pPr>
                    <w:keepNext w:val="0"/>
                    <w:keepLines w:val="0"/>
                    <w:suppressLineNumbers w:val="0"/>
                    <w:spacing w:before="0" w:beforeAutospacing="0" w:after="0" w:afterAutospacing="0" w:line="240" w:lineRule="auto"/>
                    <w:ind w:left="0" w:right="0" w:firstLine="0" w:firstLineChars="0"/>
                    <w:jc w:val="center"/>
                    <w:rPr>
                      <w:rFonts w:hint="eastAsia" w:eastAsia="宋体"/>
                      <w:b/>
                      <w:bCs/>
                      <w:szCs w:val="21"/>
                      <w:lang w:val="en-US" w:eastAsia="zh-CN"/>
                    </w:rPr>
                  </w:pPr>
                  <w:r>
                    <w:rPr>
                      <w:rFonts w:hint="eastAsia"/>
                      <w:b/>
                      <w:bCs/>
                      <w:szCs w:val="21"/>
                      <w:lang w:val="en-US" w:eastAsia="zh-CN"/>
                    </w:rPr>
                    <w:t>政策要求</w:t>
                  </w:r>
                </w:p>
              </w:tc>
              <w:tc>
                <w:tcPr>
                  <w:tcW w:w="1326" w:type="pct"/>
                  <w:tcBorders>
                    <w:top w:val="single" w:color="auto" w:sz="4" w:space="0"/>
                    <w:left w:val="single" w:color="auto" w:sz="4" w:space="0"/>
                    <w:right w:val="single" w:color="auto" w:sz="4" w:space="0"/>
                  </w:tcBorders>
                  <w:noWrap w:val="0"/>
                  <w:vAlign w:val="center"/>
                </w:tcPr>
                <w:p w14:paraId="4BB98A40">
                  <w:pPr>
                    <w:keepNext w:val="0"/>
                    <w:keepLines w:val="0"/>
                    <w:suppressLineNumbers w:val="0"/>
                    <w:spacing w:before="0" w:beforeAutospacing="0" w:after="0" w:afterAutospacing="0" w:line="240" w:lineRule="auto"/>
                    <w:ind w:left="0" w:right="0" w:firstLine="0" w:firstLineChars="0"/>
                    <w:jc w:val="center"/>
                    <w:rPr>
                      <w:rFonts w:hint="eastAsia" w:eastAsia="宋体"/>
                      <w:b/>
                      <w:bCs/>
                      <w:szCs w:val="21"/>
                      <w:lang w:val="en-US" w:eastAsia="zh-CN"/>
                    </w:rPr>
                  </w:pPr>
                  <w:r>
                    <w:rPr>
                      <w:rFonts w:hint="eastAsia"/>
                      <w:b/>
                      <w:bCs/>
                      <w:szCs w:val="21"/>
                      <w:lang w:val="en-US" w:eastAsia="zh-CN"/>
                    </w:rPr>
                    <w:t>本项目情况</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7AB1300">
                  <w:pPr>
                    <w:keepNext w:val="0"/>
                    <w:keepLines w:val="0"/>
                    <w:suppressLineNumbers w:val="0"/>
                    <w:spacing w:before="0" w:beforeAutospacing="0" w:after="0" w:afterAutospacing="0" w:line="240" w:lineRule="auto"/>
                    <w:ind w:left="0" w:right="0" w:firstLine="0" w:firstLineChars="0"/>
                    <w:jc w:val="center"/>
                    <w:rPr>
                      <w:rFonts w:hint="eastAsia" w:eastAsia="宋体"/>
                      <w:b/>
                      <w:bCs/>
                      <w:szCs w:val="21"/>
                      <w:lang w:val="en-US" w:eastAsia="zh-CN"/>
                    </w:rPr>
                  </w:pPr>
                  <w:r>
                    <w:rPr>
                      <w:rFonts w:hint="eastAsia"/>
                      <w:b/>
                      <w:bCs/>
                      <w:szCs w:val="21"/>
                      <w:lang w:val="en-US" w:eastAsia="zh-CN"/>
                    </w:rPr>
                    <w:t>相符性</w:t>
                  </w:r>
                </w:p>
              </w:tc>
            </w:tr>
            <w:tr w14:paraId="7B75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825" w:type="pct"/>
                  <w:tcBorders>
                    <w:top w:val="single" w:color="auto" w:sz="4" w:space="0"/>
                    <w:left w:val="single" w:color="auto" w:sz="4" w:space="0"/>
                    <w:right w:val="single" w:color="auto" w:sz="4" w:space="0"/>
                  </w:tcBorders>
                  <w:shd w:val="clear" w:color="auto" w:fill="auto"/>
                  <w:noWrap w:val="0"/>
                  <w:vAlign w:val="center"/>
                </w:tcPr>
                <w:p w14:paraId="107BEF3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szCs w:val="21"/>
                      <w:lang w:eastAsia="zh-CN"/>
                    </w:rPr>
                    <w:t>《</w:t>
                  </w:r>
                  <w:r>
                    <w:rPr>
                      <w:rFonts w:hint="default"/>
                      <w:szCs w:val="21"/>
                      <w:lang w:val="en-US" w:eastAsia="zh-CN"/>
                    </w:rPr>
                    <w:t>陕西省主体功能区规划</w:t>
                  </w:r>
                  <w:r>
                    <w:rPr>
                      <w:rFonts w:hint="default"/>
                      <w:szCs w:val="21"/>
                      <w:lang w:eastAsia="zh-CN"/>
                    </w:rPr>
                    <w:t>》</w:t>
                  </w:r>
                </w:p>
              </w:tc>
              <w:tc>
                <w:tcPr>
                  <w:tcW w:w="2472" w:type="pct"/>
                  <w:tcBorders>
                    <w:top w:val="single" w:color="auto" w:sz="4" w:space="0"/>
                    <w:left w:val="single" w:color="auto" w:sz="4" w:space="0"/>
                    <w:right w:val="single" w:color="auto" w:sz="4" w:space="0"/>
                  </w:tcBorders>
                  <w:shd w:val="clear" w:color="auto" w:fill="auto"/>
                  <w:noWrap w:val="0"/>
                  <w:vAlign w:val="center"/>
                </w:tcPr>
                <w:p w14:paraId="145BEDF6">
                  <w:pPr>
                    <w:keepNext w:val="0"/>
                    <w:keepLines w:val="0"/>
                    <w:suppressLineNumbers w:val="0"/>
                    <w:spacing w:before="0" w:beforeAutospacing="0" w:after="0" w:afterAutospacing="0" w:line="240" w:lineRule="auto"/>
                    <w:ind w:left="0" w:leftChars="0" w:right="0" w:rightChars="0" w:firstLine="0" w:firstLineChars="0"/>
                    <w:jc w:val="left"/>
                    <w:rPr>
                      <w:rFonts w:hint="eastAsia" w:ascii="Times New Roman" w:hAnsi="Times New Roman" w:eastAsia="宋体" w:cs="Times New Roman"/>
                      <w:kern w:val="2"/>
                      <w:sz w:val="21"/>
                      <w:szCs w:val="21"/>
                      <w:lang w:val="en-US" w:eastAsia="zh-CN" w:bidi="ar-SA"/>
                    </w:rPr>
                  </w:pPr>
                  <w:r>
                    <w:rPr>
                      <w:rFonts w:hint="eastAsia"/>
                      <w:szCs w:val="21"/>
                    </w:rPr>
                    <w:t>陕西省主体功能区划按开发方式分为重点开发区域、限制开发区域和禁止开发区域三类，本项目地高新区位于省级层面重点开发区域内。重点开发区域，是指经济基础较强，具有一定的科技创新能力和较好的发展潜力，城镇体系初步形成，中心城市有一定辐射带动能力，重点进行工业化城镇化开发的城市化地区。开发区以“打造秦巴特色高新区、建设安康城市新中心”为目标，突出发展涉水产业、富硒食品、生物医药、新型材料、装备制造和现代服务六大产业，重点发展富硒食品、秦巴医药、新型材料、节能环保和特色服务</w:t>
                  </w:r>
                  <w:r>
                    <w:rPr>
                      <w:rFonts w:hint="eastAsia"/>
                      <w:szCs w:val="21"/>
                      <w:lang w:eastAsia="zh-CN"/>
                    </w:rPr>
                    <w:t>“</w:t>
                  </w:r>
                  <w:r>
                    <w:rPr>
                      <w:rFonts w:hint="eastAsia"/>
                      <w:szCs w:val="21"/>
                    </w:rPr>
                    <w:t>五大</w:t>
                  </w:r>
                  <w:r>
                    <w:rPr>
                      <w:rFonts w:hint="eastAsia"/>
                      <w:szCs w:val="21"/>
                      <w:lang w:val="en-US" w:eastAsia="zh-CN"/>
                    </w:rPr>
                    <w:t>产业</w:t>
                  </w:r>
                  <w:r>
                    <w:rPr>
                      <w:rFonts w:hint="eastAsia"/>
                      <w:szCs w:val="21"/>
                      <w:lang w:eastAsia="zh-CN"/>
                    </w:rPr>
                    <w:t>”。</w:t>
                  </w:r>
                </w:p>
              </w:tc>
              <w:tc>
                <w:tcPr>
                  <w:tcW w:w="1326" w:type="pct"/>
                  <w:tcBorders>
                    <w:top w:val="single" w:color="auto" w:sz="4" w:space="0"/>
                    <w:left w:val="single" w:color="auto" w:sz="4" w:space="0"/>
                    <w:right w:val="single" w:color="auto" w:sz="4" w:space="0"/>
                  </w:tcBorders>
                  <w:shd w:val="clear" w:color="auto" w:fill="auto"/>
                  <w:noWrap w:val="0"/>
                  <w:vAlign w:val="center"/>
                </w:tcPr>
                <w:p w14:paraId="28CACE72">
                  <w:pPr>
                    <w:keepNext w:val="0"/>
                    <w:keepLines w:val="0"/>
                    <w:suppressLineNumbers w:val="0"/>
                    <w:spacing w:before="0" w:beforeAutospacing="0" w:after="0" w:afterAutospacing="0" w:line="240" w:lineRule="auto"/>
                    <w:ind w:left="0" w:leftChars="0" w:right="0" w:rightChars="0" w:firstLine="0" w:firstLineChars="0"/>
                    <w:jc w:val="left"/>
                    <w:rPr>
                      <w:rFonts w:hint="eastAsia" w:ascii="Times New Roman" w:hAnsi="Times New Roman" w:eastAsia="宋体" w:cs="Times New Roman"/>
                      <w:kern w:val="2"/>
                      <w:sz w:val="21"/>
                      <w:szCs w:val="21"/>
                      <w:lang w:val="en-US" w:eastAsia="zh-CN" w:bidi="ar-SA"/>
                    </w:rPr>
                  </w:pPr>
                  <w:r>
                    <w:rPr>
                      <w:rFonts w:hint="eastAsia"/>
                      <w:szCs w:val="21"/>
                    </w:rPr>
                    <w:t>本项目所在</w:t>
                  </w:r>
                  <w:r>
                    <w:rPr>
                      <w:rFonts w:hint="eastAsia"/>
                      <w:bCs/>
                      <w:color w:val="FF0000"/>
                      <w:sz w:val="21"/>
                      <w:szCs w:val="21"/>
                      <w:vertAlign w:val="baseline"/>
                      <w:lang w:val="en-US" w:eastAsia="zh-CN"/>
                    </w:rPr>
                    <w:t>安康高新技术产业开发区</w:t>
                  </w:r>
                  <w:r>
                    <w:rPr>
                      <w:rFonts w:hint="eastAsia"/>
                      <w:szCs w:val="21"/>
                    </w:rPr>
                    <w:t>位于省级层面重点开发区域内，符合《陕西省主体功能区规划》，</w:t>
                  </w:r>
                  <w:r>
                    <w:rPr>
                      <w:rFonts w:hint="eastAsia"/>
                      <w:color w:val="FF0000"/>
                      <w:szCs w:val="21"/>
                    </w:rPr>
                    <w:t>本项目</w:t>
                  </w:r>
                  <w:r>
                    <w:rPr>
                      <w:rFonts w:hint="eastAsia"/>
                      <w:color w:val="FF0000"/>
                      <w:szCs w:val="21"/>
                      <w:lang w:val="en-US" w:eastAsia="zh-CN"/>
                    </w:rPr>
                    <w:t>为电机制造</w:t>
                  </w:r>
                  <w:r>
                    <w:rPr>
                      <w:rFonts w:hint="eastAsia"/>
                      <w:color w:val="FF0000"/>
                      <w:szCs w:val="21"/>
                    </w:rPr>
                    <w:t>项目</w:t>
                  </w:r>
                  <w:r>
                    <w:rPr>
                      <w:rFonts w:hint="eastAsia"/>
                      <w:color w:val="FF0000"/>
                      <w:szCs w:val="21"/>
                      <w:lang w:eastAsia="zh-CN"/>
                    </w:rPr>
                    <w:t>，</w:t>
                  </w:r>
                  <w:r>
                    <w:rPr>
                      <w:rFonts w:hint="eastAsia"/>
                      <w:color w:val="FF0000"/>
                      <w:szCs w:val="21"/>
                      <w:lang w:val="en-US" w:eastAsia="zh-CN"/>
                    </w:rPr>
                    <w:t>隶属装备制造产业，符合</w:t>
                  </w:r>
                  <w:r>
                    <w:rPr>
                      <w:rFonts w:hint="eastAsia"/>
                      <w:bCs/>
                      <w:color w:val="FF0000"/>
                      <w:sz w:val="21"/>
                      <w:szCs w:val="21"/>
                      <w:vertAlign w:val="baseline"/>
                      <w:lang w:val="en-US" w:eastAsia="zh-CN"/>
                    </w:rPr>
                    <w:t>安康高新技术产业开发区发展定位</w:t>
                  </w:r>
                  <w:r>
                    <w:rPr>
                      <w:rFonts w:hint="eastAsia"/>
                      <w:color w:val="FF0000"/>
                      <w:szCs w:val="21"/>
                    </w:rPr>
                    <w:t>。</w:t>
                  </w:r>
                </w:p>
              </w:tc>
              <w:tc>
                <w:tcPr>
                  <w:tcW w:w="37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6CA0F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szCs w:val="21"/>
                    </w:rPr>
                    <w:t>符合</w:t>
                  </w:r>
                </w:p>
              </w:tc>
            </w:tr>
            <w:tr w14:paraId="5D19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825" w:type="pct"/>
                  <w:tcBorders>
                    <w:left w:val="single" w:color="auto" w:sz="4" w:space="0"/>
                    <w:right w:val="single" w:color="auto" w:sz="4" w:space="0"/>
                  </w:tcBorders>
                  <w:shd w:val="clear" w:color="auto" w:fill="auto"/>
                  <w:noWrap w:val="0"/>
                  <w:vAlign w:val="center"/>
                </w:tcPr>
                <w:p w14:paraId="48553BE0">
                  <w:pPr>
                    <w:keepNext w:val="0"/>
                    <w:keepLines w:val="0"/>
                    <w:suppressLineNumbers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kern w:val="2"/>
                      <w:sz w:val="21"/>
                      <w:szCs w:val="21"/>
                      <w:lang w:val="en-US" w:eastAsia="zh-CN" w:bidi="ar-SA"/>
                    </w:rPr>
                  </w:pPr>
                  <w:r>
                    <w:rPr>
                      <w:rFonts w:hint="default"/>
                      <w:szCs w:val="21"/>
                    </w:rPr>
                    <w:t>陕西省国家重点生态功能区产业准入负面清单（试行）</w:t>
                  </w:r>
                </w:p>
              </w:tc>
              <w:tc>
                <w:tcPr>
                  <w:tcW w:w="2472" w:type="pct"/>
                  <w:tcBorders>
                    <w:top w:val="single" w:color="auto" w:sz="4" w:space="0"/>
                    <w:left w:val="single" w:color="auto" w:sz="4" w:space="0"/>
                    <w:right w:val="single" w:color="auto" w:sz="4" w:space="0"/>
                  </w:tcBorders>
                  <w:shd w:val="clear" w:color="auto" w:fill="auto"/>
                  <w:noWrap w:val="0"/>
                  <w:vAlign w:val="center"/>
                </w:tcPr>
                <w:p w14:paraId="61AF3E1B">
                  <w:pPr>
                    <w:keepNext w:val="0"/>
                    <w:keepLines w:val="0"/>
                    <w:suppressLineNumbers w:val="0"/>
                    <w:spacing w:before="0" w:beforeAutospacing="0" w:after="0" w:afterAutospacing="0" w:line="240" w:lineRule="auto"/>
                    <w:ind w:left="0" w:leftChars="0" w:right="0" w:rightChars="0" w:firstLine="0" w:firstLineChars="0"/>
                    <w:jc w:val="left"/>
                    <w:rPr>
                      <w:rFonts w:hint="eastAsia" w:ascii="Times New Roman" w:hAnsi="Times New Roman" w:eastAsia="宋体" w:cs="Times New Roman"/>
                      <w:kern w:val="2"/>
                      <w:sz w:val="21"/>
                      <w:szCs w:val="21"/>
                      <w:lang w:val="en-US" w:eastAsia="zh-CN" w:bidi="ar-SA"/>
                    </w:rPr>
                  </w:pPr>
                  <w:r>
                    <w:rPr>
                      <w:rFonts w:hint="eastAsia"/>
                      <w:szCs w:val="21"/>
                      <w:lang w:val="en-US" w:eastAsia="zh-CN"/>
                    </w:rPr>
                    <w:t>陕西省国家重点生态功能区产业准入附件清单（第一批）、（第二批）</w:t>
                  </w:r>
                </w:p>
              </w:tc>
              <w:tc>
                <w:tcPr>
                  <w:tcW w:w="1326" w:type="pct"/>
                  <w:tcBorders>
                    <w:top w:val="single" w:color="auto" w:sz="4" w:space="0"/>
                    <w:left w:val="single" w:color="auto" w:sz="4" w:space="0"/>
                    <w:right w:val="single" w:color="auto" w:sz="4" w:space="0"/>
                  </w:tcBorders>
                  <w:noWrap w:val="0"/>
                  <w:vAlign w:val="center"/>
                </w:tcPr>
                <w:p w14:paraId="6F83423B">
                  <w:pPr>
                    <w:keepNext w:val="0"/>
                    <w:keepLines w:val="0"/>
                    <w:suppressLineNumbers w:val="0"/>
                    <w:spacing w:before="0" w:beforeAutospacing="0" w:after="0" w:afterAutospacing="0" w:line="240" w:lineRule="auto"/>
                    <w:ind w:left="0" w:right="0" w:firstLine="0" w:firstLineChars="0"/>
                    <w:jc w:val="left"/>
                    <w:rPr>
                      <w:rFonts w:hint="default"/>
                      <w:szCs w:val="21"/>
                      <w:lang w:val="en-US"/>
                    </w:rPr>
                  </w:pPr>
                  <w:r>
                    <w:rPr>
                      <w:rFonts w:hint="eastAsia"/>
                      <w:szCs w:val="21"/>
                      <w:lang w:val="en-US" w:eastAsia="zh-CN"/>
                    </w:rPr>
                    <w:t>本项目不属于陕西省国家重点生态功能区产业准入附件清单（第一批）、（第二批）中的项目</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00A8965E">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60FA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825" w:type="pct"/>
                  <w:tcBorders>
                    <w:left w:val="single" w:color="auto" w:sz="4" w:space="0"/>
                    <w:right w:val="single" w:color="auto" w:sz="4" w:space="0"/>
                  </w:tcBorders>
                  <w:shd w:val="clear" w:color="auto" w:fill="auto"/>
                  <w:noWrap w:val="0"/>
                  <w:vAlign w:val="center"/>
                </w:tcPr>
                <w:p w14:paraId="08534954">
                  <w:pPr>
                    <w:keepNext w:val="0"/>
                    <w:keepLines w:val="0"/>
                    <w:suppressLineNumbers w:val="0"/>
                    <w:spacing w:before="0" w:beforeAutospacing="0" w:after="0" w:afterAutospacing="0" w:line="240" w:lineRule="auto"/>
                    <w:ind w:left="0" w:leftChars="0" w:right="0" w:rightChars="0" w:firstLine="0" w:firstLineChars="0"/>
                    <w:jc w:val="left"/>
                    <w:rPr>
                      <w:rFonts w:hint="default"/>
                      <w:szCs w:val="21"/>
                    </w:rPr>
                  </w:pPr>
                  <w:r>
                    <w:rPr>
                      <w:rFonts w:hint="eastAsia"/>
                      <w:szCs w:val="21"/>
                    </w:rPr>
                    <w:t>《陕西省“两高”项目管理暂行目录（2022年版）》</w:t>
                  </w:r>
                </w:p>
              </w:tc>
              <w:tc>
                <w:tcPr>
                  <w:tcW w:w="2472" w:type="pct"/>
                  <w:tcBorders>
                    <w:top w:val="single" w:color="auto" w:sz="4" w:space="0"/>
                    <w:left w:val="single" w:color="auto" w:sz="4" w:space="0"/>
                    <w:right w:val="single" w:color="auto" w:sz="4" w:space="0"/>
                  </w:tcBorders>
                  <w:shd w:val="clear" w:color="auto" w:fill="auto"/>
                  <w:noWrap w:val="0"/>
                  <w:vAlign w:val="center"/>
                </w:tcPr>
                <w:p w14:paraId="245CE090">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lang w:val="en-US" w:eastAsia="zh-CN"/>
                    </w:rPr>
                  </w:pPr>
                  <w:r>
                    <w:rPr>
                      <w:rFonts w:hint="eastAsia" w:ascii="宋体" w:hAnsi="宋体"/>
                      <w:szCs w:val="21"/>
                      <w:lang w:val="en-US" w:eastAsia="zh-CN"/>
                    </w:rPr>
                    <w:t>“两高”项目暂行管理类别目录：</w:t>
                  </w:r>
                  <w:r>
                    <w:rPr>
                      <w:rFonts w:hint="eastAsia" w:ascii="宋体" w:hAnsi="宋体"/>
                      <w:szCs w:val="21"/>
                    </w:rPr>
                    <w:t>原油加工及石油制品制造（2511）、炼焦（2521）、煤制液体燃料生产（2523）、无机碱制造（2612）、无机盐制造（2613）、有机化学原料制造（2614）、氮肥制造（2621）、磷肥制造（2622）、水泥制造（3011）、平板玻璃制造（3041）、建筑陶瓷制品制造（3071）、卫生陶瓷制品制造（3072）、炼铁（3110）、炼钢（3120）、铁合金冶炼（3140）、铜冶炼（3211）、铅锌冶炼（3212）、铝冶炼（3216）、镁冶炼（3217）、硅冶炼（3218）、其他常用有色金属冶炼（3219）、火力发电（4411）、热电联产（4412）、热力生产和供应（4430）</w:t>
                  </w:r>
                </w:p>
              </w:tc>
              <w:tc>
                <w:tcPr>
                  <w:tcW w:w="1326" w:type="pct"/>
                  <w:tcBorders>
                    <w:top w:val="single" w:color="auto" w:sz="4" w:space="0"/>
                    <w:left w:val="single" w:color="auto" w:sz="4" w:space="0"/>
                    <w:right w:val="single" w:color="auto" w:sz="4" w:space="0"/>
                  </w:tcBorders>
                  <w:noWrap w:val="0"/>
                  <w:vAlign w:val="center"/>
                </w:tcPr>
                <w:p w14:paraId="41A465BD">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lang w:val="en-US" w:eastAsia="zh-CN"/>
                    </w:rPr>
                  </w:pPr>
                  <w:r>
                    <w:rPr>
                      <w:rFonts w:hint="eastAsia"/>
                      <w:szCs w:val="21"/>
                    </w:rPr>
                    <w:t>本项目为</w:t>
                  </w:r>
                  <w:r>
                    <w:rPr>
                      <w:rFonts w:hint="eastAsia"/>
                      <w:color w:val="FF0000"/>
                      <w:szCs w:val="21"/>
                      <w:lang w:val="en-US" w:eastAsia="zh-CN"/>
                    </w:rPr>
                    <w:t>电机制造</w:t>
                  </w:r>
                  <w:r>
                    <w:rPr>
                      <w:rFonts w:hint="eastAsia"/>
                      <w:color w:val="FF0000"/>
                      <w:szCs w:val="21"/>
                    </w:rPr>
                    <w:t>项目</w:t>
                  </w:r>
                  <w:r>
                    <w:rPr>
                      <w:rFonts w:hint="eastAsia"/>
                      <w:color w:val="FF0000"/>
                      <w:szCs w:val="21"/>
                      <w:lang w:eastAsia="zh-CN"/>
                    </w:rPr>
                    <w:t>，</w:t>
                  </w:r>
                  <w:r>
                    <w:rPr>
                      <w:rFonts w:hint="eastAsia"/>
                      <w:color w:val="FF0000"/>
                      <w:szCs w:val="21"/>
                      <w:lang w:val="en-US" w:eastAsia="zh-CN"/>
                    </w:rPr>
                    <w:t>属于国民经济行业分类中的</w:t>
                  </w:r>
                  <w:r>
                    <w:rPr>
                      <w:rFonts w:hint="eastAsia"/>
                      <w:szCs w:val="21"/>
                    </w:rPr>
                    <w:t>微特电机及组件制造，</w:t>
                  </w:r>
                  <w:r>
                    <w:rPr>
                      <w:rFonts w:hint="eastAsia"/>
                      <w:szCs w:val="21"/>
                      <w:lang w:val="en-US" w:eastAsia="zh-CN"/>
                    </w:rPr>
                    <w:t>对照</w:t>
                  </w:r>
                  <w:r>
                    <w:rPr>
                      <w:rFonts w:hint="eastAsia"/>
                      <w:szCs w:val="21"/>
                    </w:rPr>
                    <w:t>《陕西省“两高”项目管理暂行目录（2022年版）》</w:t>
                  </w:r>
                  <w:r>
                    <w:rPr>
                      <w:rFonts w:hint="eastAsia"/>
                      <w:szCs w:val="21"/>
                      <w:lang w:eastAsia="zh-CN"/>
                    </w:rPr>
                    <w:t>，</w:t>
                  </w:r>
                  <w:r>
                    <w:rPr>
                      <w:rFonts w:hint="eastAsia"/>
                      <w:szCs w:val="21"/>
                      <w:lang w:val="en-US" w:eastAsia="zh-CN"/>
                    </w:rPr>
                    <w:t>本项目不属于“两高”项目。</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4B2CB31">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3C6D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5" w:type="pct"/>
                  <w:tcBorders>
                    <w:left w:val="single" w:color="auto" w:sz="4" w:space="0"/>
                    <w:right w:val="single" w:color="auto" w:sz="4" w:space="0"/>
                  </w:tcBorders>
                  <w:shd w:val="clear" w:color="auto" w:fill="auto"/>
                  <w:noWrap w:val="0"/>
                  <w:vAlign w:val="center"/>
                </w:tcPr>
                <w:p w14:paraId="4260AD00">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rPr>
                  </w:pPr>
                  <w:r>
                    <w:rPr>
                      <w:rFonts w:hint="eastAsia"/>
                      <w:szCs w:val="21"/>
                    </w:rPr>
                    <w:t>《安康汉江水质保护条例》（</w:t>
                  </w:r>
                  <w:r>
                    <w:rPr>
                      <w:rFonts w:hint="default"/>
                    </w:rPr>
                    <w:t>2023年3月1日起施行</w:t>
                  </w:r>
                  <w:r>
                    <w:rPr>
                      <w:rFonts w:hint="eastAsia"/>
                      <w:szCs w:val="21"/>
                    </w:rPr>
                    <w:t>）</w:t>
                  </w:r>
                </w:p>
              </w:tc>
              <w:tc>
                <w:tcPr>
                  <w:tcW w:w="2472" w:type="pct"/>
                  <w:tcBorders>
                    <w:top w:val="single" w:color="auto" w:sz="4" w:space="0"/>
                    <w:left w:val="single" w:color="auto" w:sz="4" w:space="0"/>
                    <w:right w:val="single" w:color="auto" w:sz="4" w:space="0"/>
                  </w:tcBorders>
                  <w:shd w:val="clear" w:color="auto" w:fill="auto"/>
                  <w:noWrap w:val="0"/>
                  <w:vAlign w:val="center"/>
                </w:tcPr>
                <w:p w14:paraId="2C020FE1">
                  <w:pPr>
                    <w:keepNext w:val="0"/>
                    <w:keepLines w:val="0"/>
                    <w:suppressLineNumbers w:val="0"/>
                    <w:spacing w:before="0" w:beforeAutospacing="0" w:after="0" w:afterAutospacing="0" w:line="240" w:lineRule="auto"/>
                    <w:ind w:left="0" w:leftChars="0" w:right="0" w:rightChars="0" w:firstLine="0" w:firstLineChars="0"/>
                    <w:jc w:val="left"/>
                    <w:rPr>
                      <w:rFonts w:hint="eastAsia" w:ascii="宋体" w:hAnsi="宋体"/>
                      <w:szCs w:val="21"/>
                      <w:lang w:val="en-US" w:eastAsia="zh-CN"/>
                    </w:rPr>
                  </w:pPr>
                  <w:r>
                    <w:rPr>
                      <w:rFonts w:hint="eastAsia"/>
                      <w:szCs w:val="21"/>
                    </w:rPr>
                    <w:t>第二十六条 排放工业废水的企业应当采取有效措施，收集和处理产生的废水，防止污染环境。鼓励企业进行技术改造，淘汰污染水环境的落后工艺和设备，减少废水和污染物排放量。</w:t>
                  </w:r>
                </w:p>
              </w:tc>
              <w:tc>
                <w:tcPr>
                  <w:tcW w:w="1326" w:type="pct"/>
                  <w:tcBorders>
                    <w:top w:val="single" w:color="auto" w:sz="4" w:space="0"/>
                    <w:left w:val="single" w:color="auto" w:sz="4" w:space="0"/>
                    <w:right w:val="single" w:color="auto" w:sz="4" w:space="0"/>
                  </w:tcBorders>
                  <w:noWrap w:val="0"/>
                  <w:vAlign w:val="center"/>
                </w:tcPr>
                <w:p w14:paraId="20CC76B8">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rPr>
                  </w:pPr>
                  <w:r>
                    <w:rPr>
                      <w:rFonts w:hint="eastAsia"/>
                      <w:szCs w:val="21"/>
                    </w:rPr>
                    <w:t>本项目废水主要为生活污水</w:t>
                  </w:r>
                  <w:r>
                    <w:rPr>
                      <w:rFonts w:hint="eastAsia"/>
                      <w:szCs w:val="21"/>
                      <w:lang w:val="en-US" w:eastAsia="zh-CN"/>
                    </w:rPr>
                    <w:t>及</w:t>
                  </w:r>
                  <w:r>
                    <w:rPr>
                      <w:rFonts w:hint="eastAsia"/>
                      <w:szCs w:val="21"/>
                    </w:rPr>
                    <w:t>清洗废水。</w:t>
                  </w:r>
                  <w:r>
                    <w:rPr>
                      <w:rFonts w:hint="eastAsia"/>
                      <w:szCs w:val="21"/>
                      <w:lang w:val="en-US" w:eastAsia="zh-CN"/>
                    </w:rPr>
                    <w:t>生活污水经厂区化粪池预处理后排入市政污水管网；清洗废水经厂区废水处理站处理后排入市政污水管网，</w:t>
                  </w:r>
                  <w:r>
                    <w:rPr>
                      <w:rFonts w:hint="eastAsia"/>
                      <w:color w:val="FF0000"/>
                      <w:szCs w:val="21"/>
                      <w:lang w:val="en-US" w:eastAsia="zh-CN"/>
                    </w:rPr>
                    <w:t>最终排入安康市建民污水处理厂处理。</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7844015">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2438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825" w:type="pct"/>
                  <w:vMerge w:val="restart"/>
                  <w:tcBorders>
                    <w:left w:val="single" w:color="auto" w:sz="4" w:space="0"/>
                    <w:right w:val="single" w:color="auto" w:sz="4" w:space="0"/>
                  </w:tcBorders>
                  <w:shd w:val="clear" w:color="auto" w:fill="auto"/>
                  <w:noWrap w:val="0"/>
                  <w:vAlign w:val="center"/>
                </w:tcPr>
                <w:p w14:paraId="4DED4CDC">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《安康市“十四五”生态环境保护规划》</w:t>
                  </w:r>
                </w:p>
                <w:p w14:paraId="328BE870">
                  <w:pPr>
                    <w:keepNext w:val="0"/>
                    <w:keepLines w:val="0"/>
                    <w:suppressLineNumbers w:val="0"/>
                    <w:spacing w:before="0" w:beforeAutospacing="0" w:after="0" w:afterAutospacing="0" w:line="240" w:lineRule="auto"/>
                    <w:ind w:left="0" w:leftChars="0" w:right="0" w:rightChars="0" w:firstLine="0" w:firstLineChars="0"/>
                    <w:jc w:val="left"/>
                    <w:rPr>
                      <w:rFonts w:hint="eastAsia"/>
                    </w:rPr>
                  </w:pPr>
                  <w:r>
                    <w:rPr>
                      <w:rFonts w:hint="default"/>
                      <w:szCs w:val="21"/>
                    </w:rPr>
                    <w:t>安政办发</w:t>
                  </w:r>
                  <w:r>
                    <w:rPr>
                      <w:rFonts w:hint="eastAsia"/>
                      <w:szCs w:val="21"/>
                    </w:rPr>
                    <w:t>[</w:t>
                  </w:r>
                  <w:r>
                    <w:rPr>
                      <w:rFonts w:hint="default"/>
                      <w:szCs w:val="21"/>
                    </w:rPr>
                    <w:t>2021]33号</w:t>
                  </w:r>
                </w:p>
              </w:tc>
              <w:tc>
                <w:tcPr>
                  <w:tcW w:w="2472" w:type="pct"/>
                  <w:tcBorders>
                    <w:top w:val="single" w:color="auto" w:sz="4" w:space="0"/>
                    <w:left w:val="single" w:color="auto" w:sz="4" w:space="0"/>
                    <w:right w:val="single" w:color="auto" w:sz="4" w:space="0"/>
                  </w:tcBorders>
                  <w:shd w:val="clear" w:color="auto" w:fill="auto"/>
                  <w:noWrap w:val="0"/>
                  <w:vAlign w:val="center"/>
                </w:tcPr>
                <w:p w14:paraId="66FDF6F5">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rPr>
                  </w:pPr>
                  <w:r>
                    <w:rPr>
                      <w:rFonts w:hint="default"/>
                    </w:rPr>
                    <w:t>坚持依法、科学、精准治污。</w:t>
                  </w:r>
                  <w:r>
                    <w:rPr>
                      <w:rFonts w:hint="eastAsia"/>
                      <w:szCs w:val="21"/>
                    </w:rPr>
                    <w:t>遵循客观规律，聚焦突出生态环境问题，因地制宜、科学施策，落实最严格制度，加强全过程监管，提高污染治理的针对性、科学性、有效性，实现问题、时间、区位、对象和措施“五个精准”，深入打好污染防治攻坚战。</w:t>
                  </w:r>
                </w:p>
              </w:tc>
              <w:tc>
                <w:tcPr>
                  <w:tcW w:w="1326" w:type="pct"/>
                  <w:tcBorders>
                    <w:top w:val="single" w:color="auto" w:sz="4" w:space="0"/>
                    <w:left w:val="single" w:color="auto" w:sz="4" w:space="0"/>
                    <w:right w:val="single" w:color="auto" w:sz="4" w:space="0"/>
                  </w:tcBorders>
                  <w:noWrap w:val="0"/>
                  <w:vAlign w:val="center"/>
                </w:tcPr>
                <w:p w14:paraId="4E68D166">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rPr>
                  </w:pPr>
                  <w:r>
                    <w:rPr>
                      <w:rFonts w:hint="eastAsia"/>
                      <w:szCs w:val="21"/>
                    </w:rPr>
                    <w:t>本项目各类污染物配套建设环保设施，各类污染物均可达标排放。</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0F8315F">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73C9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825" w:type="pct"/>
                  <w:vMerge w:val="continue"/>
                  <w:tcBorders>
                    <w:left w:val="single" w:color="auto" w:sz="4" w:space="0"/>
                    <w:right w:val="single" w:color="auto" w:sz="4" w:space="0"/>
                  </w:tcBorders>
                  <w:shd w:val="clear" w:color="auto" w:fill="auto"/>
                  <w:noWrap w:val="0"/>
                  <w:vAlign w:val="center"/>
                </w:tcPr>
                <w:p w14:paraId="0A8762F7">
                  <w:pPr>
                    <w:keepNext w:val="0"/>
                    <w:keepLines w:val="0"/>
                    <w:suppressLineNumbers w:val="0"/>
                    <w:spacing w:before="0" w:beforeAutospacing="0" w:after="0" w:afterAutospacing="0" w:line="240" w:lineRule="auto"/>
                    <w:ind w:left="0" w:leftChars="0" w:right="0" w:rightChars="0" w:firstLine="0" w:firstLineChars="0"/>
                    <w:jc w:val="left"/>
                    <w:rPr>
                      <w:rFonts w:hint="eastAsia"/>
                    </w:rPr>
                  </w:pPr>
                </w:p>
              </w:tc>
              <w:tc>
                <w:tcPr>
                  <w:tcW w:w="2472" w:type="pct"/>
                  <w:tcBorders>
                    <w:top w:val="single" w:color="auto" w:sz="4" w:space="0"/>
                    <w:left w:val="single" w:color="auto" w:sz="4" w:space="0"/>
                    <w:right w:val="single" w:color="auto" w:sz="4" w:space="0"/>
                  </w:tcBorders>
                  <w:shd w:val="clear" w:color="auto" w:fill="auto"/>
                  <w:noWrap w:val="0"/>
                  <w:vAlign w:val="center"/>
                </w:tcPr>
                <w:p w14:paraId="1B17F3A0">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rPr>
                  </w:pPr>
                  <w:r>
                    <w:rPr>
                      <w:rFonts w:hint="eastAsia"/>
                      <w:szCs w:val="21"/>
                    </w:rPr>
                    <w:t>建立医药化工、工业涂装、包装印刷、家具制造、电子制造等重点行业源头、过程和末端全过程控制体系，实施挥发性有机物总量控制。在工业园区、企业集群推广建设涉挥发性有机物“绿岛”项目。全面推进源头替代，鼓励使用符合国家要求的低挥发性有机物含量原辅材料。持续性开展无组织排放排查整治工作，加强含挥发性有机物物料全方位、全链条、全环节密闭管理。</w:t>
                  </w:r>
                </w:p>
              </w:tc>
              <w:tc>
                <w:tcPr>
                  <w:tcW w:w="1326" w:type="pct"/>
                  <w:vMerge w:val="restart"/>
                  <w:tcBorders>
                    <w:top w:val="single" w:color="auto" w:sz="4" w:space="0"/>
                    <w:left w:val="single" w:color="auto" w:sz="4" w:space="0"/>
                    <w:right w:val="single" w:color="auto" w:sz="4" w:space="0"/>
                  </w:tcBorders>
                  <w:noWrap w:val="0"/>
                  <w:vAlign w:val="center"/>
                </w:tcPr>
                <w:p w14:paraId="22031255">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rPr>
                  </w:pPr>
                  <w:r>
                    <w:rPr>
                      <w:rFonts w:hint="default"/>
                      <w:szCs w:val="21"/>
                    </w:rPr>
                    <w:t>本项目</w:t>
                  </w:r>
                  <w:r>
                    <w:rPr>
                      <w:rFonts w:hint="eastAsia"/>
                      <w:szCs w:val="21"/>
                    </w:rPr>
                    <w:t>生产过程中使用少量</w:t>
                  </w:r>
                  <w:r>
                    <w:rPr>
                      <w:rFonts w:hint="eastAsia"/>
                      <w:szCs w:val="21"/>
                      <w:lang w:val="en-US" w:eastAsia="zh-CN"/>
                    </w:rPr>
                    <w:t>胶水，属于低挥发性胶粘剂，挥发性有机物含量检测报告见附件4</w:t>
                  </w:r>
                  <w:r>
                    <w:rPr>
                      <w:rFonts w:hint="eastAsia"/>
                      <w:szCs w:val="21"/>
                    </w:rPr>
                    <w:t>。</w:t>
                  </w:r>
                  <w:r>
                    <w:rPr>
                      <w:rFonts w:hint="eastAsia"/>
                      <w:szCs w:val="21"/>
                      <w:lang w:val="en-US" w:eastAsia="zh-CN"/>
                    </w:rPr>
                    <w:t>项目注塑工段产生的非甲烷总烃，</w:t>
                  </w:r>
                  <w:r>
                    <w:rPr>
                      <w:rFonts w:hint="eastAsia"/>
                      <w:color w:val="FF0000"/>
                      <w:szCs w:val="21"/>
                      <w:lang w:val="en-US" w:eastAsia="zh-CN"/>
                    </w:rPr>
                    <w:t>采用集气罩收集+活性炭吸附+催化燃烧+30m排气筒，</w:t>
                  </w:r>
                  <w:r>
                    <w:rPr>
                      <w:rFonts w:hint="default"/>
                      <w:color w:val="FF0000"/>
                      <w:szCs w:val="21"/>
                    </w:rPr>
                    <w:t>对周边大气环境影响较小</w:t>
                  </w:r>
                  <w:r>
                    <w:rPr>
                      <w:rFonts w:hint="eastAsia"/>
                      <w:color w:val="FF0000"/>
                      <w:szCs w:val="21"/>
                    </w:rPr>
                    <w:t>。</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5203234F">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6CF6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825" w:type="pct"/>
                  <w:vMerge w:val="continue"/>
                  <w:tcBorders>
                    <w:left w:val="single" w:color="auto" w:sz="4" w:space="0"/>
                    <w:right w:val="single" w:color="auto" w:sz="4" w:space="0"/>
                  </w:tcBorders>
                  <w:shd w:val="clear" w:color="auto" w:fill="auto"/>
                  <w:noWrap w:val="0"/>
                  <w:vAlign w:val="center"/>
                </w:tcPr>
                <w:p w14:paraId="5F5D2D00">
                  <w:pPr>
                    <w:keepNext w:val="0"/>
                    <w:keepLines w:val="0"/>
                    <w:suppressLineNumbers w:val="0"/>
                    <w:spacing w:before="0" w:beforeAutospacing="0" w:after="0" w:afterAutospacing="0" w:line="240" w:lineRule="auto"/>
                    <w:ind w:left="0" w:leftChars="0" w:right="0" w:rightChars="0" w:firstLine="0" w:firstLineChars="0"/>
                    <w:jc w:val="left"/>
                    <w:rPr>
                      <w:rFonts w:hint="eastAsia"/>
                    </w:rPr>
                  </w:pPr>
                </w:p>
              </w:tc>
              <w:tc>
                <w:tcPr>
                  <w:tcW w:w="2472" w:type="pct"/>
                  <w:tcBorders>
                    <w:top w:val="single" w:color="auto" w:sz="4" w:space="0"/>
                    <w:left w:val="single" w:color="auto" w:sz="4" w:space="0"/>
                    <w:right w:val="single" w:color="auto" w:sz="4" w:space="0"/>
                  </w:tcBorders>
                  <w:shd w:val="clear" w:color="auto" w:fill="auto"/>
                  <w:noWrap w:val="0"/>
                  <w:vAlign w:val="center"/>
                </w:tcPr>
                <w:p w14:paraId="25C03AE1">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rPr>
                  </w:pPr>
                  <w:r>
                    <w:rPr>
                      <w:rFonts w:hint="default"/>
                    </w:rPr>
                    <w:t>企业新建治污设施或对现有治污设施实施改造，应合理选择治理技术和治污设施，深入实施精细化管控，提高挥发性有机物治理的精准性、针对性和有效性。</w:t>
                  </w:r>
                </w:p>
              </w:tc>
              <w:tc>
                <w:tcPr>
                  <w:tcW w:w="1326" w:type="pct"/>
                  <w:vMerge w:val="continue"/>
                  <w:tcBorders>
                    <w:top w:val="single" w:color="auto" w:sz="4" w:space="0"/>
                    <w:left w:val="single" w:color="auto" w:sz="4" w:space="0"/>
                    <w:right w:val="single" w:color="auto" w:sz="4" w:space="0"/>
                  </w:tcBorders>
                  <w:noWrap w:val="0"/>
                  <w:vAlign w:val="center"/>
                </w:tcPr>
                <w:p w14:paraId="52ECE9B2">
                  <w:pPr>
                    <w:keepNext w:val="0"/>
                    <w:keepLines w:val="0"/>
                    <w:suppressLineNumbers w:val="0"/>
                    <w:spacing w:before="0" w:beforeAutospacing="0" w:after="0" w:afterAutospacing="0" w:line="240" w:lineRule="auto"/>
                    <w:ind w:left="0" w:leftChars="0" w:right="0" w:rightChars="0" w:firstLine="0" w:firstLineChars="0"/>
                    <w:jc w:val="left"/>
                    <w:rPr>
                      <w:rFonts w:hint="eastAsia"/>
                      <w:szCs w:val="21"/>
                    </w:rPr>
                  </w:pPr>
                </w:p>
              </w:tc>
              <w:tc>
                <w:tcPr>
                  <w:tcW w:w="374" w:type="pct"/>
                  <w:tcBorders>
                    <w:top w:val="single" w:color="auto" w:sz="4" w:space="0"/>
                    <w:left w:val="single" w:color="auto" w:sz="4" w:space="0"/>
                    <w:bottom w:val="single" w:color="auto" w:sz="4" w:space="0"/>
                    <w:right w:val="single" w:color="auto" w:sz="4" w:space="0"/>
                  </w:tcBorders>
                  <w:noWrap w:val="0"/>
                  <w:vAlign w:val="center"/>
                </w:tcPr>
                <w:p w14:paraId="5E406BFD">
                  <w:pPr>
                    <w:keepNext w:val="0"/>
                    <w:keepLines w:val="0"/>
                    <w:suppressLineNumbers w:val="0"/>
                    <w:spacing w:before="0" w:beforeAutospacing="0" w:after="0" w:afterAutospacing="0" w:line="240" w:lineRule="auto"/>
                    <w:ind w:left="0" w:leftChars="0" w:right="0" w:rightChars="0" w:firstLine="0" w:firstLineChars="0"/>
                    <w:jc w:val="center"/>
                    <w:rPr>
                      <w:rFonts w:hint="default"/>
                      <w:szCs w:val="21"/>
                    </w:rPr>
                  </w:pPr>
                  <w:r>
                    <w:rPr>
                      <w:rFonts w:hint="default"/>
                      <w:szCs w:val="21"/>
                    </w:rPr>
                    <w:t>符合</w:t>
                  </w:r>
                </w:p>
              </w:tc>
            </w:tr>
            <w:tr w14:paraId="480D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restart"/>
                  <w:tcBorders>
                    <w:left w:val="single" w:color="auto" w:sz="4" w:space="0"/>
                    <w:right w:val="single" w:color="auto" w:sz="4" w:space="0"/>
                  </w:tcBorders>
                  <w:noWrap w:val="0"/>
                  <w:vAlign w:val="center"/>
                </w:tcPr>
                <w:p w14:paraId="4193884C">
                  <w:pPr>
                    <w:keepNext w:val="0"/>
                    <w:keepLines w:val="0"/>
                    <w:suppressLineNumbers w:val="0"/>
                    <w:spacing w:before="0" w:beforeAutospacing="0" w:after="0" w:afterAutospacing="0" w:line="240" w:lineRule="auto"/>
                    <w:ind w:left="0" w:right="0" w:firstLine="0" w:firstLineChars="0"/>
                    <w:jc w:val="left"/>
                    <w:rPr>
                      <w:rFonts w:hint="eastAsia"/>
                      <w:szCs w:val="21"/>
                    </w:rPr>
                  </w:pPr>
                  <w:r>
                    <w:rPr>
                      <w:rFonts w:hint="eastAsia"/>
                      <w:szCs w:val="21"/>
                    </w:rPr>
                    <w:t>《安康市大气污染治理专项行动工作方案（2023-2027年）》</w:t>
                  </w:r>
                </w:p>
              </w:tc>
              <w:tc>
                <w:tcPr>
                  <w:tcW w:w="2472" w:type="pct"/>
                  <w:tcBorders>
                    <w:top w:val="single" w:color="auto" w:sz="4" w:space="0"/>
                    <w:left w:val="single" w:color="auto" w:sz="4" w:space="0"/>
                    <w:bottom w:val="single" w:color="auto" w:sz="4" w:space="0"/>
                    <w:right w:val="single" w:color="auto" w:sz="4" w:space="0"/>
                  </w:tcBorders>
                  <w:noWrap w:val="0"/>
                  <w:vAlign w:val="center"/>
                </w:tcPr>
                <w:p w14:paraId="5497C93A">
                  <w:pPr>
                    <w:keepNext w:val="0"/>
                    <w:keepLines w:val="0"/>
                    <w:suppressLineNumbers w:val="0"/>
                    <w:spacing w:before="0" w:beforeAutospacing="0" w:after="0" w:afterAutospacing="0" w:line="240" w:lineRule="auto"/>
                    <w:ind w:left="0" w:right="0" w:firstLine="0" w:firstLineChars="0"/>
                    <w:jc w:val="left"/>
                    <w:rPr>
                      <w:rFonts w:hint="eastAsia"/>
                      <w:szCs w:val="21"/>
                    </w:rPr>
                  </w:pPr>
                  <w:r>
                    <w:rPr>
                      <w:rFonts w:hint="eastAsia"/>
                      <w:szCs w:val="21"/>
                    </w:rPr>
                    <w:t>产业发展结构调整。开展城市建成区企业摸排，建立动态管理清单。实施工业企业退城搬迁改造，除部分必须依托城市生产或直接服务于城市的工业企业外，原则上在2027年底前达不到能耗标杆和环保绩效A级（含绩效引领）涉气企业由当地政府组织搬迁至主城区以外的开发区或工业园区。</w:t>
                  </w:r>
                </w:p>
              </w:tc>
              <w:tc>
                <w:tcPr>
                  <w:tcW w:w="1326" w:type="pct"/>
                  <w:tcBorders>
                    <w:top w:val="single" w:color="auto" w:sz="4" w:space="0"/>
                    <w:left w:val="single" w:color="auto" w:sz="4" w:space="0"/>
                    <w:bottom w:val="single" w:color="auto" w:sz="4" w:space="0"/>
                    <w:right w:val="single" w:color="auto" w:sz="4" w:space="0"/>
                  </w:tcBorders>
                  <w:noWrap w:val="0"/>
                  <w:vAlign w:val="center"/>
                </w:tcPr>
                <w:p w14:paraId="42733DEE">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default"/>
                      <w:color w:val="FF0000"/>
                      <w:szCs w:val="21"/>
                    </w:rPr>
                    <w:t>本项目</w:t>
                  </w:r>
                  <w:r>
                    <w:rPr>
                      <w:rFonts w:hint="eastAsia"/>
                      <w:color w:val="FF0000"/>
                      <w:szCs w:val="21"/>
                    </w:rPr>
                    <w:t>属于</w:t>
                  </w:r>
                  <w:r>
                    <w:rPr>
                      <w:rFonts w:hint="eastAsia"/>
                      <w:color w:val="FF0000"/>
                      <w:szCs w:val="21"/>
                      <w:lang w:val="en-US" w:eastAsia="zh-CN"/>
                    </w:rPr>
                    <w:t>电机制造</w:t>
                  </w:r>
                  <w:r>
                    <w:rPr>
                      <w:rFonts w:hint="eastAsia"/>
                      <w:color w:val="FF0000"/>
                      <w:szCs w:val="21"/>
                      <w:lang w:eastAsia="zh-CN"/>
                    </w:rPr>
                    <w:t>，</w:t>
                  </w:r>
                  <w:r>
                    <w:rPr>
                      <w:rFonts w:hint="eastAsia"/>
                      <w:color w:val="FF0000"/>
                      <w:szCs w:val="21"/>
                      <w:lang w:val="en-US" w:eastAsia="zh-CN"/>
                    </w:rPr>
                    <w:t>不属于涉气重点行业。项目</w:t>
                  </w:r>
                  <w:r>
                    <w:rPr>
                      <w:rFonts w:hint="default"/>
                      <w:color w:val="FF0000"/>
                      <w:szCs w:val="21"/>
                    </w:rPr>
                    <w:t>位于</w:t>
                  </w:r>
                  <w:r>
                    <w:rPr>
                      <w:rFonts w:hint="eastAsia"/>
                      <w:bCs/>
                      <w:color w:val="FF0000"/>
                      <w:sz w:val="21"/>
                      <w:szCs w:val="21"/>
                      <w:vertAlign w:val="baseline"/>
                      <w:lang w:val="en-US" w:eastAsia="zh-CN"/>
                    </w:rPr>
                    <w:t>安康高新技术产业开发区</w:t>
                  </w:r>
                  <w:r>
                    <w:rPr>
                      <w:rFonts w:hint="eastAsia"/>
                      <w:color w:val="FF0000"/>
                      <w:szCs w:val="21"/>
                      <w:lang w:eastAsia="zh-CN"/>
                    </w:rPr>
                    <w:t>，</w:t>
                  </w:r>
                  <w:r>
                    <w:rPr>
                      <w:rFonts w:hint="eastAsia"/>
                      <w:color w:val="FF0000"/>
                      <w:szCs w:val="21"/>
                      <w:lang w:val="en-US" w:eastAsia="zh-CN"/>
                    </w:rPr>
                    <w:t>隶属装备制造产业，</w:t>
                  </w:r>
                  <w:r>
                    <w:rPr>
                      <w:rFonts w:hint="eastAsia"/>
                      <w:color w:val="FF0000"/>
                      <w:szCs w:val="21"/>
                    </w:rPr>
                    <w:t>符合</w:t>
                  </w:r>
                  <w:r>
                    <w:rPr>
                      <w:rFonts w:hint="eastAsia"/>
                      <w:color w:val="FF0000"/>
                      <w:szCs w:val="21"/>
                      <w:lang w:val="en-US" w:eastAsia="zh-CN"/>
                    </w:rPr>
                    <w:t>安康</w:t>
                  </w:r>
                  <w:r>
                    <w:rPr>
                      <w:rFonts w:hint="eastAsia"/>
                      <w:color w:val="FF0000"/>
                      <w:szCs w:val="21"/>
                    </w:rPr>
                    <w:t>高新技术</w:t>
                  </w:r>
                  <w:r>
                    <w:rPr>
                      <w:rFonts w:hint="eastAsia"/>
                      <w:color w:val="FF0000"/>
                      <w:szCs w:val="21"/>
                      <w:lang w:val="en-US" w:eastAsia="zh-CN"/>
                    </w:rPr>
                    <w:t>开发区产业发展定位。</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339DB67">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2A1F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tcBorders>
                    <w:left w:val="single" w:color="auto" w:sz="4" w:space="0"/>
                    <w:right w:val="single" w:color="auto" w:sz="4" w:space="0"/>
                  </w:tcBorders>
                  <w:noWrap w:val="0"/>
                  <w:vAlign w:val="center"/>
                </w:tcPr>
                <w:p w14:paraId="6543402C">
                  <w:pPr>
                    <w:keepNext w:val="0"/>
                    <w:keepLines w:val="0"/>
                    <w:suppressLineNumbers w:val="0"/>
                    <w:spacing w:before="0" w:beforeAutospacing="0" w:after="0" w:afterAutospacing="0" w:line="240" w:lineRule="auto"/>
                    <w:ind w:left="0" w:right="0" w:firstLine="0" w:firstLineChars="0"/>
                    <w:jc w:val="left"/>
                    <w:rPr>
                      <w:rFonts w:hint="eastAsia"/>
                      <w:szCs w:val="21"/>
                    </w:rPr>
                  </w:pPr>
                </w:p>
              </w:tc>
              <w:tc>
                <w:tcPr>
                  <w:tcW w:w="2472" w:type="pct"/>
                  <w:tcBorders>
                    <w:top w:val="single" w:color="auto" w:sz="4" w:space="0"/>
                    <w:left w:val="single" w:color="auto" w:sz="4" w:space="0"/>
                    <w:bottom w:val="single" w:color="auto" w:sz="4" w:space="0"/>
                    <w:right w:val="single" w:color="auto" w:sz="4" w:space="0"/>
                  </w:tcBorders>
                  <w:noWrap w:val="0"/>
                  <w:vAlign w:val="center"/>
                </w:tcPr>
                <w:p w14:paraId="2690B070">
                  <w:pPr>
                    <w:keepNext w:val="0"/>
                    <w:keepLines w:val="0"/>
                    <w:suppressLineNumbers w:val="0"/>
                    <w:spacing w:before="0" w:beforeAutospacing="0" w:after="0" w:afterAutospacing="0" w:line="240" w:lineRule="auto"/>
                    <w:ind w:left="0" w:right="0" w:firstLine="0" w:firstLineChars="0"/>
                    <w:jc w:val="left"/>
                    <w:rPr>
                      <w:rFonts w:hint="eastAsia"/>
                      <w:szCs w:val="21"/>
                    </w:rPr>
                  </w:pPr>
                  <w:r>
                    <w:rPr>
                      <w:rFonts w:hint="eastAsia"/>
                      <w:szCs w:val="21"/>
                    </w:rPr>
                    <w:t>加强含挥发性有机物原辅材料产品质量监管。严格执行涂料、油墨、胶粘剂、清洗剂挥发性有机物含量限值标准，加强对相关产品生产、销售、进口、使用环节挥发性有机物含量限值执行情况的监督检查，臭氧高发季节加大检测频次，严厉打击生产、销售、进口、使用不符合标准规定含挥发性有机物原辅材料产品的违法行为。</w:t>
                  </w:r>
                </w:p>
              </w:tc>
              <w:tc>
                <w:tcPr>
                  <w:tcW w:w="1326" w:type="pct"/>
                  <w:tcBorders>
                    <w:top w:val="single" w:color="auto" w:sz="4" w:space="0"/>
                    <w:left w:val="single" w:color="auto" w:sz="4" w:space="0"/>
                    <w:bottom w:val="single" w:color="auto" w:sz="4" w:space="0"/>
                    <w:right w:val="single" w:color="auto" w:sz="4" w:space="0"/>
                  </w:tcBorders>
                  <w:noWrap w:val="0"/>
                  <w:vAlign w:val="center"/>
                </w:tcPr>
                <w:p w14:paraId="567FC0B2">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default"/>
                      <w:szCs w:val="21"/>
                    </w:rPr>
                    <w:t>本项目</w:t>
                  </w:r>
                  <w:r>
                    <w:rPr>
                      <w:rFonts w:hint="eastAsia"/>
                      <w:szCs w:val="21"/>
                    </w:rPr>
                    <w:t>生产过程中使用少量</w:t>
                  </w:r>
                  <w:r>
                    <w:rPr>
                      <w:rFonts w:hint="eastAsia"/>
                      <w:szCs w:val="21"/>
                      <w:lang w:val="en-US" w:eastAsia="zh-CN"/>
                    </w:rPr>
                    <w:t>胶水，属于低挥发性胶粘剂，挥发性有机物含量检测报告见附件4</w:t>
                  </w:r>
                  <w:r>
                    <w:rPr>
                      <w:rFonts w:hint="eastAsia"/>
                      <w:szCs w:val="21"/>
                    </w:rPr>
                    <w:t>。</w:t>
                  </w:r>
                  <w:r>
                    <w:rPr>
                      <w:rFonts w:hint="eastAsia"/>
                      <w:szCs w:val="21"/>
                      <w:lang w:val="en-US" w:eastAsia="zh-CN"/>
                    </w:rPr>
                    <w:t>项目注塑工段产生的非甲烷总烃</w:t>
                  </w:r>
                  <w:r>
                    <w:rPr>
                      <w:rFonts w:hint="eastAsia"/>
                      <w:color w:val="FF0000"/>
                      <w:szCs w:val="21"/>
                      <w:lang w:val="en-US" w:eastAsia="zh-CN"/>
                    </w:rPr>
                    <w:t>，采用集气罩收集+活性炭吸附+催化燃烧+30m排气筒，</w:t>
                  </w:r>
                  <w:r>
                    <w:rPr>
                      <w:rFonts w:hint="default"/>
                      <w:color w:val="FF0000"/>
                      <w:szCs w:val="21"/>
                    </w:rPr>
                    <w:t>对周边大气环境影响较小</w:t>
                  </w:r>
                  <w:r>
                    <w:rPr>
                      <w:rFonts w:hint="eastAsia"/>
                      <w:color w:val="FF0000"/>
                      <w:szCs w:val="21"/>
                    </w:rPr>
                    <w:t>。</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375223B">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0B0A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tcBorders>
                    <w:left w:val="single" w:color="auto" w:sz="4" w:space="0"/>
                    <w:right w:val="single" w:color="auto" w:sz="4" w:space="0"/>
                  </w:tcBorders>
                  <w:noWrap w:val="0"/>
                  <w:vAlign w:val="center"/>
                </w:tcPr>
                <w:p w14:paraId="613CAAA2">
                  <w:pPr>
                    <w:keepNext w:val="0"/>
                    <w:keepLines w:val="0"/>
                    <w:suppressLineNumbers w:val="0"/>
                    <w:spacing w:before="0" w:beforeAutospacing="0" w:after="0" w:afterAutospacing="0" w:line="240" w:lineRule="auto"/>
                    <w:ind w:left="0" w:right="0" w:firstLine="0" w:firstLineChars="0"/>
                    <w:jc w:val="left"/>
                    <w:rPr>
                      <w:rFonts w:hint="eastAsia"/>
                      <w:szCs w:val="21"/>
                    </w:rPr>
                  </w:pPr>
                </w:p>
              </w:tc>
              <w:tc>
                <w:tcPr>
                  <w:tcW w:w="2472" w:type="pct"/>
                  <w:tcBorders>
                    <w:top w:val="single" w:color="auto" w:sz="4" w:space="0"/>
                    <w:left w:val="single" w:color="auto" w:sz="4" w:space="0"/>
                    <w:bottom w:val="single" w:color="auto" w:sz="4" w:space="0"/>
                    <w:right w:val="single" w:color="auto" w:sz="4" w:space="0"/>
                  </w:tcBorders>
                  <w:noWrap w:val="0"/>
                  <w:vAlign w:val="center"/>
                </w:tcPr>
                <w:p w14:paraId="52CEFBC0">
                  <w:pPr>
                    <w:keepNext w:val="0"/>
                    <w:keepLines w:val="0"/>
                    <w:suppressLineNumbers w:val="0"/>
                    <w:spacing w:before="0" w:beforeAutospacing="0" w:after="0" w:afterAutospacing="0" w:line="240" w:lineRule="auto"/>
                    <w:ind w:left="0" w:right="0" w:firstLine="0" w:firstLineChars="0"/>
                    <w:jc w:val="left"/>
                    <w:rPr>
                      <w:rFonts w:hint="eastAsia"/>
                      <w:szCs w:val="21"/>
                    </w:rPr>
                  </w:pPr>
                  <w:r>
                    <w:rPr>
                      <w:rFonts w:hint="default" w:ascii="Times New Roman" w:hAnsi="Times New Roman" w:eastAsia="宋体" w:cs="Times New Roman"/>
                      <w:color w:val="000000"/>
                      <w:sz w:val="21"/>
                      <w:szCs w:val="21"/>
                    </w:rPr>
                    <w:t>施工场地严格落实“六个百分之百”，安装建筑工地扬尘在线监测系统和视频监控，与行业监管部门联网。</w:t>
                  </w:r>
                </w:p>
              </w:tc>
              <w:tc>
                <w:tcPr>
                  <w:tcW w:w="1326" w:type="pct"/>
                  <w:tcBorders>
                    <w:top w:val="single" w:color="auto" w:sz="4" w:space="0"/>
                    <w:left w:val="single" w:color="auto" w:sz="4" w:space="0"/>
                    <w:bottom w:val="single" w:color="auto" w:sz="4" w:space="0"/>
                    <w:right w:val="single" w:color="auto" w:sz="4" w:space="0"/>
                  </w:tcBorders>
                  <w:noWrap w:val="0"/>
                  <w:vAlign w:val="center"/>
                </w:tcPr>
                <w:p w14:paraId="687F95A7">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default" w:ascii="Times New Roman" w:hAnsi="Times New Roman" w:eastAsia="宋体" w:cs="Times New Roman"/>
                      <w:color w:val="000000"/>
                      <w:sz w:val="21"/>
                      <w:szCs w:val="21"/>
                    </w:rPr>
                    <w:t>环评要求项目在施工过程中严格落实“六个百分之百”。</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56BD179">
                  <w:pPr>
                    <w:keepNext w:val="0"/>
                    <w:keepLines w:val="0"/>
                    <w:suppressLineNumbers w:val="0"/>
                    <w:spacing w:before="0" w:beforeAutospacing="0" w:after="0" w:afterAutospacing="0" w:line="240" w:lineRule="auto"/>
                    <w:ind w:left="0" w:right="0" w:firstLine="0" w:firstLineChars="0"/>
                    <w:jc w:val="center"/>
                    <w:rPr>
                      <w:rFonts w:hint="eastAsia" w:eastAsia="宋体"/>
                      <w:szCs w:val="21"/>
                      <w:lang w:val="en-US" w:eastAsia="zh-CN"/>
                    </w:rPr>
                  </w:pPr>
                  <w:r>
                    <w:rPr>
                      <w:rFonts w:hint="eastAsia"/>
                      <w:szCs w:val="21"/>
                      <w:lang w:val="en-US" w:eastAsia="zh-CN"/>
                    </w:rPr>
                    <w:t>符合</w:t>
                  </w:r>
                </w:p>
              </w:tc>
            </w:tr>
            <w:tr w14:paraId="2727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restart"/>
                  <w:tcBorders>
                    <w:top w:val="single" w:color="auto" w:sz="4" w:space="0"/>
                    <w:left w:val="single" w:color="auto" w:sz="4" w:space="0"/>
                    <w:right w:val="single" w:color="auto" w:sz="4" w:space="0"/>
                  </w:tcBorders>
                  <w:noWrap w:val="0"/>
                  <w:vAlign w:val="center"/>
                </w:tcPr>
                <w:p w14:paraId="08FBF53E">
                  <w:pPr>
                    <w:keepNext w:val="0"/>
                    <w:keepLines w:val="0"/>
                    <w:suppressLineNumbers w:val="0"/>
                    <w:spacing w:before="0" w:beforeAutospacing="0" w:after="0" w:afterAutospacing="0" w:line="240" w:lineRule="auto"/>
                    <w:ind w:left="0" w:right="0" w:firstLine="0" w:firstLineChars="0"/>
                    <w:jc w:val="left"/>
                    <w:rPr>
                      <w:rFonts w:hint="eastAsia"/>
                      <w:szCs w:val="21"/>
                    </w:rPr>
                  </w:pPr>
                  <w:r>
                    <w:rPr>
                      <w:rFonts w:hint="eastAsia"/>
                      <w:szCs w:val="21"/>
                    </w:rPr>
                    <w:t>《国务院关于印发“十四五”节能减排综合工作方案的通知》国发〔2021〕33号</w:t>
                  </w:r>
                </w:p>
              </w:tc>
              <w:tc>
                <w:tcPr>
                  <w:tcW w:w="2472" w:type="pct"/>
                  <w:tcBorders>
                    <w:top w:val="single" w:color="auto" w:sz="4" w:space="0"/>
                    <w:left w:val="single" w:color="auto" w:sz="4" w:space="0"/>
                    <w:bottom w:val="single" w:color="auto" w:sz="4" w:space="0"/>
                    <w:right w:val="single" w:color="auto" w:sz="4" w:space="0"/>
                  </w:tcBorders>
                  <w:noWrap w:val="0"/>
                  <w:vAlign w:val="center"/>
                </w:tcPr>
                <w:p w14:paraId="6181D943">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园区节能环保提升工程。引导工业企业向园区集聚，推动工业园区能源系统整体优化和污染综合整治，鼓励工业企业、园区优先利用可再生能源。以省级以上工业园区为重点，推进供热、供电、污水处理、中水回用等公共基础设施共建共享，对进水浓度异常的污水处理厂开展片区管网系统化整治，加强一般固体废物、危险废物集中贮存和处置，推动挥发性有机物、电镀废水及特征污染物集中治理等“绿岛”项目建设。到2025年，建成一批节能环保示范园区。</w:t>
                  </w:r>
                </w:p>
              </w:tc>
              <w:tc>
                <w:tcPr>
                  <w:tcW w:w="1326" w:type="pct"/>
                  <w:tcBorders>
                    <w:top w:val="single" w:color="auto" w:sz="4" w:space="0"/>
                    <w:left w:val="single" w:color="auto" w:sz="4" w:space="0"/>
                    <w:bottom w:val="single" w:color="auto" w:sz="4" w:space="0"/>
                    <w:right w:val="single" w:color="auto" w:sz="4" w:space="0"/>
                  </w:tcBorders>
                  <w:noWrap w:val="0"/>
                  <w:vAlign w:val="center"/>
                </w:tcPr>
                <w:p w14:paraId="4E656402">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default"/>
                      <w:color w:val="FF0000"/>
                      <w:szCs w:val="21"/>
                    </w:rPr>
                    <w:t>本项目位于</w:t>
                  </w:r>
                  <w:r>
                    <w:rPr>
                      <w:rFonts w:hint="eastAsia"/>
                      <w:bCs/>
                      <w:color w:val="FF0000"/>
                      <w:sz w:val="21"/>
                      <w:szCs w:val="21"/>
                      <w:vertAlign w:val="baseline"/>
                      <w:lang w:val="en-US" w:eastAsia="zh-CN"/>
                    </w:rPr>
                    <w:t>安康高新技术产业开发区</w:t>
                  </w:r>
                  <w:r>
                    <w:rPr>
                      <w:rFonts w:hint="eastAsia"/>
                      <w:color w:val="FF0000"/>
                      <w:szCs w:val="21"/>
                    </w:rPr>
                    <w:t>，</w:t>
                  </w:r>
                  <w:r>
                    <w:rPr>
                      <w:rFonts w:hint="eastAsia"/>
                      <w:color w:val="FF0000"/>
                      <w:szCs w:val="21"/>
                      <w:lang w:val="en-US" w:eastAsia="zh-CN"/>
                    </w:rPr>
                    <w:t>项目周边</w:t>
                  </w:r>
                  <w:r>
                    <w:rPr>
                      <w:rFonts w:hint="eastAsia"/>
                      <w:color w:val="FF0000"/>
                      <w:szCs w:val="21"/>
                    </w:rPr>
                    <w:t>配套设施完善，污水管网铺设到位。</w:t>
                  </w:r>
                  <w:r>
                    <w:rPr>
                      <w:rFonts w:hint="eastAsia"/>
                      <w:szCs w:val="21"/>
                    </w:rPr>
                    <w:t>项目生产过程使用电力能源，在落实环评报告提出的各项环保措施后各类污染物均可达标排放。</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D3C668F">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4EA5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tcBorders>
                    <w:left w:val="single" w:color="auto" w:sz="4" w:space="0"/>
                    <w:right w:val="single" w:color="auto" w:sz="4" w:space="0"/>
                  </w:tcBorders>
                  <w:noWrap w:val="0"/>
                  <w:vAlign w:val="center"/>
                </w:tcPr>
                <w:p w14:paraId="36643ED8">
                  <w:pPr>
                    <w:keepNext w:val="0"/>
                    <w:keepLines w:val="0"/>
                    <w:suppressLineNumbers w:val="0"/>
                    <w:spacing w:before="0" w:beforeAutospacing="0" w:after="0" w:afterAutospacing="0" w:line="240" w:lineRule="auto"/>
                    <w:ind w:left="0" w:right="0" w:firstLine="0" w:firstLineChars="0"/>
                    <w:jc w:val="left"/>
                    <w:rPr>
                      <w:rFonts w:hint="eastAsia"/>
                      <w:szCs w:val="21"/>
                    </w:rPr>
                  </w:pPr>
                </w:p>
              </w:tc>
              <w:tc>
                <w:tcPr>
                  <w:tcW w:w="2472" w:type="pct"/>
                  <w:tcBorders>
                    <w:top w:val="single" w:color="auto" w:sz="4" w:space="0"/>
                    <w:left w:val="single" w:color="auto" w:sz="4" w:space="0"/>
                    <w:bottom w:val="single" w:color="auto" w:sz="4" w:space="0"/>
                    <w:right w:val="single" w:color="auto" w:sz="4" w:space="0"/>
                  </w:tcBorders>
                  <w:noWrap w:val="0"/>
                  <w:vAlign w:val="center"/>
                </w:tcPr>
                <w:p w14:paraId="2541D259">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挥发性有机物综合整治工程。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w:t>
                  </w:r>
                </w:p>
              </w:tc>
              <w:tc>
                <w:tcPr>
                  <w:tcW w:w="1326" w:type="pct"/>
                  <w:tcBorders>
                    <w:top w:val="single" w:color="auto" w:sz="4" w:space="0"/>
                    <w:left w:val="single" w:color="auto" w:sz="4" w:space="0"/>
                    <w:bottom w:val="single" w:color="auto" w:sz="4" w:space="0"/>
                    <w:right w:val="single" w:color="auto" w:sz="4" w:space="0"/>
                  </w:tcBorders>
                  <w:noWrap w:val="0"/>
                  <w:vAlign w:val="center"/>
                </w:tcPr>
                <w:p w14:paraId="5FB2B2FF">
                  <w:pPr>
                    <w:keepNext w:val="0"/>
                    <w:keepLines w:val="0"/>
                    <w:suppressLineNumbers w:val="0"/>
                    <w:spacing w:before="0" w:beforeAutospacing="0" w:after="0" w:afterAutospacing="0" w:line="240" w:lineRule="auto"/>
                    <w:ind w:left="0" w:right="0" w:firstLine="0" w:firstLineChars="0"/>
                    <w:jc w:val="left"/>
                    <w:rPr>
                      <w:rFonts w:hint="eastAsia"/>
                      <w:szCs w:val="21"/>
                    </w:rPr>
                  </w:pPr>
                  <w:r>
                    <w:rPr>
                      <w:rFonts w:hint="default"/>
                      <w:szCs w:val="21"/>
                    </w:rPr>
                    <w:t>本项目</w:t>
                  </w:r>
                  <w:r>
                    <w:rPr>
                      <w:rFonts w:hint="eastAsia"/>
                      <w:szCs w:val="21"/>
                    </w:rPr>
                    <w:t>生产过程中使用少量</w:t>
                  </w:r>
                  <w:r>
                    <w:rPr>
                      <w:rFonts w:hint="eastAsia"/>
                      <w:szCs w:val="21"/>
                      <w:lang w:val="en-US" w:eastAsia="zh-CN"/>
                    </w:rPr>
                    <w:t>胶水，属于低挥发性胶粘剂，挥发性有机物含量检测报告见附件4</w:t>
                  </w:r>
                  <w:r>
                    <w:rPr>
                      <w:rFonts w:hint="eastAsia"/>
                      <w:szCs w:val="21"/>
                    </w:rPr>
                    <w:t>。</w:t>
                  </w:r>
                  <w:r>
                    <w:rPr>
                      <w:rFonts w:hint="eastAsia"/>
                      <w:szCs w:val="21"/>
                      <w:lang w:val="en-US" w:eastAsia="zh-CN"/>
                    </w:rPr>
                    <w:t>项目注塑工段产生的非甲烷总烃</w:t>
                  </w:r>
                  <w:r>
                    <w:rPr>
                      <w:rFonts w:hint="eastAsia"/>
                      <w:color w:val="FF0000"/>
                      <w:szCs w:val="21"/>
                      <w:lang w:val="en-US" w:eastAsia="zh-CN"/>
                    </w:rPr>
                    <w:t>，采用集气罩收集+活性炭吸附+催化燃烧+30m排气筒，</w:t>
                  </w:r>
                  <w:r>
                    <w:rPr>
                      <w:rFonts w:hint="default"/>
                      <w:color w:val="FF0000"/>
                      <w:szCs w:val="21"/>
                    </w:rPr>
                    <w:t>对周边大气环境影响较小</w:t>
                  </w:r>
                  <w:r>
                    <w:rPr>
                      <w:rFonts w:hint="eastAsia"/>
                      <w:color w:val="FF0000"/>
                      <w:szCs w:val="21"/>
                    </w:rPr>
                    <w:t>。</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66B356A">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4B1C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5" w:type="pct"/>
                  <w:vMerge w:val="restart"/>
                  <w:tcBorders>
                    <w:top w:val="single" w:color="auto" w:sz="4" w:space="0"/>
                    <w:left w:val="single" w:color="auto" w:sz="4" w:space="0"/>
                    <w:right w:val="single" w:color="auto" w:sz="4" w:space="0"/>
                  </w:tcBorders>
                  <w:noWrap w:val="0"/>
                  <w:vAlign w:val="center"/>
                </w:tcPr>
                <w:p w14:paraId="6B134EAD">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生态环境部关于印发《2020年挥发性有机物治理攻坚方案》的通知（环大气〔2020〕33号）</w:t>
                  </w:r>
                </w:p>
              </w:tc>
              <w:tc>
                <w:tcPr>
                  <w:tcW w:w="2472" w:type="pct"/>
                  <w:tcBorders>
                    <w:top w:val="single" w:color="auto" w:sz="4" w:space="0"/>
                    <w:left w:val="single" w:color="auto" w:sz="4" w:space="0"/>
                    <w:bottom w:val="single" w:color="auto" w:sz="4" w:space="0"/>
                    <w:right w:val="single" w:color="auto" w:sz="4" w:space="0"/>
                  </w:tcBorders>
                  <w:noWrap w:val="0"/>
                  <w:vAlign w:val="center"/>
                </w:tcPr>
                <w:p w14:paraId="041AF31D">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大力推进源头替代，有效减少VOCs产生。大力推进低（无）VOCs含量原辅材料替代。将全面使用符合国家要求的低VOCs含量原辅材料的企业纳入正面清单和政府绿色采购清单。</w:t>
                  </w:r>
                </w:p>
              </w:tc>
              <w:tc>
                <w:tcPr>
                  <w:tcW w:w="1326" w:type="pct"/>
                  <w:vMerge w:val="restart"/>
                  <w:tcBorders>
                    <w:top w:val="single" w:color="auto" w:sz="4" w:space="0"/>
                    <w:left w:val="single" w:color="auto" w:sz="4" w:space="0"/>
                    <w:right w:val="single" w:color="auto" w:sz="4" w:space="0"/>
                  </w:tcBorders>
                  <w:noWrap w:val="0"/>
                  <w:vAlign w:val="center"/>
                </w:tcPr>
                <w:p w14:paraId="48470E26">
                  <w:pPr>
                    <w:keepNext w:val="0"/>
                    <w:keepLines w:val="0"/>
                    <w:suppressLineNumbers w:val="0"/>
                    <w:spacing w:before="0" w:beforeAutospacing="0" w:after="0" w:afterAutospacing="0" w:line="240" w:lineRule="auto"/>
                    <w:ind w:left="0" w:right="0" w:firstLine="0" w:firstLineChars="0"/>
                    <w:jc w:val="left"/>
                    <w:rPr>
                      <w:rFonts w:hint="default"/>
                      <w:szCs w:val="21"/>
                      <w:lang w:val="en-US"/>
                    </w:rPr>
                  </w:pPr>
                  <w:r>
                    <w:rPr>
                      <w:rFonts w:hint="default"/>
                      <w:szCs w:val="21"/>
                    </w:rPr>
                    <w:t>本项目</w:t>
                  </w:r>
                  <w:r>
                    <w:rPr>
                      <w:rFonts w:hint="eastAsia"/>
                      <w:szCs w:val="21"/>
                    </w:rPr>
                    <w:t>生产过程中使用少量</w:t>
                  </w:r>
                  <w:r>
                    <w:rPr>
                      <w:rFonts w:hint="eastAsia"/>
                      <w:szCs w:val="21"/>
                      <w:lang w:val="en-US" w:eastAsia="zh-CN"/>
                    </w:rPr>
                    <w:t>胶水，属于低挥发性胶粘剂。外购入厂，设有独立储罐，生产过程全自动化，能有效减少无组织排放。</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F08F211">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7DF7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25" w:type="pct"/>
                  <w:vMerge w:val="continue"/>
                  <w:tcBorders>
                    <w:left w:val="single" w:color="auto" w:sz="4" w:space="0"/>
                    <w:right w:val="single" w:color="auto" w:sz="4" w:space="0"/>
                  </w:tcBorders>
                  <w:noWrap w:val="0"/>
                  <w:vAlign w:val="center"/>
                </w:tcPr>
                <w:p w14:paraId="74936F70">
                  <w:pPr>
                    <w:keepNext w:val="0"/>
                    <w:keepLines w:val="0"/>
                    <w:suppressLineNumbers w:val="0"/>
                    <w:spacing w:before="0" w:beforeAutospacing="0" w:after="0" w:afterAutospacing="0" w:line="240" w:lineRule="auto"/>
                    <w:ind w:left="0" w:right="0" w:firstLine="0" w:firstLineChars="0"/>
                    <w:jc w:val="left"/>
                    <w:rPr>
                      <w:rFonts w:hint="default"/>
                      <w:szCs w:val="21"/>
                    </w:rPr>
                  </w:pPr>
                </w:p>
              </w:tc>
              <w:tc>
                <w:tcPr>
                  <w:tcW w:w="2472" w:type="pct"/>
                  <w:tcBorders>
                    <w:top w:val="single" w:color="auto" w:sz="4" w:space="0"/>
                    <w:left w:val="single" w:color="auto" w:sz="4" w:space="0"/>
                    <w:bottom w:val="single" w:color="auto" w:sz="4" w:space="0"/>
                    <w:right w:val="single" w:color="auto" w:sz="4" w:space="0"/>
                  </w:tcBorders>
                  <w:noWrap w:val="0"/>
                  <w:vAlign w:val="center"/>
                </w:tcPr>
                <w:p w14:paraId="08EE929B">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全面落实标准要求，强化无组织排放控制。2020年7月1日起，全面执行《挥发性有机物无组织排放控制标准》，重点区域应落实无组织排放特别控制要求。</w:t>
                  </w:r>
                </w:p>
              </w:tc>
              <w:tc>
                <w:tcPr>
                  <w:tcW w:w="1326" w:type="pct"/>
                  <w:vMerge w:val="continue"/>
                  <w:tcBorders>
                    <w:left w:val="single" w:color="auto" w:sz="4" w:space="0"/>
                    <w:bottom w:val="single" w:color="auto" w:sz="4" w:space="0"/>
                    <w:right w:val="single" w:color="auto" w:sz="4" w:space="0"/>
                  </w:tcBorders>
                  <w:noWrap w:val="0"/>
                  <w:vAlign w:val="center"/>
                </w:tcPr>
                <w:p w14:paraId="2F8BE25B">
                  <w:pPr>
                    <w:keepNext w:val="0"/>
                    <w:keepLines w:val="0"/>
                    <w:suppressLineNumbers w:val="0"/>
                    <w:spacing w:before="0" w:beforeAutospacing="0" w:after="0" w:afterAutospacing="0" w:line="240" w:lineRule="auto"/>
                    <w:ind w:left="0" w:right="0" w:firstLine="0" w:firstLineChars="0"/>
                    <w:jc w:val="left"/>
                    <w:rPr>
                      <w:rFonts w:hint="default"/>
                      <w:szCs w:val="21"/>
                    </w:rPr>
                  </w:pPr>
                </w:p>
              </w:tc>
              <w:tc>
                <w:tcPr>
                  <w:tcW w:w="374" w:type="pct"/>
                  <w:tcBorders>
                    <w:top w:val="single" w:color="auto" w:sz="4" w:space="0"/>
                    <w:left w:val="single" w:color="auto" w:sz="4" w:space="0"/>
                    <w:bottom w:val="single" w:color="auto" w:sz="4" w:space="0"/>
                    <w:right w:val="single" w:color="auto" w:sz="4" w:space="0"/>
                  </w:tcBorders>
                  <w:noWrap w:val="0"/>
                  <w:vAlign w:val="center"/>
                </w:tcPr>
                <w:p w14:paraId="46783C5C">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2AF5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restart"/>
                  <w:tcBorders>
                    <w:top w:val="single" w:color="auto" w:sz="4" w:space="0"/>
                    <w:left w:val="single" w:color="auto" w:sz="4" w:space="0"/>
                    <w:right w:val="single" w:color="auto" w:sz="4" w:space="0"/>
                  </w:tcBorders>
                  <w:noWrap w:val="0"/>
                  <w:vAlign w:val="center"/>
                </w:tcPr>
                <w:p w14:paraId="7826C803">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《挥发性有机物无组织排放控制标准》（GB37822-2019）</w:t>
                  </w:r>
                </w:p>
              </w:tc>
              <w:tc>
                <w:tcPr>
                  <w:tcW w:w="2472" w:type="pct"/>
                  <w:tcBorders>
                    <w:top w:val="single" w:color="auto" w:sz="4" w:space="0"/>
                    <w:left w:val="single" w:color="auto" w:sz="4" w:space="0"/>
                    <w:bottom w:val="single" w:color="auto" w:sz="4" w:space="0"/>
                    <w:right w:val="single" w:color="auto" w:sz="4" w:space="0"/>
                  </w:tcBorders>
                  <w:noWrap w:val="0"/>
                  <w:vAlign w:val="center"/>
                </w:tcPr>
                <w:p w14:paraId="35935B26">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VOCs物料应储存于密闭的容器、包装袋、储罐、储库、料仓中。</w:t>
                  </w:r>
                </w:p>
                <w:p w14:paraId="562C86AF">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盛装VOCs物料的容器或包装袋应存放于室内，或存放于设置有雨棚、遮阳和防渗设施的专用场地。盛装 VOCs物料的容器或包装袋在非取用状态时应加盖、封口，保持密闭。</w:t>
                  </w:r>
                </w:p>
              </w:tc>
              <w:tc>
                <w:tcPr>
                  <w:tcW w:w="1326" w:type="pct"/>
                  <w:tcBorders>
                    <w:top w:val="single" w:color="auto" w:sz="4" w:space="0"/>
                    <w:left w:val="single" w:color="auto" w:sz="4" w:space="0"/>
                    <w:bottom w:val="single" w:color="auto" w:sz="4" w:space="0"/>
                    <w:right w:val="single" w:color="auto" w:sz="4" w:space="0"/>
                  </w:tcBorders>
                  <w:noWrap w:val="0"/>
                  <w:vAlign w:val="center"/>
                </w:tcPr>
                <w:p w14:paraId="72684F1F">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default"/>
                      <w:szCs w:val="21"/>
                    </w:rPr>
                    <w:t>本项目</w:t>
                  </w:r>
                  <w:r>
                    <w:rPr>
                      <w:rFonts w:hint="eastAsia"/>
                      <w:szCs w:val="21"/>
                    </w:rPr>
                    <w:t>生产过程中使用少量</w:t>
                  </w:r>
                  <w:r>
                    <w:rPr>
                      <w:rFonts w:hint="eastAsia"/>
                      <w:szCs w:val="21"/>
                      <w:lang w:val="en-US" w:eastAsia="zh-CN"/>
                    </w:rPr>
                    <w:t>胶水，属于低挥发性胶粘剂，挥发性有机物含量检测报告见附件4</w:t>
                  </w:r>
                  <w:r>
                    <w:rPr>
                      <w:rFonts w:hint="eastAsia"/>
                      <w:szCs w:val="21"/>
                    </w:rPr>
                    <w:t>。年使用量极低，外购入</w:t>
                  </w:r>
                  <w:r>
                    <w:rPr>
                      <w:rFonts w:hint="eastAsia"/>
                      <w:szCs w:val="21"/>
                      <w:lang w:val="en-US" w:eastAsia="zh-CN"/>
                    </w:rPr>
                    <w:t>厂，</w:t>
                  </w:r>
                  <w:r>
                    <w:rPr>
                      <w:rFonts w:hint="eastAsia"/>
                      <w:szCs w:val="21"/>
                    </w:rPr>
                    <w:t>设置独立存储区域密闭存储。</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3319A15">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r w14:paraId="4780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tcBorders>
                    <w:left w:val="single" w:color="auto" w:sz="4" w:space="0"/>
                    <w:right w:val="single" w:color="auto" w:sz="4" w:space="0"/>
                  </w:tcBorders>
                  <w:noWrap w:val="0"/>
                  <w:vAlign w:val="center"/>
                </w:tcPr>
                <w:p w14:paraId="15341EB7">
                  <w:pPr>
                    <w:keepNext w:val="0"/>
                    <w:keepLines w:val="0"/>
                    <w:suppressLineNumbers w:val="0"/>
                    <w:spacing w:before="0" w:beforeAutospacing="0" w:after="0" w:afterAutospacing="0" w:line="240" w:lineRule="auto"/>
                    <w:ind w:left="0" w:right="0" w:firstLine="0" w:firstLineChars="0"/>
                    <w:jc w:val="left"/>
                    <w:rPr>
                      <w:rFonts w:hint="default"/>
                      <w:szCs w:val="21"/>
                    </w:rPr>
                  </w:pPr>
                </w:p>
              </w:tc>
              <w:tc>
                <w:tcPr>
                  <w:tcW w:w="2472" w:type="pct"/>
                  <w:tcBorders>
                    <w:top w:val="single" w:color="auto" w:sz="4" w:space="0"/>
                    <w:left w:val="single" w:color="auto" w:sz="4" w:space="0"/>
                    <w:bottom w:val="single" w:color="auto" w:sz="4" w:space="0"/>
                    <w:right w:val="single" w:color="auto" w:sz="4" w:space="0"/>
                  </w:tcBorders>
                  <w:noWrap w:val="0"/>
                  <w:vAlign w:val="center"/>
                </w:tcPr>
                <w:p w14:paraId="79AFBD37">
                  <w:pPr>
                    <w:keepNext w:val="0"/>
                    <w:keepLines w:val="0"/>
                    <w:suppressLineNumbers w:val="0"/>
                    <w:spacing w:before="0" w:beforeAutospacing="0" w:after="0" w:afterAutospacing="0" w:line="240" w:lineRule="auto"/>
                    <w:ind w:left="0" w:right="0" w:firstLine="0" w:firstLineChars="0"/>
                    <w:jc w:val="left"/>
                    <w:rPr>
                      <w:rFonts w:hint="default"/>
                      <w:szCs w:val="21"/>
                    </w:rPr>
                  </w:pPr>
                  <w:r>
                    <w:rPr>
                      <w:rFonts w:hint="eastAsia"/>
                      <w:szCs w:val="21"/>
                    </w:rPr>
                    <w:t>企业应建立台账，记录含VOCs原辅材料和含VOCs产品的名称、使用量、回收量、废弃量去向以及VOCs含量等信息。台账保存期限不少于3年。</w:t>
                  </w:r>
                </w:p>
              </w:tc>
              <w:tc>
                <w:tcPr>
                  <w:tcW w:w="1326" w:type="pct"/>
                  <w:tcBorders>
                    <w:top w:val="single" w:color="auto" w:sz="4" w:space="0"/>
                    <w:left w:val="single" w:color="auto" w:sz="4" w:space="0"/>
                    <w:bottom w:val="single" w:color="auto" w:sz="4" w:space="0"/>
                    <w:right w:val="single" w:color="auto" w:sz="4" w:space="0"/>
                  </w:tcBorders>
                  <w:noWrap w:val="0"/>
                  <w:vAlign w:val="center"/>
                </w:tcPr>
                <w:p w14:paraId="0C2B807D">
                  <w:pPr>
                    <w:keepNext w:val="0"/>
                    <w:keepLines w:val="0"/>
                    <w:suppressLineNumbers w:val="0"/>
                    <w:spacing w:before="0" w:beforeAutospacing="0" w:after="0" w:afterAutospacing="0" w:line="240" w:lineRule="auto"/>
                    <w:ind w:left="0" w:right="0" w:firstLine="0" w:firstLineChars="0"/>
                    <w:jc w:val="left"/>
                    <w:rPr>
                      <w:rFonts w:hint="eastAsia"/>
                      <w:szCs w:val="21"/>
                    </w:rPr>
                  </w:pPr>
                  <w:r>
                    <w:rPr>
                      <w:rFonts w:hint="default"/>
                      <w:szCs w:val="21"/>
                    </w:rPr>
                    <w:t>评价要求建设单位建立原辅材料</w:t>
                  </w:r>
                  <w:r>
                    <w:rPr>
                      <w:rFonts w:hint="eastAsia"/>
                      <w:szCs w:val="21"/>
                    </w:rPr>
                    <w:t>、</w:t>
                  </w:r>
                  <w:r>
                    <w:rPr>
                      <w:rFonts w:hint="default"/>
                      <w:szCs w:val="21"/>
                    </w:rPr>
                    <w:t>产品使用量</w:t>
                  </w:r>
                  <w:r>
                    <w:rPr>
                      <w:rFonts w:hint="eastAsia"/>
                      <w:szCs w:val="21"/>
                    </w:rPr>
                    <w:t>等相关台账，应包含但不限于V</w:t>
                  </w:r>
                  <w:r>
                    <w:rPr>
                      <w:rFonts w:hint="default"/>
                      <w:szCs w:val="21"/>
                    </w:rPr>
                    <w:t>OCs物料使用量</w:t>
                  </w:r>
                  <w:r>
                    <w:rPr>
                      <w:rFonts w:hint="eastAsia"/>
                      <w:szCs w:val="21"/>
                    </w:rPr>
                    <w:t>、</w:t>
                  </w:r>
                  <w:r>
                    <w:rPr>
                      <w:rFonts w:hint="default"/>
                      <w:szCs w:val="21"/>
                    </w:rPr>
                    <w:t>废弃量等</w:t>
                  </w:r>
                  <w:r>
                    <w:rPr>
                      <w:rFonts w:hint="eastAsia"/>
                      <w:szCs w:val="21"/>
                    </w:rPr>
                    <w:t>。</w:t>
                  </w:r>
                  <w:r>
                    <w:rPr>
                      <w:rFonts w:hint="default"/>
                      <w:szCs w:val="21"/>
                    </w:rPr>
                    <w:t>台账保存期限不少于3年</w:t>
                  </w:r>
                  <w:r>
                    <w:rPr>
                      <w:rFonts w:hint="eastAsia"/>
                      <w:szCs w:val="21"/>
                    </w:rPr>
                    <w:t>。</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AA4E20B">
                  <w:pPr>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符合</w:t>
                  </w:r>
                </w:p>
              </w:tc>
            </w:tr>
          </w:tbl>
          <w:p w14:paraId="7803E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val="en-US" w:eastAsia="zh-CN"/>
              </w:rPr>
            </w:pPr>
          </w:p>
          <w:p w14:paraId="3C7DDF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val="en-US" w:eastAsia="zh-CN"/>
              </w:rPr>
            </w:pPr>
          </w:p>
          <w:p w14:paraId="1F932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val="en-US" w:eastAsia="zh-CN"/>
              </w:rPr>
            </w:pPr>
          </w:p>
          <w:p w14:paraId="78C7E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val="en-US" w:eastAsia="zh-CN"/>
              </w:rPr>
            </w:pPr>
          </w:p>
          <w:p w14:paraId="47063F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val="en-US" w:eastAsia="zh-CN"/>
              </w:rPr>
            </w:pPr>
          </w:p>
          <w:p w14:paraId="3A53F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val="en-US" w:eastAsia="zh-CN"/>
              </w:rPr>
            </w:pPr>
          </w:p>
          <w:p w14:paraId="26B5C0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val="en-US" w:eastAsia="zh-CN"/>
              </w:rPr>
            </w:pPr>
          </w:p>
          <w:p w14:paraId="6EE0E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lang w:val="en-US" w:eastAsia="zh-CN"/>
              </w:rPr>
            </w:pPr>
          </w:p>
        </w:tc>
      </w:tr>
    </w:tbl>
    <w:p w14:paraId="784B7D3C">
      <w:pPr>
        <w:rPr>
          <w:rFonts w:hint="default" w:ascii="Times New Roman" w:hAnsi="Times New Roman" w:cs="Times New Roman"/>
          <w:color w:val="auto"/>
        </w:rPr>
        <w:sectPr>
          <w:footerReference r:id="rId5" w:type="default"/>
          <w:pgSz w:w="16838" w:h="11906" w:orient="landscape"/>
          <w:pgMar w:top="1701" w:right="1418" w:bottom="1418" w:left="1418" w:header="992" w:footer="992" w:gutter="0"/>
          <w:pgBorders>
            <w:top w:val="none" w:sz="0" w:space="0"/>
            <w:left w:val="none" w:sz="0" w:space="0"/>
            <w:bottom w:val="none" w:sz="0" w:space="0"/>
            <w:right w:val="none" w:sz="0" w:space="0"/>
          </w:pgBorders>
          <w:cols w:space="720" w:num="1"/>
          <w:docGrid w:linePitch="312" w:charSpace="0"/>
        </w:sect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7876"/>
      </w:tblGrid>
      <w:tr w14:paraId="16F4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32DCE468">
            <w:pPr>
              <w:keepNext w:val="0"/>
              <w:keepLines w:val="0"/>
              <w:suppressLineNumbers w:val="0"/>
              <w:bidi w:val="0"/>
              <w:spacing w:before="0" w:beforeAutospacing="0" w:after="0" w:afterAutospacing="0"/>
              <w:ind w:left="0" w:right="0"/>
              <w:jc w:val="center"/>
              <w:rPr>
                <w:rFonts w:hint="default"/>
                <w:vertAlign w:val="baseline"/>
              </w:rPr>
            </w:pPr>
            <w:r>
              <w:rPr>
                <w:rFonts w:hint="default" w:ascii="Times New Roman" w:hAnsi="Times New Roman" w:eastAsia="宋体" w:cs="Times New Roman"/>
                <w:color w:val="auto"/>
                <w:kern w:val="21"/>
                <w:sz w:val="24"/>
              </w:rPr>
              <w:t>其他符合性分析</w:t>
            </w:r>
          </w:p>
        </w:tc>
        <w:tc>
          <w:tcPr>
            <w:tcW w:w="7876" w:type="dxa"/>
            <w:vAlign w:val="top"/>
          </w:tcPr>
          <w:p w14:paraId="6459910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cs="Times New Roman"/>
                <w:b/>
                <w:bCs/>
                <w:color w:val="auto"/>
                <w:kern w:val="2"/>
                <w:sz w:val="24"/>
                <w:szCs w:val="24"/>
                <w:lang w:val="en-US" w:eastAsia="zh-CN" w:bidi="ar"/>
              </w:rPr>
            </w:pPr>
            <w:r>
              <w:rPr>
                <w:rFonts w:hint="default" w:ascii="Times New Roman" w:hAnsi="Times New Roman" w:cs="Times New Roman"/>
                <w:b/>
                <w:bCs/>
                <w:color w:val="auto"/>
                <w:kern w:val="2"/>
                <w:sz w:val="24"/>
                <w:szCs w:val="24"/>
                <w:lang w:val="en-US" w:eastAsia="zh-CN" w:bidi="ar"/>
              </w:rPr>
              <w:t>5、选址符合性分析</w:t>
            </w:r>
          </w:p>
          <w:p w14:paraId="0F28A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lang w:val="en-US" w:eastAsia="zh-CN" w:bidi="ar"/>
              </w:rPr>
            </w:pPr>
            <w:r>
              <w:rPr>
                <w:rFonts w:hint="default" w:ascii="Times New Roman" w:hAnsi="Times New Roman" w:cs="Times New Roman"/>
                <w:color w:val="FF0000"/>
                <w:kern w:val="2"/>
                <w:sz w:val="24"/>
                <w:szCs w:val="24"/>
                <w:lang w:val="en-US" w:eastAsia="zh-CN" w:bidi="ar"/>
              </w:rPr>
              <w:t>本项目</w:t>
            </w:r>
            <w:r>
              <w:rPr>
                <w:rFonts w:hint="eastAsia" w:cs="Times New Roman"/>
                <w:color w:val="FF0000"/>
                <w:kern w:val="2"/>
                <w:sz w:val="24"/>
                <w:szCs w:val="24"/>
                <w:lang w:val="en-US" w:eastAsia="zh-CN" w:bidi="ar"/>
              </w:rPr>
              <w:t>为电机制造项目，</w:t>
            </w:r>
            <w:r>
              <w:rPr>
                <w:rFonts w:hint="eastAsia" w:cs="Times New Roman"/>
                <w:color w:val="FF0000"/>
                <w:kern w:val="2"/>
                <w:sz w:val="24"/>
                <w:szCs w:val="24"/>
                <w:highlight w:val="yellow"/>
                <w:lang w:val="en-US" w:eastAsia="zh-CN" w:bidi="ar"/>
              </w:rPr>
              <w:t>隶属于装备制造，</w:t>
            </w:r>
            <w:r>
              <w:rPr>
                <w:rFonts w:hint="default" w:ascii="Times New Roman" w:hAnsi="Times New Roman" w:cs="Times New Roman"/>
                <w:color w:val="FF0000"/>
                <w:kern w:val="2"/>
                <w:sz w:val="24"/>
                <w:szCs w:val="24"/>
                <w:lang w:val="en-US" w:eastAsia="zh-CN" w:bidi="ar"/>
              </w:rPr>
              <w:t>位于安康高新技术产业开发区，</w:t>
            </w:r>
            <w:r>
              <w:rPr>
                <w:rFonts w:hint="eastAsia" w:cs="Times New Roman"/>
                <w:color w:val="FF0000"/>
                <w:kern w:val="2"/>
                <w:sz w:val="24"/>
                <w:szCs w:val="24"/>
                <w:highlight w:val="yellow"/>
                <w:lang w:val="en-US" w:eastAsia="zh-CN" w:bidi="ar"/>
              </w:rPr>
              <w:t>其电镀外委，</w:t>
            </w:r>
            <w:r>
              <w:rPr>
                <w:rFonts w:hint="eastAsia" w:cs="Times New Roman"/>
                <w:color w:val="FF0000"/>
                <w:kern w:val="2"/>
                <w:sz w:val="24"/>
                <w:szCs w:val="24"/>
                <w:lang w:val="en-US" w:eastAsia="zh-CN" w:bidi="ar"/>
              </w:rPr>
              <w:t>符合</w:t>
            </w:r>
            <w:r>
              <w:rPr>
                <w:rFonts w:hint="default" w:ascii="Times New Roman" w:hAnsi="Times New Roman" w:cs="Times New Roman"/>
                <w:color w:val="FF0000"/>
                <w:kern w:val="2"/>
                <w:sz w:val="24"/>
                <w:szCs w:val="24"/>
                <w:lang w:val="en-US" w:eastAsia="zh-CN" w:bidi="ar"/>
              </w:rPr>
              <w:t>安康高新技术产业开发区</w:t>
            </w:r>
            <w:r>
              <w:rPr>
                <w:rFonts w:hint="eastAsia" w:cs="Times New Roman"/>
                <w:color w:val="FF0000"/>
                <w:kern w:val="2"/>
                <w:sz w:val="24"/>
                <w:szCs w:val="24"/>
                <w:lang w:val="en-US" w:eastAsia="zh-CN" w:bidi="ar"/>
              </w:rPr>
              <w:t>的产业发展定位。项目</w:t>
            </w:r>
            <w:r>
              <w:rPr>
                <w:rFonts w:hint="default" w:ascii="Times New Roman" w:hAnsi="Times New Roman" w:cs="Times New Roman"/>
                <w:color w:val="FF0000"/>
                <w:kern w:val="2"/>
                <w:sz w:val="24"/>
                <w:szCs w:val="24"/>
                <w:lang w:val="en-US" w:eastAsia="zh-CN" w:bidi="ar"/>
              </w:rPr>
              <w:t>用地性质为工业用地</w:t>
            </w:r>
            <w:r>
              <w:rPr>
                <w:rFonts w:hint="eastAsia" w:cs="Times New Roman"/>
                <w:color w:val="FF0000"/>
                <w:kern w:val="2"/>
                <w:sz w:val="24"/>
                <w:szCs w:val="24"/>
                <w:lang w:val="en-US" w:eastAsia="zh-CN" w:bidi="ar"/>
              </w:rPr>
              <w:t>且选址周边</w:t>
            </w:r>
            <w:r>
              <w:rPr>
                <w:rFonts w:hint="default" w:ascii="Times New Roman" w:hAnsi="Times New Roman" w:cs="Times New Roman"/>
                <w:color w:val="FF0000"/>
                <w:kern w:val="2"/>
                <w:sz w:val="24"/>
                <w:szCs w:val="24"/>
                <w:lang w:val="en-US" w:eastAsia="zh-CN" w:bidi="ar"/>
              </w:rPr>
              <w:t>水、电、通讯等设施供应便利且有保障</w:t>
            </w:r>
            <w:r>
              <w:rPr>
                <w:rFonts w:hint="default" w:ascii="Times New Roman" w:hAnsi="Times New Roman" w:cs="Times New Roman"/>
                <w:color w:val="auto"/>
                <w:kern w:val="2"/>
                <w:sz w:val="24"/>
                <w:szCs w:val="24"/>
                <w:lang w:val="en-US" w:eastAsia="zh-CN" w:bidi="ar"/>
              </w:rPr>
              <w:t>，基础设施条件良好，交通便利，具有良好的区位优势，同时本项目选址不在基本农田范围、生活居住区，文教卫生区、饮用水源保护区、风景名胜区、文化遗产保护区及自然保护区等区域，符合用地及选址要求。</w:t>
            </w:r>
          </w:p>
          <w:p w14:paraId="02B86E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项目在采取各项环保措施后，废气均可达标排放；废水</w:t>
            </w:r>
            <w:r>
              <w:rPr>
                <w:rFonts w:hint="eastAsia" w:ascii="Times New Roman" w:hAnsi="Times New Roman" w:cs="Times New Roman"/>
                <w:color w:val="auto"/>
                <w:kern w:val="2"/>
                <w:sz w:val="24"/>
                <w:szCs w:val="24"/>
                <w:lang w:val="en-US" w:eastAsia="zh-CN" w:bidi="ar"/>
              </w:rPr>
              <w:t>在厂区预处理后排入市政污水管网</w:t>
            </w:r>
            <w:r>
              <w:rPr>
                <w:rFonts w:hint="default" w:ascii="Times New Roman" w:hAnsi="Times New Roman" w:cs="Times New Roman"/>
                <w:color w:val="auto"/>
                <w:kern w:val="2"/>
                <w:sz w:val="24"/>
                <w:szCs w:val="24"/>
                <w:lang w:val="en-US" w:eastAsia="zh-CN" w:bidi="ar"/>
              </w:rPr>
              <w:t>；厂界噪声排放满足3类标准要求；固体废物均合理处置。综上所述，</w:t>
            </w:r>
            <w:r>
              <w:rPr>
                <w:rFonts w:hint="eastAsia" w:cs="Times New Roman"/>
                <w:color w:val="auto"/>
                <w:kern w:val="2"/>
                <w:sz w:val="24"/>
                <w:szCs w:val="24"/>
                <w:lang w:val="en-US" w:eastAsia="zh-CN" w:bidi="ar"/>
              </w:rPr>
              <w:t>项目</w:t>
            </w:r>
            <w:r>
              <w:rPr>
                <w:rFonts w:hint="default" w:ascii="Times New Roman" w:hAnsi="Times New Roman" w:cs="Times New Roman"/>
                <w:color w:val="auto"/>
                <w:kern w:val="2"/>
                <w:sz w:val="24"/>
                <w:szCs w:val="24"/>
                <w:lang w:val="en-US" w:eastAsia="zh-CN" w:bidi="ar"/>
              </w:rPr>
              <w:t>建设条件较好，从环境保护角度分析，项目选址可行。</w:t>
            </w:r>
          </w:p>
          <w:p w14:paraId="125939E5">
            <w:pPr>
              <w:pStyle w:val="3"/>
              <w:suppressLineNumbers w:val="0"/>
              <w:spacing w:beforeAutospacing="0" w:afterAutospacing="0"/>
              <w:ind w:left="0" w:right="0"/>
              <w:jc w:val="both"/>
              <w:rPr>
                <w:rFonts w:hint="default" w:ascii="Times New Roman" w:hAnsi="Times New Roman" w:eastAsia="宋体" w:cs="Times New Roman"/>
                <w:color w:val="auto"/>
                <w:kern w:val="2"/>
                <w:sz w:val="24"/>
                <w:szCs w:val="24"/>
                <w:lang w:val="en-US" w:eastAsia="zh-CN" w:bidi="ar-SA"/>
              </w:rPr>
            </w:pPr>
          </w:p>
          <w:p w14:paraId="292E400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4"/>
                <w:szCs w:val="24"/>
                <w:lang w:val="en-US" w:eastAsia="zh-CN" w:bidi="ar-SA"/>
              </w:rPr>
            </w:pPr>
          </w:p>
          <w:p w14:paraId="7C10A8AF">
            <w:pPr>
              <w:pStyle w:val="3"/>
              <w:suppressLineNumbers w:val="0"/>
              <w:spacing w:beforeAutospacing="0" w:afterAutospacing="0"/>
              <w:ind w:left="0" w:right="0"/>
              <w:jc w:val="both"/>
              <w:rPr>
                <w:rFonts w:hint="default" w:ascii="Times New Roman" w:hAnsi="Times New Roman" w:eastAsia="宋体" w:cs="Times New Roman"/>
                <w:color w:val="auto"/>
                <w:kern w:val="2"/>
                <w:sz w:val="24"/>
                <w:szCs w:val="24"/>
                <w:lang w:val="en-US" w:eastAsia="zh-CN" w:bidi="ar-SA"/>
              </w:rPr>
            </w:pPr>
          </w:p>
          <w:p w14:paraId="382CCAD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4"/>
                <w:szCs w:val="24"/>
                <w:lang w:val="en-US" w:eastAsia="zh-CN" w:bidi="ar-SA"/>
              </w:rPr>
            </w:pPr>
          </w:p>
          <w:p w14:paraId="6D846B91">
            <w:pPr>
              <w:pStyle w:val="3"/>
              <w:suppressLineNumbers w:val="0"/>
              <w:spacing w:beforeAutospacing="0" w:afterAutospacing="0"/>
              <w:ind w:left="0" w:right="0"/>
              <w:jc w:val="both"/>
              <w:rPr>
                <w:rFonts w:hint="default" w:ascii="Times New Roman" w:hAnsi="Times New Roman" w:eastAsia="宋体" w:cs="Times New Roman"/>
                <w:color w:val="auto"/>
                <w:kern w:val="2"/>
                <w:sz w:val="24"/>
                <w:szCs w:val="24"/>
                <w:lang w:val="en-US" w:eastAsia="zh-CN" w:bidi="ar-SA"/>
              </w:rPr>
            </w:pPr>
          </w:p>
          <w:p w14:paraId="35BBC95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4"/>
                <w:szCs w:val="24"/>
                <w:lang w:val="en-US" w:eastAsia="zh-CN" w:bidi="ar-SA"/>
              </w:rPr>
            </w:pPr>
          </w:p>
          <w:p w14:paraId="08AFECEC">
            <w:pPr>
              <w:pStyle w:val="3"/>
              <w:suppressLineNumbers w:val="0"/>
              <w:spacing w:beforeAutospacing="0" w:afterAutospacing="0"/>
              <w:ind w:left="0" w:right="0"/>
              <w:jc w:val="both"/>
              <w:rPr>
                <w:rFonts w:hint="default" w:ascii="Times New Roman" w:hAnsi="Times New Roman" w:eastAsia="宋体" w:cs="Times New Roman"/>
                <w:color w:val="auto"/>
                <w:kern w:val="2"/>
                <w:sz w:val="24"/>
                <w:szCs w:val="24"/>
                <w:lang w:val="en-US" w:eastAsia="zh-CN" w:bidi="ar-SA"/>
              </w:rPr>
            </w:pPr>
          </w:p>
          <w:p w14:paraId="7490B98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4"/>
                <w:szCs w:val="24"/>
                <w:lang w:val="en-US" w:eastAsia="zh-CN" w:bidi="ar-SA"/>
              </w:rPr>
            </w:pPr>
          </w:p>
          <w:p w14:paraId="28C52B61">
            <w:pPr>
              <w:pStyle w:val="3"/>
              <w:suppressLineNumbers w:val="0"/>
              <w:spacing w:beforeAutospacing="0" w:afterAutospacing="0"/>
              <w:ind w:left="0" w:right="0"/>
              <w:jc w:val="both"/>
              <w:rPr>
                <w:rFonts w:hint="default" w:ascii="Times New Roman" w:hAnsi="Times New Roman" w:eastAsia="宋体" w:cs="Times New Roman"/>
                <w:color w:val="auto"/>
                <w:kern w:val="2"/>
                <w:sz w:val="24"/>
                <w:szCs w:val="24"/>
                <w:lang w:val="en-US" w:eastAsia="zh-CN" w:bidi="ar-SA"/>
              </w:rPr>
            </w:pPr>
          </w:p>
          <w:p w14:paraId="58E7C22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4"/>
                <w:szCs w:val="24"/>
                <w:lang w:val="en-US" w:eastAsia="zh-CN" w:bidi="ar-SA"/>
              </w:rPr>
            </w:pPr>
          </w:p>
          <w:p w14:paraId="4E5DBB5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4"/>
                <w:szCs w:val="24"/>
                <w:lang w:val="en-US" w:eastAsia="zh-CN" w:bidi="ar-SA"/>
              </w:rPr>
            </w:pPr>
          </w:p>
          <w:p w14:paraId="07BDD312">
            <w:pPr>
              <w:pStyle w:val="41"/>
              <w:keepNext w:val="0"/>
              <w:keepLines w:val="0"/>
              <w:suppressLineNumbers w:val="0"/>
              <w:spacing w:before="0" w:beforeAutospacing="0" w:after="0" w:afterAutospacing="0"/>
              <w:ind w:left="0" w:right="0"/>
              <w:rPr>
                <w:rFonts w:hint="default"/>
                <w:lang w:val="en-US" w:eastAsia="zh-CN"/>
              </w:rPr>
            </w:pPr>
          </w:p>
          <w:p w14:paraId="67AEE2C5">
            <w:pPr>
              <w:pStyle w:val="3"/>
              <w:suppressLineNumbers w:val="0"/>
              <w:spacing w:beforeAutospacing="0" w:afterAutospacing="0"/>
              <w:ind w:left="0" w:right="0"/>
              <w:jc w:val="both"/>
              <w:rPr>
                <w:rFonts w:hint="default"/>
              </w:rPr>
            </w:pPr>
          </w:p>
        </w:tc>
      </w:tr>
    </w:tbl>
    <w:p w14:paraId="65E1D6B5">
      <w:pPr>
        <w:rPr>
          <w:rFonts w:hint="default"/>
        </w:rPr>
      </w:pPr>
    </w:p>
    <w:p w14:paraId="2D62279E">
      <w:pPr>
        <w:pStyle w:val="3"/>
        <w:rPr>
          <w:rFonts w:hint="default"/>
        </w:rPr>
        <w:sectPr>
          <w:pgSz w:w="11906" w:h="16838"/>
          <w:pgMar w:top="1418" w:right="1418" w:bottom="1418" w:left="1701" w:header="992" w:footer="992" w:gutter="0"/>
          <w:pgBorders>
            <w:top w:val="none" w:sz="0" w:space="0"/>
            <w:left w:val="none" w:sz="0" w:space="0"/>
            <w:bottom w:val="none" w:sz="0" w:space="0"/>
            <w:right w:val="none" w:sz="0" w:space="0"/>
          </w:pgBorders>
          <w:cols w:space="720" w:num="1"/>
          <w:docGrid w:linePitch="312" w:charSpace="0"/>
        </w:sectPr>
      </w:pPr>
    </w:p>
    <w:p w14:paraId="05E1AB3F">
      <w:pPr>
        <w:pStyle w:val="30"/>
        <w:keepNext w:val="0"/>
        <w:keepLines w:val="0"/>
        <w:pageBreakBefore w:val="0"/>
        <w:widowControl w:val="0"/>
        <w:numPr>
          <w:ilvl w:val="0"/>
          <w:numId w:val="3"/>
        </w:numPr>
        <w:kinsoku w:val="0"/>
        <w:wordWrap/>
        <w:overflowPunct w:val="0"/>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snapToGrid w:val="0"/>
          <w:color w:val="auto"/>
          <w:kern w:val="21"/>
          <w:sz w:val="30"/>
          <w:szCs w:val="30"/>
        </w:rPr>
      </w:pPr>
      <w:r>
        <w:rPr>
          <w:rFonts w:hint="default" w:ascii="Times New Roman" w:hAnsi="Times New Roman" w:eastAsia="黑体" w:cs="Times New Roman"/>
          <w:snapToGrid w:val="0"/>
          <w:color w:val="auto"/>
          <w:kern w:val="21"/>
          <w:sz w:val="30"/>
          <w:szCs w:val="30"/>
        </w:rPr>
        <w:t>建设项目工程分析</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540"/>
      </w:tblGrid>
      <w:tr w14:paraId="230C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7" w:type="pct"/>
            <w:vAlign w:val="center"/>
          </w:tcPr>
          <w:p w14:paraId="6163AA0A">
            <w:pPr>
              <w:pStyle w:val="30"/>
              <w:keepNext w:val="0"/>
              <w:keepLines w:val="0"/>
              <w:widowControl w:val="0"/>
              <w:suppressLineNumbers w:val="0"/>
              <w:kinsoku w:val="0"/>
              <w:overflowPunct w:val="0"/>
              <w:adjustRightInd w:val="0"/>
              <w:snapToGrid w:val="0"/>
              <w:ind w:left="0" w:right="0"/>
              <w:jc w:val="both"/>
              <w:outlineLvl w:val="0"/>
              <w:rPr>
                <w:rFonts w:hint="default" w:ascii="Times New Roman" w:hAnsi="Times New Roman" w:eastAsia="黑体" w:cs="Times New Roman"/>
                <w:snapToGrid w:val="0"/>
                <w:color w:val="auto"/>
                <w:kern w:val="21"/>
                <w:sz w:val="30"/>
                <w:szCs w:val="30"/>
              </w:rPr>
            </w:pPr>
            <w:r>
              <w:rPr>
                <w:rFonts w:hint="default" w:ascii="Times New Roman" w:hAnsi="Times New Roman" w:cs="Times New Roman"/>
                <w:color w:val="auto"/>
                <w:kern w:val="21"/>
                <w:szCs w:val="24"/>
              </w:rPr>
              <w:t>建设内容</w:t>
            </w:r>
          </w:p>
        </w:tc>
        <w:tc>
          <w:tcPr>
            <w:tcW w:w="4742" w:type="pct"/>
          </w:tcPr>
          <w:p w14:paraId="3C1ED31E">
            <w:pPr>
              <w:pStyle w:val="9"/>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项目由来</w:t>
            </w:r>
          </w:p>
          <w:p w14:paraId="1C7B0E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微特电机，全称微型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"https://baike.so.com/doc/2290242-2422740.html" \t "https://baike.so.com/doc/_blank"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特种电机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，简称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"https://baike.so.com/doc/6236117-6449479.html" \t "https://baike.so.com/doc/_blank"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微电机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，是指直径小于160mm或额定功率或具有特殊性能、特殊用途的微特电机。微特电机常用于控制系统中，实现机电信号或能量的检测、解算、放大、执行或转换等功能，也可作为设备的交、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"https://baike.so.com/doc/4947576-5168772.html" \t "https://baike.so.com/doc/_blank"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直流电源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是工业自动化、农业现代化、武器装备现代化、办公自动化、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"https://baike.so.com/doc/7821867-8095962.html" \t "https://baike.so.com/doc/_blank"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家庭现代化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等各个领域不可缺少的基础产品，其应用范围非常广泛</w:t>
            </w:r>
            <w:r>
              <w:rPr>
                <w:rFonts w:hint="eastAsia" w:cs="Times New Roman"/>
                <w:color w:val="000000" w:themeColor="text1"/>
                <w:sz w:val="24"/>
                <w:szCs w:val="24"/>
                <w:lang w:val="en-US" w:eastAsia="zh-CN"/>
                <w14:textFill>
                  <w14:solidFill>
                    <w14:schemeClr w14:val="tx1"/>
                  </w14:solidFill>
                </w14:textFill>
              </w:rPr>
              <w:t>，市场发展潜力较大。故</w:t>
            </w:r>
            <w:r>
              <w:rPr>
                <w:rFonts w:hint="eastAsia" w:cs="Times New Roman"/>
                <w:color w:val="auto"/>
                <w:sz w:val="24"/>
                <w:szCs w:val="24"/>
                <w:lang w:val="en-US" w:eastAsia="zh-CN"/>
              </w:rPr>
              <w:t>陕西轩意光电科技有限公司拟投资20000万元建设新能源汽车机电产业园，重点引进微型步进马达、支流马达、电磁阀机无刷马达等生产线，产品广泛应用于安防镜头、新能源汽车、无人机、工业机器人、智能家居等消费电子产业领域。</w:t>
            </w:r>
          </w:p>
          <w:p w14:paraId="33555F73">
            <w:pPr>
              <w:keepNext w:val="0"/>
              <w:keepLines w:val="0"/>
              <w:suppressLineNumbers w:val="0"/>
              <w:spacing w:before="0" w:beforeAutospacing="0" w:after="0" w:afterAutospacing="0" w:line="360" w:lineRule="auto"/>
              <w:ind w:left="0" w:right="0" w:firstLine="480" w:firstLineChars="200"/>
              <w:rPr>
                <w:rFonts w:hint="default" w:cs="Times New Roman"/>
                <w:color w:val="FF0000"/>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根据《中华人民共和国环境保护法</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中华人民共和国环境影响评价法</w:t>
            </w:r>
            <w:r>
              <w:rPr>
                <w:rFonts w:hint="eastAsia" w:cs="Times New Roman"/>
                <w:color w:val="000000" w:themeColor="text1"/>
                <w:sz w:val="24"/>
                <w:szCs w:val="24"/>
                <w:lang w:val="en-US" w:eastAsia="zh-CN"/>
                <w14:textFill>
                  <w14:solidFill>
                    <w14:schemeClr w14:val="tx1"/>
                  </w14:solidFill>
                </w14:textFill>
              </w:rPr>
              <w:t>》以及《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建设项目环境保护管理条例》</w:t>
            </w:r>
            <w:r>
              <w:rPr>
                <w:rFonts w:hint="eastAsia" w:cs="Times New Roman"/>
                <w:color w:val="000000" w:themeColor="text1"/>
                <w:sz w:val="24"/>
                <w:szCs w:val="24"/>
                <w:lang w:val="en-US" w:eastAsia="zh-CN"/>
                <w14:textFill>
                  <w14:solidFill>
                    <w14:schemeClr w14:val="tx1"/>
                  </w14:solidFill>
                </w14:textFill>
              </w:rPr>
              <w:t>（国务院令第682号）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，本项目需进行环境影响评价工作。</w:t>
            </w:r>
            <w:r>
              <w:rPr>
                <w:rFonts w:hint="eastAsia" w:cs="Times New Roman"/>
                <w:color w:val="FF0000"/>
                <w:sz w:val="24"/>
                <w:szCs w:val="24"/>
                <w:lang w:val="en-US" w:eastAsia="zh-CN"/>
              </w:rPr>
              <w:t>本项目机壳、齿轮板等部件电镀委托惠州市勤德五金制品有限公司进行加工，惠州市勤德五金制品有限公司成立于2023年9月，从事五金制造与销售、表面处理等。</w:t>
            </w:r>
          </w:p>
          <w:p w14:paraId="2DE4BB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《建设项目环境影响评价分类管理名录》（2021年版）</w:t>
            </w:r>
            <w:r>
              <w:rPr>
                <w:rFonts w:hint="eastAsia" w:cs="Times New Roman"/>
                <w:color w:val="000000" w:themeColor="text1"/>
                <w:sz w:val="24"/>
                <w:szCs w:val="24"/>
                <w:lang w:val="en-US" w:eastAsia="zh-CN"/>
                <w14:textFill>
                  <w14:solidFill>
                    <w14:schemeClr w14:val="tx1"/>
                  </w14:solidFill>
                </w14:textFill>
              </w:rPr>
              <w:t>规定，本项目属于该目录中“三十五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电机机械和器材制造38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77电机制造381”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，应编制环境影响报告表。</w:t>
            </w:r>
            <w:r>
              <w:rPr>
                <w:rFonts w:hint="eastAsia" w:cs="Times New Roman"/>
                <w:color w:val="auto"/>
                <w:sz w:val="24"/>
                <w:szCs w:val="24"/>
                <w:lang w:val="en-US" w:eastAsia="zh-CN"/>
              </w:rPr>
              <w:t>陕西轩意光电科技有限公司委托我公司编制该项目环境影响报告表。我单位接受委托后，认真研究了该项目的相关资料，并根据国家相关的环保法律法规和相应的标准，编制了本环境影响评价报告表。</w:t>
            </w:r>
          </w:p>
          <w:p w14:paraId="7FAA2FE3">
            <w:pPr>
              <w:pStyle w:val="9"/>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项目概况</w:t>
            </w:r>
          </w:p>
          <w:p w14:paraId="7A63D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项目名称：</w:t>
            </w:r>
            <w:r>
              <w:rPr>
                <w:rFonts w:hint="eastAsia" w:cs="Times New Roman"/>
                <w:color w:val="auto"/>
                <w:sz w:val="24"/>
                <w:szCs w:val="24"/>
                <w:lang w:val="en-US" w:eastAsia="zh-CN"/>
              </w:rPr>
              <w:t>新能源汽车机电产业园</w:t>
            </w:r>
          </w:p>
          <w:p w14:paraId="04B8A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建设单位：</w:t>
            </w:r>
            <w:r>
              <w:rPr>
                <w:rFonts w:hint="eastAsia" w:cs="Times New Roman"/>
                <w:color w:val="auto"/>
                <w:sz w:val="24"/>
                <w:szCs w:val="24"/>
                <w:lang w:val="en-US" w:eastAsia="zh-CN"/>
              </w:rPr>
              <w:t>陕西轩意光电科技有限公司</w:t>
            </w:r>
          </w:p>
          <w:p w14:paraId="03750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建设地点：</w:t>
            </w:r>
            <w:r>
              <w:rPr>
                <w:rFonts w:hint="default" w:ascii="Times New Roman" w:hAnsi="Times New Roman" w:cs="Times New Roman"/>
                <w:color w:val="auto"/>
                <w:sz w:val="24"/>
                <w:szCs w:val="24"/>
                <w:lang w:val="en-US" w:eastAsia="zh-CN"/>
              </w:rPr>
              <w:t>陕西省</w:t>
            </w:r>
            <w:r>
              <w:rPr>
                <w:rFonts w:hint="eastAsia" w:cs="Times New Roman"/>
                <w:color w:val="auto"/>
                <w:sz w:val="24"/>
                <w:szCs w:val="24"/>
                <w:lang w:val="en-US" w:eastAsia="zh-CN"/>
              </w:rPr>
              <w:t>安康市高新区创新路以南、民主路以西</w:t>
            </w:r>
          </w:p>
          <w:p w14:paraId="55226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建设性质：</w:t>
            </w:r>
            <w:r>
              <w:rPr>
                <w:rFonts w:hint="eastAsia" w:cs="Times New Roman"/>
                <w:color w:val="auto"/>
                <w:sz w:val="24"/>
                <w:szCs w:val="24"/>
                <w:lang w:val="en-US" w:eastAsia="zh-CN"/>
              </w:rPr>
              <w:t>新建</w:t>
            </w:r>
          </w:p>
          <w:p w14:paraId="5104F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建设规模：</w:t>
            </w:r>
            <w:r>
              <w:rPr>
                <w:rFonts w:hint="eastAsia" w:cs="Times New Roman"/>
                <w:color w:val="auto"/>
                <w:sz w:val="24"/>
                <w:szCs w:val="24"/>
                <w:lang w:val="en-US" w:eastAsia="zh-CN"/>
              </w:rPr>
              <w:t>规划用地43亩，主要建设4.6万平方米标准化厂房及研发、办公等配套设施，重点引进微型步进马达、直流马达、电磁阀及无刷马达等生产线，实现年产2800万只新能源汽车关键零部件生产能力。</w:t>
            </w:r>
          </w:p>
          <w:p w14:paraId="49934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总投资：</w:t>
            </w:r>
            <w:r>
              <w:rPr>
                <w:rFonts w:hint="eastAsia" w:cs="Times New Roman"/>
                <w:color w:val="auto"/>
                <w:sz w:val="24"/>
                <w:szCs w:val="24"/>
                <w:lang w:val="en-US" w:eastAsia="zh-CN"/>
              </w:rPr>
              <w:t>20000</w:t>
            </w:r>
            <w:r>
              <w:rPr>
                <w:rFonts w:hint="default" w:ascii="Times New Roman" w:hAnsi="Times New Roman" w:eastAsia="宋体" w:cs="Times New Roman"/>
                <w:color w:val="auto"/>
                <w:sz w:val="24"/>
                <w:szCs w:val="24"/>
                <w:lang w:val="en-US" w:eastAsia="zh-CN"/>
              </w:rPr>
              <w:t>万元。</w:t>
            </w:r>
          </w:p>
          <w:p w14:paraId="23108D88">
            <w:pPr>
              <w:pStyle w:val="9"/>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项目建设内容</w:t>
            </w:r>
          </w:p>
          <w:p w14:paraId="2FB5B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项目新征</w:t>
            </w:r>
            <w:r>
              <w:rPr>
                <w:rFonts w:hint="eastAsia" w:cs="Times New Roman"/>
                <w:color w:val="000000" w:themeColor="text1"/>
                <w:sz w:val="24"/>
                <w:lang w:val="en-US" w:eastAsia="zh-CN"/>
                <w14:textFill>
                  <w14:solidFill>
                    <w14:schemeClr w14:val="tx1"/>
                  </w14:solidFill>
                </w14:textFill>
              </w:rPr>
              <w:t>29103.31</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，规划新建新型工业厂房1#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37242.3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、2#厂房4693.66m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、综合楼(含研发中心)5061.62 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、辅助车间2259.56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、配电机房148.68m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。购置先进生产设备82台(套)，建成新能源汽车机电产品全自动化生产线，研发生产汽车微型步进马达、直流马达、无刷马达等系列产品。配套供水、电气、消防、安防、绿化等公用设施。详见项目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建设内容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一览表（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F905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1687" w:firstLineChars="700"/>
              <w:textAlignment w:val="center"/>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表2-1   建设项目主要建设内容一览表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53"/>
              <w:gridCol w:w="1176"/>
              <w:gridCol w:w="4828"/>
              <w:gridCol w:w="686"/>
            </w:tblGrid>
            <w:tr w14:paraId="0832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1" w:type="pct"/>
                  <w:noWrap w:val="0"/>
                  <w:vAlign w:val="center"/>
                </w:tcPr>
                <w:p w14:paraId="2768E98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项目组成</w:t>
                  </w:r>
                </w:p>
              </w:tc>
              <w:tc>
                <w:tcPr>
                  <w:tcW w:w="573" w:type="pct"/>
                  <w:noWrap w:val="0"/>
                  <w:vAlign w:val="center"/>
                </w:tcPr>
                <w:p w14:paraId="50651B9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工程</w:t>
                  </w:r>
                </w:p>
                <w:p w14:paraId="11ADF0BC">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3612" w:type="pct"/>
                  <w:gridSpan w:val="2"/>
                  <w:noWrap w:val="0"/>
                  <w:vAlign w:val="center"/>
                </w:tcPr>
                <w:p w14:paraId="183D1773">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主要</w:t>
                  </w:r>
                  <w:r>
                    <w:rPr>
                      <w:rFonts w:hint="default" w:ascii="Times New Roman" w:hAnsi="Times New Roman" w:eastAsia="宋体" w:cs="Times New Roman"/>
                      <w:b/>
                      <w:bCs/>
                      <w:color w:val="auto"/>
                      <w:sz w:val="21"/>
                      <w:szCs w:val="21"/>
                    </w:rPr>
                    <w:t>建设内容</w:t>
                  </w:r>
                </w:p>
              </w:tc>
              <w:tc>
                <w:tcPr>
                  <w:tcW w:w="412" w:type="pct"/>
                  <w:noWrap w:val="0"/>
                  <w:vAlign w:val="center"/>
                </w:tcPr>
                <w:p w14:paraId="415AD025">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5921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1" w:type="pct"/>
                  <w:vMerge w:val="restart"/>
                  <w:noWrap w:val="0"/>
                  <w:vAlign w:val="center"/>
                </w:tcPr>
                <w:p w14:paraId="43A09936">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573" w:type="pct"/>
                  <w:noWrap w:val="0"/>
                  <w:vAlign w:val="center"/>
                </w:tcPr>
                <w:p w14:paraId="6120CDAB">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1#厂房</w:t>
                  </w:r>
                </w:p>
              </w:tc>
              <w:tc>
                <w:tcPr>
                  <w:tcW w:w="3612" w:type="pct"/>
                  <w:gridSpan w:val="2"/>
                  <w:noWrap w:val="0"/>
                  <w:vAlign w:val="center"/>
                </w:tcPr>
                <w:p w14:paraId="7E9E009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建设于</w:t>
                  </w:r>
                  <w:r>
                    <w:rPr>
                      <w:rFonts w:hint="default" w:ascii="Times New Roman" w:hAnsi="Times New Roman" w:eastAsia="宋体" w:cs="Times New Roman"/>
                      <w:color w:val="auto"/>
                      <w:sz w:val="21"/>
                      <w:szCs w:val="21"/>
                      <w:lang w:val="en-US" w:eastAsia="zh-CN"/>
                    </w:rPr>
                    <w:t>厂区中部，采用钢筋混凝土框架结构，总高25.60m（5F），占</w:t>
                  </w:r>
                  <w:r>
                    <w:rPr>
                      <w:rFonts w:hint="eastAsia" w:ascii="Times New Roman" w:hAnsi="Times New Roman" w:eastAsia="宋体" w:cs="Times New Roman"/>
                      <w:color w:val="auto"/>
                      <w:sz w:val="21"/>
                      <w:szCs w:val="21"/>
                      <w:lang w:val="en-US" w:eastAsia="zh-CN"/>
                    </w:rPr>
                    <w:t>地</w:t>
                  </w: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37242.3</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主要用于生产，并在不同楼层布设不同的生产线以供生产需求。</w:t>
                  </w:r>
                </w:p>
              </w:tc>
              <w:tc>
                <w:tcPr>
                  <w:tcW w:w="412" w:type="pct"/>
                  <w:noWrap w:val="0"/>
                  <w:vAlign w:val="center"/>
                </w:tcPr>
                <w:p w14:paraId="4E5B2387">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11B1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1" w:type="pct"/>
                  <w:vMerge w:val="continue"/>
                  <w:noWrap w:val="0"/>
                  <w:vAlign w:val="center"/>
                </w:tcPr>
                <w:p w14:paraId="324F8BDB">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66EE067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2#厂房</w:t>
                  </w:r>
                </w:p>
              </w:tc>
              <w:tc>
                <w:tcPr>
                  <w:tcW w:w="3612" w:type="pct"/>
                  <w:gridSpan w:val="2"/>
                  <w:noWrap w:val="0"/>
                  <w:vAlign w:val="center"/>
                </w:tcPr>
                <w:p w14:paraId="32DEB752">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建设于厂区东侧，采用钢筋混凝土框架结构，总高15.45m（2F）</w:t>
                  </w:r>
                </w:p>
                <w:p w14:paraId="27991613">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面积</w:t>
                  </w: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4693.66</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主要用于堆存原料及产品。</w:t>
                  </w:r>
                </w:p>
              </w:tc>
              <w:tc>
                <w:tcPr>
                  <w:tcW w:w="412" w:type="pct"/>
                  <w:noWrap w:val="0"/>
                  <w:vAlign w:val="center"/>
                </w:tcPr>
                <w:p w14:paraId="1EED770C">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4872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restart"/>
                  <w:noWrap w:val="0"/>
                  <w:vAlign w:val="center"/>
                </w:tcPr>
                <w:p w14:paraId="2E167E5A">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573" w:type="pct"/>
                  <w:noWrap w:val="0"/>
                  <w:vAlign w:val="center"/>
                </w:tcPr>
                <w:p w14:paraId="2DC16CE1">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辅助车间</w:t>
                  </w:r>
                </w:p>
              </w:tc>
              <w:tc>
                <w:tcPr>
                  <w:tcW w:w="3612" w:type="pct"/>
                  <w:gridSpan w:val="2"/>
                  <w:noWrap w:val="0"/>
                  <w:vAlign w:val="center"/>
                </w:tcPr>
                <w:p w14:paraId="653A928A">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建设于厂区西北角，</w:t>
                  </w:r>
                  <w:r>
                    <w:rPr>
                      <w:rFonts w:hint="eastAsia" w:ascii="Times New Roman" w:hAnsi="Times New Roman" w:eastAsia="宋体" w:cs="Times New Roman"/>
                      <w:color w:val="auto"/>
                      <w:sz w:val="21"/>
                      <w:szCs w:val="21"/>
                      <w:lang w:val="en-US" w:eastAsia="zh-CN"/>
                    </w:rPr>
                    <w:t>采用钢筋混凝土框架结构，</w:t>
                  </w:r>
                  <w:r>
                    <w:rPr>
                      <w:rFonts w:hint="eastAsia" w:ascii="Times New Roman" w:hAnsi="Times New Roman" w:eastAsia="宋体" w:cs="Times New Roman"/>
                      <w:color w:val="auto"/>
                      <w:sz w:val="21"/>
                      <w:szCs w:val="21"/>
                      <w:highlight w:val="none"/>
                      <w:lang w:val="en-US" w:eastAsia="zh-CN"/>
                    </w:rPr>
                    <w:t>高10.5m，面积约2259.56</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。内设消防水池（1080m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）、消防泵房、纯水机房、冷水机房、发电机房等设施。</w:t>
                  </w:r>
                </w:p>
              </w:tc>
              <w:tc>
                <w:tcPr>
                  <w:tcW w:w="412" w:type="pct"/>
                  <w:noWrap w:val="0"/>
                  <w:vAlign w:val="center"/>
                </w:tcPr>
                <w:p w14:paraId="1E87A10F">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3EA3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noWrap w:val="0"/>
                  <w:vAlign w:val="center"/>
                </w:tcPr>
                <w:p w14:paraId="411D3236">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p>
              </w:tc>
              <w:tc>
                <w:tcPr>
                  <w:tcW w:w="573" w:type="pct"/>
                  <w:noWrap w:val="0"/>
                  <w:vAlign w:val="center"/>
                </w:tcPr>
                <w:p w14:paraId="4EC0EB89">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机房</w:t>
                  </w:r>
                </w:p>
              </w:tc>
              <w:tc>
                <w:tcPr>
                  <w:tcW w:w="3612" w:type="pct"/>
                  <w:gridSpan w:val="2"/>
                  <w:noWrap w:val="0"/>
                  <w:vAlign w:val="center"/>
                </w:tcPr>
                <w:p w14:paraId="41BA9192">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各建筑就近配制机房，高度随建筑主体，主要为生产或生活办公服务。</w:t>
                  </w:r>
                </w:p>
              </w:tc>
              <w:tc>
                <w:tcPr>
                  <w:tcW w:w="412" w:type="pct"/>
                  <w:noWrap w:val="0"/>
                  <w:vAlign w:val="center"/>
                </w:tcPr>
                <w:p w14:paraId="7CEEDD79">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7BF8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01" w:type="pct"/>
                  <w:vMerge w:val="continue"/>
                  <w:noWrap w:val="0"/>
                  <w:vAlign w:val="center"/>
                </w:tcPr>
                <w:p w14:paraId="5177A125">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p>
              </w:tc>
              <w:tc>
                <w:tcPr>
                  <w:tcW w:w="573" w:type="pct"/>
                  <w:noWrap w:val="0"/>
                  <w:vAlign w:val="center"/>
                </w:tcPr>
                <w:p w14:paraId="056ED207">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4"/>
                      <w:sz w:val="21"/>
                      <w:szCs w:val="21"/>
                      <w:highlight w:val="none"/>
                    </w:rPr>
                  </w:pPr>
                  <w:r>
                    <w:rPr>
                      <w:rFonts w:hint="eastAsia" w:ascii="Times New Roman" w:hAnsi="Times New Roman" w:eastAsia="宋体" w:cs="Times New Roman"/>
                      <w:color w:val="auto"/>
                      <w:sz w:val="21"/>
                      <w:szCs w:val="21"/>
                      <w:highlight w:val="none"/>
                      <w:lang w:val="en-US" w:eastAsia="zh-CN"/>
                    </w:rPr>
                    <w:t>综合办公楼</w:t>
                  </w:r>
                </w:p>
              </w:tc>
              <w:tc>
                <w:tcPr>
                  <w:tcW w:w="3612" w:type="pct"/>
                  <w:gridSpan w:val="2"/>
                  <w:noWrap w:val="0"/>
                  <w:vAlign w:val="center"/>
                </w:tcPr>
                <w:p w14:paraId="5B2F0FDF">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建设于厂区西南角，</w:t>
                  </w:r>
                  <w:r>
                    <w:rPr>
                      <w:rFonts w:hint="eastAsia" w:ascii="Times New Roman" w:hAnsi="Times New Roman" w:eastAsia="宋体" w:cs="Times New Roman"/>
                      <w:color w:val="auto"/>
                      <w:sz w:val="21"/>
                      <w:szCs w:val="21"/>
                      <w:lang w:val="en-US" w:eastAsia="zh-CN"/>
                    </w:rPr>
                    <w:t>采用钢筋混凝土框架结构，</w:t>
                  </w:r>
                  <w:r>
                    <w:rPr>
                      <w:rFonts w:hint="eastAsia" w:ascii="Times New Roman" w:hAnsi="Times New Roman" w:eastAsia="宋体" w:cs="Times New Roman"/>
                      <w:color w:val="auto"/>
                      <w:sz w:val="21"/>
                      <w:szCs w:val="21"/>
                      <w:highlight w:val="none"/>
                      <w:lang w:val="en-US" w:eastAsia="zh-CN"/>
                    </w:rPr>
                    <w:t>总高24.75m（6F），面积约5061.62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。内设办公用房、会议室、档案室、企业研发中心等。</w:t>
                  </w:r>
                </w:p>
              </w:tc>
              <w:tc>
                <w:tcPr>
                  <w:tcW w:w="412" w:type="pct"/>
                  <w:noWrap w:val="0"/>
                  <w:vAlign w:val="center"/>
                </w:tcPr>
                <w:p w14:paraId="19FCC49A">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0625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01" w:type="pct"/>
                  <w:vMerge w:val="restart"/>
                  <w:noWrap w:val="0"/>
                  <w:vAlign w:val="center"/>
                </w:tcPr>
                <w:p w14:paraId="6B8B708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573" w:type="pct"/>
                  <w:noWrap w:val="0"/>
                  <w:vAlign w:val="center"/>
                </w:tcPr>
                <w:p w14:paraId="5BA47AB5">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w:t>
                  </w:r>
                </w:p>
              </w:tc>
              <w:tc>
                <w:tcPr>
                  <w:tcW w:w="3612" w:type="pct"/>
                  <w:gridSpan w:val="2"/>
                  <w:noWrap w:val="0"/>
                  <w:vAlign w:val="center"/>
                </w:tcPr>
                <w:p w14:paraId="767B9B64">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由园区供水管网提供</w:t>
                  </w:r>
                </w:p>
              </w:tc>
              <w:tc>
                <w:tcPr>
                  <w:tcW w:w="412" w:type="pct"/>
                  <w:noWrap w:val="0"/>
                  <w:vAlign w:val="center"/>
                </w:tcPr>
                <w:p w14:paraId="0DD69971">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依托</w:t>
                  </w:r>
                </w:p>
              </w:tc>
            </w:tr>
            <w:tr w14:paraId="45AF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01" w:type="pct"/>
                  <w:vMerge w:val="continue"/>
                  <w:noWrap w:val="0"/>
                  <w:vAlign w:val="center"/>
                </w:tcPr>
                <w:p w14:paraId="0E4599C3">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269C0D27">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3612" w:type="pct"/>
                  <w:gridSpan w:val="2"/>
                  <w:noWrap w:val="0"/>
                  <w:vAlign w:val="center"/>
                </w:tcPr>
                <w:p w14:paraId="501E96A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厂区实施</w:t>
                  </w:r>
                  <w:r>
                    <w:rPr>
                      <w:rFonts w:hint="default" w:ascii="Times New Roman" w:hAnsi="Times New Roman" w:eastAsia="宋体" w:cs="Times New Roman"/>
                      <w:color w:val="auto"/>
                      <w:sz w:val="21"/>
                      <w:szCs w:val="21"/>
                      <w:highlight w:val="none"/>
                      <w:lang w:val="en-US" w:eastAsia="zh-CN"/>
                    </w:rPr>
                    <w:t>雨污分流制。雨水经厂区雨水管道进入园区雨水管网；生产废水经</w:t>
                  </w:r>
                  <w:r>
                    <w:rPr>
                      <w:rFonts w:hint="eastAsia" w:cs="Times New Roman"/>
                      <w:color w:val="auto"/>
                      <w:sz w:val="21"/>
                      <w:szCs w:val="21"/>
                      <w:highlight w:val="none"/>
                      <w:lang w:val="en-US" w:eastAsia="zh-CN"/>
                    </w:rPr>
                    <w:t>厂区西侧的污水处理站设施预处理后，排入市政</w:t>
                  </w:r>
                  <w:r>
                    <w:rPr>
                      <w:rFonts w:hint="default" w:ascii="Times New Roman" w:hAnsi="Times New Roman" w:eastAsia="宋体" w:cs="Times New Roman"/>
                      <w:color w:val="auto"/>
                      <w:sz w:val="21"/>
                      <w:szCs w:val="21"/>
                      <w:highlight w:val="none"/>
                      <w:lang w:val="en-US" w:eastAsia="zh-CN"/>
                    </w:rPr>
                    <w:t>污水管网</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highlight w:val="none"/>
                      <w:lang w:val="en-US" w:eastAsia="zh-CN"/>
                    </w:rPr>
                    <w:t>经</w:t>
                  </w:r>
                  <w:r>
                    <w:rPr>
                      <w:rFonts w:hint="eastAsia" w:cs="Times New Roman"/>
                      <w:color w:val="auto"/>
                      <w:sz w:val="21"/>
                      <w:szCs w:val="21"/>
                      <w:highlight w:val="none"/>
                      <w:lang w:val="en-US" w:eastAsia="zh-CN"/>
                    </w:rPr>
                    <w:t>厂区化粪池预处理后，排入市政</w:t>
                  </w:r>
                  <w:r>
                    <w:rPr>
                      <w:rFonts w:hint="default" w:ascii="Times New Roman" w:hAnsi="Times New Roman" w:eastAsia="宋体" w:cs="Times New Roman"/>
                      <w:color w:val="auto"/>
                      <w:sz w:val="21"/>
                      <w:szCs w:val="21"/>
                      <w:highlight w:val="none"/>
                      <w:lang w:val="en-US" w:eastAsia="zh-CN"/>
                    </w:rPr>
                    <w:t>污水管网</w:t>
                  </w:r>
                  <w:r>
                    <w:rPr>
                      <w:rFonts w:hint="eastAsia" w:cs="Times New Roman"/>
                      <w:color w:val="auto"/>
                      <w:sz w:val="21"/>
                      <w:szCs w:val="21"/>
                      <w:highlight w:val="none"/>
                      <w:lang w:val="en-US" w:eastAsia="zh-CN"/>
                    </w:rPr>
                    <w:t>。</w:t>
                  </w:r>
                </w:p>
              </w:tc>
              <w:tc>
                <w:tcPr>
                  <w:tcW w:w="412" w:type="pct"/>
                  <w:noWrap w:val="0"/>
                  <w:vAlign w:val="center"/>
                </w:tcPr>
                <w:p w14:paraId="012EBFDB">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2511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01" w:type="pct"/>
                  <w:vMerge w:val="continue"/>
                  <w:noWrap w:val="0"/>
                  <w:vAlign w:val="center"/>
                </w:tcPr>
                <w:p w14:paraId="13899EEB">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2212E904">
                  <w:pPr>
                    <w:pStyle w:val="77"/>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3612" w:type="pct"/>
                  <w:gridSpan w:val="2"/>
                  <w:noWrap w:val="0"/>
                  <w:vAlign w:val="center"/>
                </w:tcPr>
                <w:p w14:paraId="3D206C9C">
                  <w:pPr>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由园区电网</w:t>
                  </w:r>
                  <w:r>
                    <w:rPr>
                      <w:rFonts w:hint="eastAsia" w:ascii="Times New Roman" w:hAnsi="Times New Roman" w:eastAsia="宋体" w:cs="Times New Roman"/>
                      <w:color w:val="auto"/>
                      <w:sz w:val="21"/>
                      <w:szCs w:val="21"/>
                      <w:lang w:val="en-US" w:eastAsia="zh-CN"/>
                    </w:rPr>
                    <w:t>接入厂区变配电所，箱变容量为6000KVA。</w:t>
                  </w:r>
                </w:p>
              </w:tc>
              <w:tc>
                <w:tcPr>
                  <w:tcW w:w="412" w:type="pct"/>
                  <w:noWrap w:val="0"/>
                  <w:vAlign w:val="center"/>
                </w:tcPr>
                <w:p w14:paraId="620923E7">
                  <w:pPr>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依托</w:t>
                  </w:r>
                </w:p>
              </w:tc>
            </w:tr>
            <w:tr w14:paraId="53C5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1" w:type="pct"/>
                  <w:vMerge w:val="continue"/>
                  <w:noWrap w:val="0"/>
                  <w:vAlign w:val="center"/>
                </w:tcPr>
                <w:p w14:paraId="6B958532">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36B4D055">
                  <w:pPr>
                    <w:pStyle w:val="77"/>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供暖</w:t>
                  </w:r>
                  <w:r>
                    <w:rPr>
                      <w:rFonts w:hint="default" w:ascii="Times New Roman" w:hAnsi="Times New Roman" w:eastAsia="宋体" w:cs="Times New Roman"/>
                      <w:color w:val="auto"/>
                      <w:sz w:val="21"/>
                      <w:szCs w:val="21"/>
                      <w:lang w:val="en-US" w:eastAsia="zh-CN"/>
                    </w:rPr>
                    <w:t>及制冷</w:t>
                  </w:r>
                </w:p>
              </w:tc>
              <w:tc>
                <w:tcPr>
                  <w:tcW w:w="3612" w:type="pct"/>
                  <w:gridSpan w:val="2"/>
                  <w:noWrap w:val="0"/>
                  <w:vAlign w:val="center"/>
                </w:tcPr>
                <w:p w14:paraId="0B87168E">
                  <w:pPr>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中央空调一体式供暖、制冷</w:t>
                  </w:r>
                </w:p>
              </w:tc>
              <w:tc>
                <w:tcPr>
                  <w:tcW w:w="412" w:type="pct"/>
                  <w:noWrap w:val="0"/>
                  <w:vAlign w:val="center"/>
                </w:tcPr>
                <w:p w14:paraId="2E4E5883">
                  <w:pPr>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2460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01" w:type="pct"/>
                  <w:vMerge w:val="restart"/>
                  <w:noWrap w:val="0"/>
                  <w:vAlign w:val="center"/>
                </w:tcPr>
                <w:p w14:paraId="7595C326">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573" w:type="pct"/>
                  <w:vMerge w:val="restart"/>
                  <w:noWrap w:val="0"/>
                  <w:vAlign w:val="center"/>
                </w:tcPr>
                <w:p w14:paraId="08A891E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07" w:type="pct"/>
                  <w:shd w:val="clear" w:color="auto" w:fill="auto"/>
                  <w:noWrap w:val="0"/>
                  <w:vAlign w:val="center"/>
                </w:tcPr>
                <w:p w14:paraId="35202836">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注塑废气</w:t>
                  </w:r>
                </w:p>
              </w:tc>
              <w:tc>
                <w:tcPr>
                  <w:tcW w:w="2904" w:type="pct"/>
                  <w:shd w:val="clear" w:color="auto" w:fill="auto"/>
                  <w:noWrap w:val="0"/>
                  <w:vAlign w:val="center"/>
                </w:tcPr>
                <w:p w14:paraId="72EB21D0">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设置在</w:t>
                  </w:r>
                  <w:r>
                    <w:rPr>
                      <w:rFonts w:hint="eastAsia" w:cs="Times New Roman"/>
                      <w:color w:val="000000" w:themeColor="text1"/>
                      <w:sz w:val="21"/>
                      <w:szCs w:val="21"/>
                      <w:lang w:val="en-US" w:eastAsia="zh-CN"/>
                      <w14:textFill>
                        <w14:solidFill>
                          <w14:schemeClr w14:val="tx1"/>
                        </w14:solidFill>
                      </w14:textFill>
                    </w:rPr>
                    <w:t>1#厂房的1F注塑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密闭车间内，注塑成型工序</w:t>
                  </w:r>
                  <w:r>
                    <w:rPr>
                      <w:rFonts w:hint="default" w:ascii="Times New Roman" w:hAnsi="Times New Roman" w:eastAsia="宋体" w:cs="Times New Roman"/>
                      <w:color w:val="000000" w:themeColor="text1"/>
                      <w:sz w:val="21"/>
                      <w:szCs w:val="21"/>
                      <w14:textFill>
                        <w14:solidFill>
                          <w14:schemeClr w14:val="tx1"/>
                        </w14:solidFill>
                      </w14:textFill>
                    </w:rPr>
                    <w:t>产生的有机废气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经集气罩收集，二级活性炭吸附装置处理达标后由</w:t>
                  </w:r>
                  <w:r>
                    <w:rPr>
                      <w:rFonts w:hint="eastAsia" w:cs="Times New Roman"/>
                      <w:color w:val="000000" w:themeColor="text1"/>
                      <w:sz w:val="21"/>
                      <w:szCs w:val="21"/>
                      <w:lang w:val="en-US" w:eastAsia="zh-CN"/>
                      <w14:textFill>
                        <w14:solidFill>
                          <w14:schemeClr w14:val="tx1"/>
                        </w14:solidFill>
                      </w14:textFill>
                    </w:rPr>
                    <w:t>一根30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m高排气筒</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DA001</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w:t>
                  </w:r>
                  <w:r>
                    <w:rPr>
                      <w:rFonts w:hint="default" w:ascii="Times New Roman" w:hAnsi="Times New Roman" w:eastAsia="宋体" w:cs="Times New Roman"/>
                      <w:color w:val="000000" w:themeColor="text1"/>
                      <w:sz w:val="21"/>
                      <w:szCs w:val="21"/>
                      <w14:textFill>
                        <w14:solidFill>
                          <w14:schemeClr w14:val="tx1"/>
                        </w14:solidFill>
                      </w14:textFill>
                    </w:rPr>
                    <w:t>放</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12" w:type="pct"/>
                  <w:noWrap w:val="0"/>
                  <w:vAlign w:val="center"/>
                </w:tcPr>
                <w:p w14:paraId="0364DFA2">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3CB3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01" w:type="pct"/>
                  <w:vMerge w:val="continue"/>
                  <w:noWrap w:val="0"/>
                  <w:vAlign w:val="center"/>
                </w:tcPr>
                <w:p w14:paraId="26AA9A65">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C878A4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707" w:type="pct"/>
                  <w:shd w:val="clear" w:color="auto" w:fill="auto"/>
                  <w:noWrap w:val="0"/>
                  <w:vAlign w:val="center"/>
                </w:tcPr>
                <w:p w14:paraId="14A24DF9">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焊接废气</w:t>
                  </w:r>
                </w:p>
              </w:tc>
              <w:tc>
                <w:tcPr>
                  <w:tcW w:w="2904" w:type="pct"/>
                  <w:shd w:val="clear" w:color="auto" w:fill="auto"/>
                  <w:noWrap w:val="0"/>
                  <w:vAlign w:val="center"/>
                </w:tcPr>
                <w:p w14:paraId="1F0AA8D7">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1#厂房内3F的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每个焊接工位上设置一台集气罩，由管道收集至一套脉冲布袋除尘器处理，处理后由一根30m排气筒（DA002）排放。</w:t>
                  </w:r>
                </w:p>
              </w:tc>
              <w:tc>
                <w:tcPr>
                  <w:tcW w:w="412" w:type="pct"/>
                  <w:noWrap w:val="0"/>
                  <w:vAlign w:val="center"/>
                </w:tcPr>
                <w:p w14:paraId="4C643961">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62EB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01" w:type="pct"/>
                  <w:vMerge w:val="continue"/>
                  <w:noWrap w:val="0"/>
                  <w:vAlign w:val="center"/>
                </w:tcPr>
                <w:p w14:paraId="615C3C78">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0C86FA1C">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707" w:type="pct"/>
                  <w:shd w:val="clear" w:color="auto" w:fill="auto"/>
                  <w:noWrap w:val="0"/>
                  <w:vAlign w:val="center"/>
                </w:tcPr>
                <w:p w14:paraId="068E448B">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点胶固化废气</w:t>
                  </w:r>
                </w:p>
              </w:tc>
              <w:tc>
                <w:tcPr>
                  <w:tcW w:w="2904" w:type="pct"/>
                  <w:shd w:val="clear" w:color="auto" w:fill="auto"/>
                  <w:noWrap w:val="0"/>
                  <w:vAlign w:val="center"/>
                </w:tcPr>
                <w:p w14:paraId="221EB30D">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建设全封闭车间（1#厂房），全程在封闭车间内进行。</w:t>
                  </w:r>
                </w:p>
              </w:tc>
              <w:tc>
                <w:tcPr>
                  <w:tcW w:w="412" w:type="pct"/>
                  <w:noWrap w:val="0"/>
                  <w:vAlign w:val="center"/>
                </w:tcPr>
                <w:p w14:paraId="69B07F37">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新建</w:t>
                  </w:r>
                </w:p>
              </w:tc>
            </w:tr>
            <w:tr w14:paraId="4201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1" w:type="pct"/>
                  <w:vMerge w:val="continue"/>
                  <w:noWrap w:val="0"/>
                  <w:vAlign w:val="center"/>
                </w:tcPr>
                <w:p w14:paraId="624241D4">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2CCB591">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707" w:type="pct"/>
                  <w:shd w:val="clear" w:color="auto" w:fill="auto"/>
                  <w:noWrap w:val="0"/>
                  <w:vAlign w:val="center"/>
                </w:tcPr>
                <w:p w14:paraId="2B713EEE">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粉尘</w:t>
                  </w:r>
                </w:p>
              </w:tc>
              <w:tc>
                <w:tcPr>
                  <w:tcW w:w="2904" w:type="pct"/>
                  <w:shd w:val="clear" w:color="auto" w:fill="auto"/>
                  <w:noWrap w:val="0"/>
                  <w:vAlign w:val="center"/>
                </w:tcPr>
                <w:p w14:paraId="5D2C9EB4">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设置在1#厂房的1F粉碎间，粉碎过程为密闭状态，粉碎结束后随料斗盖的打开会有少量粉尘逸散，通过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加强车间机械通风</w:t>
                  </w:r>
                  <w:r>
                    <w:rPr>
                      <w:rFonts w:hint="eastAsia" w:cs="Times New Roman"/>
                      <w:color w:val="000000" w:themeColor="text1"/>
                      <w:sz w:val="21"/>
                      <w:szCs w:val="21"/>
                      <w:lang w:val="en-US" w:eastAsia="zh-CN"/>
                      <w14:textFill>
                        <w14:solidFill>
                          <w14:schemeClr w14:val="tx1"/>
                        </w14:solidFill>
                      </w14:textFill>
                    </w:rPr>
                    <w:t>，并定期清扫沉降在粉碎机周围的粉尘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12" w:type="pct"/>
                  <w:noWrap w:val="0"/>
                  <w:vAlign w:val="center"/>
                </w:tcPr>
                <w:p w14:paraId="145C7F5E">
                  <w:pPr>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1ADC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01" w:type="pct"/>
                  <w:vMerge w:val="continue"/>
                  <w:noWrap w:val="0"/>
                  <w:vAlign w:val="center"/>
                </w:tcPr>
                <w:p w14:paraId="22B07DF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restart"/>
                  <w:noWrap w:val="0"/>
                  <w:vAlign w:val="center"/>
                </w:tcPr>
                <w:p w14:paraId="1BBD7BE8">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07" w:type="pct"/>
                  <w:vMerge w:val="restart"/>
                  <w:shd w:val="clear" w:color="auto" w:fill="auto"/>
                  <w:noWrap w:val="0"/>
                  <w:vAlign w:val="center"/>
                </w:tcPr>
                <w:p w14:paraId="6398C3C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生产废水</w:t>
                  </w:r>
                </w:p>
              </w:tc>
              <w:tc>
                <w:tcPr>
                  <w:tcW w:w="2904" w:type="pct"/>
                  <w:shd w:val="clear" w:color="auto" w:fill="auto"/>
                  <w:noWrap w:val="0"/>
                  <w:vAlign w:val="center"/>
                </w:tcPr>
                <w:p w14:paraId="5CB5258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FF0000"/>
                      <w:kern w:val="2"/>
                      <w:sz w:val="21"/>
                      <w:szCs w:val="21"/>
                      <w:highlight w:val="none"/>
                      <w:lang w:val="en-US" w:eastAsia="zh-CN" w:bidi="ar-SA"/>
                    </w:rPr>
                    <w:t>生产废水经</w:t>
                  </w:r>
                  <w:r>
                    <w:rPr>
                      <w:rFonts w:hint="eastAsia" w:ascii="Times New Roman" w:hAnsi="Times New Roman" w:eastAsia="宋体" w:cs="Times New Roman"/>
                      <w:b w:val="0"/>
                      <w:bCs w:val="0"/>
                      <w:color w:val="FF0000"/>
                      <w:kern w:val="2"/>
                      <w:sz w:val="21"/>
                      <w:szCs w:val="21"/>
                      <w:highlight w:val="none"/>
                      <w:lang w:val="en-US" w:eastAsia="zh-CN" w:bidi="ar-SA"/>
                    </w:rPr>
                    <w:t>厂区</w:t>
                  </w:r>
                  <w:r>
                    <w:rPr>
                      <w:rFonts w:hint="eastAsia" w:cs="Times New Roman"/>
                      <w:b w:val="0"/>
                      <w:bCs w:val="0"/>
                      <w:color w:val="FF0000"/>
                      <w:kern w:val="2"/>
                      <w:sz w:val="21"/>
                      <w:szCs w:val="21"/>
                      <w:highlight w:val="none"/>
                      <w:lang w:val="en-US" w:eastAsia="zh-CN" w:bidi="ar-SA"/>
                    </w:rPr>
                    <w:t>污水</w:t>
                  </w:r>
                  <w:r>
                    <w:rPr>
                      <w:rFonts w:hint="eastAsia" w:ascii="Times New Roman" w:hAnsi="Times New Roman" w:eastAsia="宋体" w:cs="Times New Roman"/>
                      <w:b w:val="0"/>
                      <w:bCs w:val="0"/>
                      <w:color w:val="FF0000"/>
                      <w:kern w:val="2"/>
                      <w:sz w:val="21"/>
                      <w:szCs w:val="21"/>
                      <w:highlight w:val="none"/>
                      <w:lang w:val="en-US" w:eastAsia="zh-CN" w:bidi="ar-SA"/>
                    </w:rPr>
                    <w:t>处理站处理后，排入市政</w:t>
                  </w:r>
                  <w:r>
                    <w:rPr>
                      <w:rFonts w:hint="default" w:ascii="Times New Roman" w:hAnsi="Times New Roman" w:eastAsia="宋体" w:cs="Times New Roman"/>
                      <w:b w:val="0"/>
                      <w:bCs w:val="0"/>
                      <w:color w:val="FF0000"/>
                      <w:kern w:val="2"/>
                      <w:sz w:val="21"/>
                      <w:szCs w:val="21"/>
                      <w:highlight w:val="none"/>
                      <w:lang w:val="en-US" w:eastAsia="zh-CN" w:bidi="ar-SA"/>
                    </w:rPr>
                    <w:t>污水管网</w:t>
                  </w:r>
                  <w:r>
                    <w:rPr>
                      <w:rFonts w:hint="eastAsia" w:ascii="Times New Roman" w:hAnsi="Times New Roman" w:eastAsia="宋体" w:cs="Times New Roman"/>
                      <w:b w:val="0"/>
                      <w:bCs w:val="0"/>
                      <w:color w:val="FF0000"/>
                      <w:kern w:val="2"/>
                      <w:sz w:val="21"/>
                      <w:szCs w:val="21"/>
                      <w:highlight w:val="none"/>
                      <w:lang w:val="en-US" w:eastAsia="zh-CN" w:bidi="ar-SA"/>
                    </w:rPr>
                    <w:t>，</w:t>
                  </w:r>
                  <w:r>
                    <w:rPr>
                      <w:rFonts w:hint="eastAsia" w:cs="Times New Roman"/>
                      <w:b w:val="0"/>
                      <w:bCs w:val="0"/>
                      <w:color w:val="FF0000"/>
                      <w:kern w:val="2"/>
                      <w:sz w:val="21"/>
                      <w:szCs w:val="21"/>
                      <w:highlight w:val="none"/>
                      <w:lang w:val="en-US" w:eastAsia="zh-CN" w:bidi="ar-SA"/>
                    </w:rPr>
                    <w:t>进入</w:t>
                  </w:r>
                  <w:r>
                    <w:rPr>
                      <w:rFonts w:hint="eastAsia" w:ascii="Times New Roman" w:hAnsi="Times New Roman" w:eastAsia="宋体" w:cs="Times New Roman"/>
                      <w:b w:val="0"/>
                      <w:bCs w:val="0"/>
                      <w:color w:val="FF0000"/>
                      <w:kern w:val="2"/>
                      <w:sz w:val="21"/>
                      <w:szCs w:val="21"/>
                      <w:highlight w:val="none"/>
                      <w:lang w:val="en-US" w:eastAsia="zh-CN" w:bidi="ar-SA"/>
                    </w:rPr>
                    <w:t>安康市建民污水处理厂处理</w:t>
                  </w:r>
                  <w:r>
                    <w:rPr>
                      <w:rFonts w:hint="eastAsia" w:cs="Times New Roman"/>
                      <w:b w:val="0"/>
                      <w:bCs w:val="0"/>
                      <w:color w:val="FF0000"/>
                      <w:kern w:val="2"/>
                      <w:sz w:val="21"/>
                      <w:szCs w:val="21"/>
                      <w:highlight w:val="none"/>
                      <w:lang w:val="en-US" w:eastAsia="zh-CN" w:bidi="ar-SA"/>
                    </w:rPr>
                    <w:t>后排放</w:t>
                  </w:r>
                  <w:r>
                    <w:rPr>
                      <w:rFonts w:hint="eastAsia" w:ascii="Times New Roman" w:hAnsi="Times New Roman" w:eastAsia="宋体" w:cs="Times New Roman"/>
                      <w:b w:val="0"/>
                      <w:bCs w:val="0"/>
                      <w:color w:val="FF0000"/>
                      <w:kern w:val="2"/>
                      <w:sz w:val="21"/>
                      <w:szCs w:val="21"/>
                      <w:highlight w:val="none"/>
                      <w:lang w:val="en-US" w:eastAsia="zh-CN" w:bidi="ar-SA"/>
                    </w:rPr>
                    <w:t>。</w:t>
                  </w:r>
                  <w:r>
                    <w:rPr>
                      <w:rFonts w:hint="eastAsia" w:cs="Times New Roman"/>
                      <w:color w:val="FF0000"/>
                      <w:sz w:val="21"/>
                      <w:szCs w:val="21"/>
                      <w:highlight w:val="none"/>
                      <w:lang w:val="en-US" w:eastAsia="zh-CN"/>
                    </w:rPr>
                    <w:t>污水处理站布设在厂区西侧，设计处理能力为2m</w:t>
                  </w:r>
                  <w:r>
                    <w:rPr>
                      <w:rFonts w:hint="eastAsia" w:cs="Times New Roman"/>
                      <w:color w:val="FF0000"/>
                      <w:sz w:val="21"/>
                      <w:szCs w:val="21"/>
                      <w:highlight w:val="none"/>
                      <w:vertAlign w:val="superscript"/>
                      <w:lang w:val="en-US" w:eastAsia="zh-CN"/>
                    </w:rPr>
                    <w:t>3</w:t>
                  </w:r>
                  <w:r>
                    <w:rPr>
                      <w:rFonts w:hint="eastAsia" w:cs="Times New Roman"/>
                      <w:color w:val="FF0000"/>
                      <w:sz w:val="21"/>
                      <w:szCs w:val="21"/>
                      <w:highlight w:val="none"/>
                      <w:lang w:val="en-US" w:eastAsia="zh-CN"/>
                    </w:rPr>
                    <w:t>/d，采用“沉淀+中和+隔油+沉淀”工艺进行处理。</w:t>
                  </w:r>
                </w:p>
              </w:tc>
              <w:tc>
                <w:tcPr>
                  <w:tcW w:w="412" w:type="pct"/>
                  <w:vMerge w:val="restart"/>
                  <w:noWrap w:val="0"/>
                  <w:vAlign w:val="center"/>
                </w:tcPr>
                <w:p w14:paraId="6A25F373">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67AE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01" w:type="pct"/>
                  <w:vMerge w:val="continue"/>
                  <w:noWrap w:val="0"/>
                  <w:vAlign w:val="center"/>
                </w:tcPr>
                <w:p w14:paraId="461A5C9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rPr>
                  </w:pPr>
                </w:p>
              </w:tc>
              <w:tc>
                <w:tcPr>
                  <w:tcW w:w="573" w:type="pct"/>
                  <w:vMerge w:val="continue"/>
                  <w:noWrap w:val="0"/>
                  <w:vAlign w:val="center"/>
                </w:tcPr>
                <w:p w14:paraId="7D015F1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rPr>
                  </w:pPr>
                </w:p>
              </w:tc>
              <w:tc>
                <w:tcPr>
                  <w:tcW w:w="707" w:type="pct"/>
                  <w:vMerge w:val="continue"/>
                  <w:shd w:val="clear" w:color="auto" w:fill="auto"/>
                  <w:noWrap w:val="0"/>
                  <w:vAlign w:val="center"/>
                </w:tcPr>
                <w:p w14:paraId="0E6EB99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rPr>
                  </w:pPr>
                </w:p>
              </w:tc>
              <w:tc>
                <w:tcPr>
                  <w:tcW w:w="2904" w:type="pct"/>
                  <w:shd w:val="clear" w:color="auto" w:fill="auto"/>
                  <w:noWrap w:val="0"/>
                  <w:vAlign w:val="center"/>
                </w:tcPr>
                <w:p w14:paraId="2B66168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FF"/>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纯水制备产生的浓水，为清净下水，经污水管网进入市政污水管网，由安康市建民污水处理厂处理后排放。</w:t>
                  </w:r>
                </w:p>
              </w:tc>
              <w:tc>
                <w:tcPr>
                  <w:tcW w:w="412" w:type="pct"/>
                  <w:vMerge w:val="continue"/>
                  <w:noWrap w:val="0"/>
                  <w:vAlign w:val="center"/>
                </w:tcPr>
                <w:p w14:paraId="4CFD8FC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FF"/>
                      <w:kern w:val="2"/>
                      <w:sz w:val="21"/>
                      <w:szCs w:val="21"/>
                      <w:highlight w:val="none"/>
                      <w:lang w:val="en-US" w:eastAsia="zh-CN" w:bidi="ar-SA"/>
                    </w:rPr>
                  </w:pPr>
                </w:p>
              </w:tc>
            </w:tr>
            <w:tr w14:paraId="66D4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01" w:type="pct"/>
                  <w:vMerge w:val="continue"/>
                  <w:noWrap w:val="0"/>
                  <w:vAlign w:val="center"/>
                </w:tcPr>
                <w:p w14:paraId="0228A4C2">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459A00E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shd w:val="clear" w:color="auto" w:fill="auto"/>
                  <w:noWrap w:val="0"/>
                  <w:vAlign w:val="center"/>
                </w:tcPr>
                <w:p w14:paraId="33678B7A">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2904" w:type="pct"/>
                  <w:shd w:val="clear" w:color="auto" w:fill="auto"/>
                  <w:noWrap w:val="0"/>
                  <w:vAlign w:val="center"/>
                </w:tcPr>
                <w:p w14:paraId="752A8A87">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生活污水经</w:t>
                  </w:r>
                  <w:r>
                    <w:rPr>
                      <w:rFonts w:hint="eastAsia" w:cs="Times New Roman"/>
                      <w:color w:val="auto"/>
                      <w:sz w:val="21"/>
                      <w:szCs w:val="21"/>
                      <w:highlight w:val="none"/>
                      <w:lang w:val="en-US" w:eastAsia="zh-CN"/>
                    </w:rPr>
                    <w:t>厂区化粪池预处理后，排入市政</w:t>
                  </w:r>
                  <w:r>
                    <w:rPr>
                      <w:rFonts w:hint="default" w:ascii="Times New Roman" w:hAnsi="Times New Roman" w:eastAsia="宋体" w:cs="Times New Roman"/>
                      <w:color w:val="auto"/>
                      <w:sz w:val="21"/>
                      <w:szCs w:val="21"/>
                      <w:highlight w:val="none"/>
                      <w:lang w:val="en-US" w:eastAsia="zh-CN"/>
                    </w:rPr>
                    <w:t>污水管网</w:t>
                  </w:r>
                  <w:r>
                    <w:rPr>
                      <w:rFonts w:hint="eastAsia" w:cs="Times New Roman"/>
                      <w:color w:val="auto"/>
                      <w:sz w:val="21"/>
                      <w:szCs w:val="21"/>
                      <w:highlight w:val="none"/>
                      <w:lang w:val="en-US" w:eastAsia="zh-CN"/>
                    </w:rPr>
                    <w:t>，</w:t>
                  </w:r>
                  <w:r>
                    <w:rPr>
                      <w:rFonts w:hint="eastAsia" w:cs="Times New Roman"/>
                      <w:color w:val="FF0000"/>
                      <w:sz w:val="21"/>
                      <w:szCs w:val="21"/>
                      <w:highlight w:val="none"/>
                      <w:lang w:val="en-US" w:eastAsia="zh-CN"/>
                    </w:rPr>
                    <w:t>进入安康市建民污水处理厂处理后排放</w:t>
                  </w:r>
                  <w:r>
                    <w:rPr>
                      <w:rFonts w:hint="eastAsia" w:cs="Times New Roman"/>
                      <w:color w:val="auto"/>
                      <w:sz w:val="21"/>
                      <w:szCs w:val="21"/>
                      <w:highlight w:val="none"/>
                      <w:lang w:val="en-US" w:eastAsia="zh-CN"/>
                    </w:rPr>
                    <w:t>。建设一座化粪池，容积为200m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412" w:type="pct"/>
                  <w:noWrap w:val="0"/>
                  <w:vAlign w:val="center"/>
                </w:tcPr>
                <w:p w14:paraId="3CE3043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6371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01" w:type="pct"/>
                  <w:vMerge w:val="continue"/>
                  <w:noWrap w:val="0"/>
                  <w:vAlign w:val="center"/>
                </w:tcPr>
                <w:p w14:paraId="72BF986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noWrap w:val="0"/>
                  <w:vAlign w:val="center"/>
                </w:tcPr>
                <w:p w14:paraId="39870CB1">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612" w:type="pct"/>
                  <w:gridSpan w:val="2"/>
                  <w:noWrap w:val="0"/>
                  <w:vAlign w:val="center"/>
                </w:tcPr>
                <w:p w14:paraId="209F367A">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通过选取低噪声设备、基础减振、软连接、消声、厂房隔声等降噪措施减少噪声污染。</w:t>
                  </w:r>
                </w:p>
              </w:tc>
              <w:tc>
                <w:tcPr>
                  <w:tcW w:w="412" w:type="pct"/>
                  <w:noWrap w:val="0"/>
                  <w:vAlign w:val="center"/>
                </w:tcPr>
                <w:p w14:paraId="7854A4C6">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006A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1" w:type="pct"/>
                  <w:vMerge w:val="continue"/>
                  <w:noWrap w:val="0"/>
                  <w:vAlign w:val="center"/>
                </w:tcPr>
                <w:p w14:paraId="3D58EFC2">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73" w:type="pct"/>
                  <w:vMerge w:val="restart"/>
                  <w:noWrap w:val="0"/>
                  <w:vAlign w:val="center"/>
                </w:tcPr>
                <w:p w14:paraId="2A5B1A6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p w14:paraId="698D07F8">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707" w:type="pct"/>
                  <w:noWrap w:val="0"/>
                  <w:vAlign w:val="center"/>
                </w:tcPr>
                <w:p w14:paraId="393184A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2904" w:type="pct"/>
                  <w:noWrap w:val="0"/>
                  <w:vAlign w:val="center"/>
                </w:tcPr>
                <w:p w14:paraId="73854771">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pacing w:val="-6"/>
                      <w:sz w:val="21"/>
                      <w:szCs w:val="21"/>
                      <w:lang w:val="en-US" w:eastAsia="zh-CN"/>
                    </w:rPr>
                  </w:pPr>
                  <w:r>
                    <w:rPr>
                      <w:rFonts w:hint="default" w:ascii="Times New Roman" w:hAnsi="Times New Roman" w:eastAsia="宋体" w:cs="Times New Roman"/>
                      <w:bCs/>
                      <w:color w:val="auto"/>
                      <w:spacing w:val="-6"/>
                      <w:sz w:val="21"/>
                      <w:szCs w:val="21"/>
                      <w:lang w:val="en-US" w:eastAsia="zh-CN"/>
                    </w:rPr>
                    <w:t>垃圾桶收集，</w:t>
                  </w:r>
                  <w:r>
                    <w:rPr>
                      <w:rFonts w:hint="eastAsia" w:ascii="Times New Roman" w:hAnsi="Times New Roman" w:eastAsia="宋体" w:cs="Times New Roman"/>
                      <w:color w:val="auto"/>
                      <w:sz w:val="21"/>
                      <w:szCs w:val="21"/>
                      <w:highlight w:val="none"/>
                      <w:lang w:val="en-US" w:eastAsia="zh-CN"/>
                    </w:rPr>
                    <w:t>分类收集</w:t>
                  </w:r>
                  <w:r>
                    <w:rPr>
                      <w:rFonts w:hint="eastAsia" w:cs="Times New Roman"/>
                      <w:color w:val="auto"/>
                      <w:sz w:val="21"/>
                      <w:szCs w:val="21"/>
                      <w:highlight w:val="none"/>
                      <w:lang w:val="en-US" w:eastAsia="zh-CN"/>
                    </w:rPr>
                    <w:t>后由环卫部门统一处理</w:t>
                  </w:r>
                  <w:r>
                    <w:rPr>
                      <w:rFonts w:hint="default" w:ascii="Times New Roman" w:hAnsi="Times New Roman" w:eastAsia="宋体" w:cs="Times New Roman"/>
                      <w:bCs/>
                      <w:color w:val="auto"/>
                      <w:spacing w:val="-6"/>
                      <w:sz w:val="21"/>
                      <w:szCs w:val="21"/>
                      <w:lang w:val="en-US" w:eastAsia="zh-CN"/>
                    </w:rPr>
                    <w:t>。</w:t>
                  </w:r>
                </w:p>
              </w:tc>
              <w:tc>
                <w:tcPr>
                  <w:tcW w:w="412" w:type="pct"/>
                  <w:noWrap w:val="0"/>
                  <w:vAlign w:val="center"/>
                </w:tcPr>
                <w:p w14:paraId="36E0C89E">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pacing w:val="-6"/>
                      <w:sz w:val="21"/>
                      <w:szCs w:val="21"/>
                      <w:lang w:val="en-US" w:eastAsia="zh-CN"/>
                    </w:rPr>
                  </w:pPr>
                  <w:r>
                    <w:rPr>
                      <w:rFonts w:hint="eastAsia" w:ascii="Times New Roman" w:hAnsi="Times New Roman" w:eastAsia="宋体" w:cs="Times New Roman"/>
                      <w:bCs/>
                      <w:color w:val="auto"/>
                      <w:spacing w:val="-6"/>
                      <w:sz w:val="21"/>
                      <w:szCs w:val="21"/>
                      <w:lang w:val="en-US" w:eastAsia="zh-CN"/>
                    </w:rPr>
                    <w:t>/</w:t>
                  </w:r>
                </w:p>
              </w:tc>
            </w:tr>
            <w:tr w14:paraId="394D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vMerge w:val="continue"/>
                  <w:noWrap w:val="0"/>
                  <w:vAlign w:val="center"/>
                </w:tcPr>
                <w:p w14:paraId="131A127E">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0F52CE3">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12B3E883">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塑料残次品</w:t>
                  </w:r>
                </w:p>
              </w:tc>
              <w:tc>
                <w:tcPr>
                  <w:tcW w:w="2904" w:type="pct"/>
                  <w:noWrap w:val="0"/>
                  <w:vAlign w:val="center"/>
                </w:tcPr>
                <w:p w14:paraId="71CF00BC">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注塑工段产生的塑料残次品，统一收集后粉碎处理，混入原料回收利用；</w:t>
                  </w:r>
                </w:p>
              </w:tc>
              <w:tc>
                <w:tcPr>
                  <w:tcW w:w="412" w:type="pct"/>
                  <w:noWrap w:val="0"/>
                  <w:vAlign w:val="center"/>
                </w:tcPr>
                <w:p w14:paraId="6B849292">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676D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vMerge w:val="continue"/>
                  <w:noWrap w:val="0"/>
                  <w:vAlign w:val="center"/>
                </w:tcPr>
                <w:p w14:paraId="18C4EADA">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90B63F6">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10D4D9F8">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废边角料</w:t>
                  </w:r>
                </w:p>
              </w:tc>
              <w:tc>
                <w:tcPr>
                  <w:tcW w:w="2904" w:type="pct"/>
                  <w:noWrap w:val="0"/>
                  <w:vAlign w:val="center"/>
                </w:tcPr>
                <w:p w14:paraId="3AE27387">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钢材冲压成型过程中的废边角料，统一收集外售废品回收部门综合利用</w:t>
                  </w:r>
                </w:p>
              </w:tc>
              <w:tc>
                <w:tcPr>
                  <w:tcW w:w="412" w:type="pct"/>
                  <w:noWrap w:val="0"/>
                  <w:vAlign w:val="center"/>
                </w:tcPr>
                <w:p w14:paraId="30BEFB7F">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1025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vMerge w:val="continue"/>
                  <w:noWrap w:val="0"/>
                  <w:vAlign w:val="center"/>
                </w:tcPr>
                <w:p w14:paraId="1851EBC5">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2CFBDFC1">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58EDB14F">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废漆包线</w:t>
                  </w:r>
                </w:p>
              </w:tc>
              <w:tc>
                <w:tcPr>
                  <w:tcW w:w="2904" w:type="pct"/>
                  <w:noWrap w:val="0"/>
                  <w:vAlign w:val="center"/>
                </w:tcPr>
                <w:p w14:paraId="5DE1E71A">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绕线工段会产生</w:t>
                  </w:r>
                  <w:r>
                    <w:rPr>
                      <w:rFonts w:hint="eastAsia" w:cs="Times New Roman"/>
                      <w:color w:val="auto"/>
                      <w:sz w:val="21"/>
                      <w:szCs w:val="21"/>
                      <w:lang w:val="en-US" w:eastAsia="zh-CN"/>
                    </w:rPr>
                    <w:t>的废漆包线，统一收集后交由漆包线生产厂家回收利用。</w:t>
                  </w:r>
                </w:p>
              </w:tc>
              <w:tc>
                <w:tcPr>
                  <w:tcW w:w="412" w:type="pct"/>
                  <w:noWrap w:val="0"/>
                  <w:vAlign w:val="center"/>
                </w:tcPr>
                <w:p w14:paraId="68854FE8">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4BC8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vMerge w:val="continue"/>
                  <w:noWrap w:val="0"/>
                  <w:vAlign w:val="center"/>
                </w:tcPr>
                <w:p w14:paraId="67381C5F">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21C5E602">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4808EE0F">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废包装材料</w:t>
                  </w:r>
                </w:p>
              </w:tc>
              <w:tc>
                <w:tcPr>
                  <w:tcW w:w="2904" w:type="pct"/>
                  <w:noWrap w:val="0"/>
                  <w:vAlign w:val="center"/>
                </w:tcPr>
                <w:p w14:paraId="0561B4FF">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lang w:val="en-US" w:eastAsia="zh-CN"/>
                    </w:rPr>
                    <w:t>产品包装过程产生的废包装材料，分类收集，可资源利用的外售至废品回收部门，不可回收的集中收集交由环卫部门清运处置</w:t>
                  </w:r>
                </w:p>
              </w:tc>
              <w:tc>
                <w:tcPr>
                  <w:tcW w:w="412" w:type="pct"/>
                  <w:noWrap w:val="0"/>
                  <w:vAlign w:val="center"/>
                </w:tcPr>
                <w:p w14:paraId="1ED90A0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224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vMerge w:val="continue"/>
                  <w:noWrap w:val="0"/>
                  <w:vAlign w:val="center"/>
                </w:tcPr>
                <w:p w14:paraId="2F0E72A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3A419BE1">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2A6E6D4A">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除尘灰</w:t>
                  </w:r>
                </w:p>
              </w:tc>
              <w:tc>
                <w:tcPr>
                  <w:tcW w:w="2904" w:type="pct"/>
                  <w:noWrap w:val="0"/>
                  <w:vAlign w:val="center"/>
                </w:tcPr>
                <w:p w14:paraId="36A53327">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废气治理过程中产生的除尘灰，统一收集后交由固废处置单位处置。</w:t>
                  </w:r>
                </w:p>
              </w:tc>
              <w:tc>
                <w:tcPr>
                  <w:tcW w:w="412" w:type="pct"/>
                  <w:noWrap w:val="0"/>
                  <w:vAlign w:val="center"/>
                </w:tcPr>
                <w:p w14:paraId="07E839D7">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1726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vMerge w:val="continue"/>
                  <w:noWrap w:val="0"/>
                  <w:vAlign w:val="center"/>
                </w:tcPr>
                <w:p w14:paraId="2D73D24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73647D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123420EF">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纯水制备设备更换的废活性炭</w:t>
                  </w:r>
                </w:p>
              </w:tc>
              <w:tc>
                <w:tcPr>
                  <w:tcW w:w="2904" w:type="pct"/>
                  <w:noWrap w:val="0"/>
                  <w:vAlign w:val="center"/>
                </w:tcPr>
                <w:p w14:paraId="3740644C">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纯水制备设备定期更换的废活性炭，交由纯水制备设备厂家回收处置。</w:t>
                  </w:r>
                </w:p>
              </w:tc>
              <w:tc>
                <w:tcPr>
                  <w:tcW w:w="412" w:type="pct"/>
                  <w:noWrap w:val="0"/>
                  <w:vAlign w:val="center"/>
                </w:tcPr>
                <w:p w14:paraId="28A9F27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5F8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vMerge w:val="continue"/>
                  <w:noWrap w:val="0"/>
                  <w:vAlign w:val="center"/>
                </w:tcPr>
                <w:p w14:paraId="644BA00F">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74C5F6A3">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0A7FA2D6">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0000FF"/>
                      <w:sz w:val="21"/>
                      <w:szCs w:val="21"/>
                      <w:lang w:val="en-US" w:eastAsia="zh-CN"/>
                    </w:rPr>
                  </w:pPr>
                  <w:r>
                    <w:rPr>
                      <w:rFonts w:hint="eastAsia" w:cs="Times New Roman"/>
                      <w:color w:val="FF0000"/>
                      <w:sz w:val="21"/>
                      <w:szCs w:val="21"/>
                      <w:lang w:val="en-US" w:eastAsia="zh-CN"/>
                    </w:rPr>
                    <w:t>制氮机组产生的废滤筒（含滤布）、碳分子筛</w:t>
                  </w:r>
                </w:p>
              </w:tc>
              <w:tc>
                <w:tcPr>
                  <w:tcW w:w="2904" w:type="pct"/>
                  <w:noWrap w:val="0"/>
                  <w:vAlign w:val="center"/>
                </w:tcPr>
                <w:p w14:paraId="3E7F3561">
                  <w:pPr>
                    <w:keepNext w:val="0"/>
                    <w:keepLines w:val="0"/>
                    <w:pageBreakBefore w:val="0"/>
                    <w:widowControl w:val="0"/>
                    <w:suppressLineNumbers w:val="0"/>
                    <w:tabs>
                      <w:tab w:val="left" w:pos="3714"/>
                    </w:tabs>
                    <w:kinsoku/>
                    <w:wordWrap/>
                    <w:overflowPunct/>
                    <w:topLinePunct w:val="0"/>
                    <w:bidi w:val="0"/>
                    <w:adjustRightInd w:val="0"/>
                    <w:snapToGrid w:val="0"/>
                    <w:spacing w:before="0" w:beforeAutospacing="0" w:after="0" w:afterAutospacing="0" w:line="360" w:lineRule="auto"/>
                    <w:ind w:left="0" w:right="0" w:firstLine="420" w:firstLineChars="200"/>
                    <w:jc w:val="left"/>
                    <w:textAlignment w:val="auto"/>
                    <w:rPr>
                      <w:rFonts w:hint="eastAsia" w:cs="Times New Roman"/>
                      <w:color w:val="0000FF"/>
                      <w:sz w:val="21"/>
                      <w:szCs w:val="21"/>
                      <w:lang w:val="en-US" w:eastAsia="zh-CN"/>
                    </w:rPr>
                  </w:pPr>
                  <w:r>
                    <w:rPr>
                      <w:rFonts w:hint="eastAsia"/>
                      <w:bCs/>
                      <w:color w:val="FF0000"/>
                      <w:sz w:val="21"/>
                      <w:szCs w:val="21"/>
                      <w:highlight w:val="none"/>
                      <w:lang w:val="en-US" w:eastAsia="zh-CN"/>
                    </w:rPr>
                    <w:t>集中收集，</w:t>
                  </w:r>
                  <w:r>
                    <w:rPr>
                      <w:rFonts w:hint="eastAsia" w:ascii="Times New Roman" w:hAnsi="Times New Roman"/>
                      <w:bCs/>
                      <w:color w:val="FF0000"/>
                      <w:sz w:val="21"/>
                      <w:szCs w:val="21"/>
                      <w:highlight w:val="none"/>
                      <w:lang w:eastAsia="zh-CN"/>
                    </w:rPr>
                    <w:t>定期交业内回收单位回收利用。</w:t>
                  </w:r>
                </w:p>
              </w:tc>
              <w:tc>
                <w:tcPr>
                  <w:tcW w:w="412" w:type="pct"/>
                  <w:noWrap w:val="0"/>
                  <w:vAlign w:val="center"/>
                </w:tcPr>
                <w:p w14:paraId="28471696">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cs="Times New Roman"/>
                      <w:color w:val="0000FF"/>
                      <w:sz w:val="21"/>
                      <w:szCs w:val="21"/>
                      <w:lang w:val="en-US" w:eastAsia="zh-CN"/>
                    </w:rPr>
                  </w:pPr>
                  <w:r>
                    <w:rPr>
                      <w:rFonts w:hint="eastAsia" w:cs="Times New Roman"/>
                      <w:color w:val="0000FF"/>
                      <w:sz w:val="21"/>
                      <w:szCs w:val="21"/>
                      <w:lang w:val="en-US" w:eastAsia="zh-CN"/>
                    </w:rPr>
                    <w:t>/</w:t>
                  </w:r>
                </w:p>
              </w:tc>
            </w:tr>
            <w:tr w14:paraId="755D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1" w:type="pct"/>
                  <w:vMerge w:val="continue"/>
                  <w:noWrap w:val="0"/>
                  <w:vAlign w:val="center"/>
                </w:tcPr>
                <w:p w14:paraId="0747B15C">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vMerge w:val="continue"/>
                  <w:noWrap w:val="0"/>
                  <w:vAlign w:val="center"/>
                </w:tcPr>
                <w:p w14:paraId="0749769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07" w:type="pct"/>
                  <w:noWrap w:val="0"/>
                  <w:vAlign w:val="center"/>
                </w:tcPr>
                <w:p w14:paraId="2C77E087">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2904" w:type="pct"/>
                  <w:noWrap w:val="0"/>
                  <w:vAlign w:val="center"/>
                </w:tcPr>
                <w:p w14:paraId="405E0182">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原辅料润滑油，胶水的废包装桶，有机废气处置设施中的废活性炭，</w:t>
                  </w:r>
                  <w:r>
                    <w:rPr>
                      <w:rFonts w:hint="eastAsia" w:cs="Times New Roman"/>
                      <w:color w:val="FF0000"/>
                      <w:sz w:val="21"/>
                      <w:szCs w:val="21"/>
                      <w:highlight w:val="none"/>
                      <w:lang w:val="en-US" w:eastAsia="zh-CN"/>
                    </w:rPr>
                    <w:t>设备维护产生的废润滑油、废润滑油桶、废含油棉纱及手套，污水处理站污泥</w:t>
                  </w:r>
                  <w:r>
                    <w:rPr>
                      <w:rFonts w:hint="eastAsia" w:cs="Times New Roman"/>
                      <w:color w:val="auto"/>
                      <w:sz w:val="21"/>
                      <w:szCs w:val="21"/>
                      <w:highlight w:val="none"/>
                      <w:lang w:val="en-US" w:eastAsia="zh-CN"/>
                    </w:rPr>
                    <w:t>分类收集于危险废物贮存库。</w:t>
                  </w:r>
                  <w:r>
                    <w:rPr>
                      <w:rFonts w:hint="default" w:ascii="Times New Roman" w:hAnsi="Times New Roman" w:eastAsia="宋体" w:cs="Times New Roman"/>
                      <w:color w:val="auto"/>
                      <w:sz w:val="21"/>
                      <w:szCs w:val="21"/>
                      <w:highlight w:val="none"/>
                      <w:lang w:val="en-US" w:eastAsia="zh-CN"/>
                    </w:rPr>
                    <w:t>危险废物</w:t>
                  </w:r>
                  <w:r>
                    <w:rPr>
                      <w:rFonts w:hint="eastAsia" w:ascii="Times New Roman" w:hAnsi="Times New Roman" w:eastAsia="宋体" w:cs="Times New Roman"/>
                      <w:color w:val="auto"/>
                      <w:sz w:val="21"/>
                      <w:szCs w:val="21"/>
                      <w:highlight w:val="none"/>
                      <w:lang w:val="en-US" w:eastAsia="zh-CN"/>
                    </w:rPr>
                    <w:t>贮存库</w:t>
                  </w:r>
                  <w:r>
                    <w:rPr>
                      <w:rFonts w:hint="eastAsia" w:cs="Times New Roman"/>
                      <w:color w:val="auto"/>
                      <w:sz w:val="21"/>
                      <w:szCs w:val="21"/>
                      <w:highlight w:val="none"/>
                      <w:lang w:val="en-US" w:eastAsia="zh-CN"/>
                    </w:rPr>
                    <w:t>面积为20m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，布设在厂区东北角。</w:t>
                  </w:r>
                </w:p>
              </w:tc>
              <w:tc>
                <w:tcPr>
                  <w:tcW w:w="412" w:type="pct"/>
                  <w:noWrap w:val="0"/>
                  <w:vAlign w:val="center"/>
                </w:tcPr>
                <w:p w14:paraId="00F4AF8F">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3CCF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1" w:type="pct"/>
                  <w:vMerge w:val="continue"/>
                  <w:noWrap w:val="0"/>
                  <w:vAlign w:val="center"/>
                </w:tcPr>
                <w:p w14:paraId="2D1A8F2D">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73" w:type="pct"/>
                  <w:noWrap w:val="0"/>
                  <w:vAlign w:val="center"/>
                </w:tcPr>
                <w:p w14:paraId="43AA85C7">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w:t>
                  </w:r>
                </w:p>
              </w:tc>
              <w:tc>
                <w:tcPr>
                  <w:tcW w:w="3612" w:type="pct"/>
                  <w:gridSpan w:val="2"/>
                  <w:noWrap w:val="0"/>
                  <w:vAlign w:val="center"/>
                </w:tcPr>
                <w:p w14:paraId="39C69745">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厂区绿化面积约3783.43m</w:t>
                  </w:r>
                  <w:r>
                    <w:rPr>
                      <w:rFonts w:hint="eastAsia" w:ascii="Times New Roman" w:hAnsi="Times New Roman" w:eastAsia="宋体" w:cs="Times New Roman"/>
                      <w:color w:val="auto"/>
                      <w:sz w:val="21"/>
                      <w:szCs w:val="21"/>
                      <w:highlight w:val="none"/>
                      <w:vertAlign w:val="superscript"/>
                      <w:lang w:val="en-US" w:eastAsia="zh-CN"/>
                    </w:rPr>
                    <w:t>2</w:t>
                  </w:r>
                </w:p>
              </w:tc>
              <w:tc>
                <w:tcPr>
                  <w:tcW w:w="412" w:type="pct"/>
                  <w:noWrap w:val="0"/>
                  <w:vAlign w:val="center"/>
                </w:tcPr>
                <w:p w14:paraId="197A1420">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bl>
          <w:p w14:paraId="47872C34">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2" w:firstLineChars="200"/>
              <w:textAlignment w:val="auto"/>
              <w:rPr>
                <w:rFonts w:hint="eastAsia"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产品方案</w:t>
            </w:r>
          </w:p>
          <w:p w14:paraId="3B719E46">
            <w:pPr>
              <w:pStyle w:val="78"/>
              <w:keepNext w:val="0"/>
              <w:keepLines w:val="0"/>
              <w:numPr>
                <w:ilvl w:val="0"/>
                <w:numId w:val="0"/>
              </w:numPr>
              <w:suppressLineNumbers w:val="0"/>
              <w:tabs>
                <w:tab w:val="left" w:pos="0"/>
              </w:tabs>
              <w:spacing w:before="0" w:beforeAutospacing="0" w:after="0" w:afterAutospacing="0"/>
              <w:ind w:left="397" w:leftChars="0" w:right="0" w:firstLine="1687" w:firstLineChars="800"/>
              <w:jc w:val="both"/>
              <w:rPr>
                <w:rFonts w:hint="default"/>
                <w:b w:val="0"/>
                <w:bCs/>
                <w:color w:val="auto"/>
                <w:sz w:val="21"/>
                <w:szCs w:val="21"/>
                <w:lang w:val="en-US" w:eastAsia="zh-CN"/>
              </w:rPr>
            </w:pPr>
            <w:r>
              <w:rPr>
                <w:rFonts w:hint="eastAsia"/>
                <w:color w:val="auto"/>
                <w:sz w:val="21"/>
                <w:szCs w:val="21"/>
                <w:lang w:val="en-US" w:eastAsia="zh-CN"/>
              </w:rPr>
              <w:t>表2-2</w:t>
            </w:r>
            <w:r>
              <w:rPr>
                <w:rFonts w:hint="eastAsia"/>
                <w:color w:val="auto"/>
                <w:sz w:val="21"/>
                <w:szCs w:val="21"/>
              </w:rPr>
              <w:t xml:space="preserve">  </w:t>
            </w:r>
            <w:r>
              <w:rPr>
                <w:rFonts w:hint="eastAsia"/>
                <w:color w:val="auto"/>
                <w:sz w:val="21"/>
                <w:szCs w:val="21"/>
                <w:lang w:val="en-US" w:eastAsia="zh-CN"/>
              </w:rPr>
              <w:t xml:space="preserve">  本项目产品方案一览表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190"/>
              <w:gridCol w:w="2018"/>
              <w:gridCol w:w="1800"/>
              <w:gridCol w:w="1555"/>
            </w:tblGrid>
            <w:tr w14:paraId="00DE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312E4FE7">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序号</w:t>
                  </w:r>
                </w:p>
              </w:tc>
              <w:tc>
                <w:tcPr>
                  <w:tcW w:w="1317" w:type="pct"/>
                  <w:noWrap w:val="0"/>
                  <w:vAlign w:val="center"/>
                </w:tcPr>
                <w:p w14:paraId="7D441899">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产品名称</w:t>
                  </w:r>
                </w:p>
              </w:tc>
              <w:tc>
                <w:tcPr>
                  <w:tcW w:w="1214" w:type="pct"/>
                  <w:noWrap w:val="0"/>
                  <w:vAlign w:val="center"/>
                </w:tcPr>
                <w:p w14:paraId="768AAD4B">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设计产能</w:t>
                  </w:r>
                </w:p>
              </w:tc>
              <w:tc>
                <w:tcPr>
                  <w:tcW w:w="1082" w:type="pct"/>
                  <w:noWrap w:val="0"/>
                  <w:vAlign w:val="center"/>
                </w:tcPr>
                <w:p w14:paraId="116DC3A5">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935" w:type="pct"/>
                  <w:noWrap w:val="0"/>
                  <w:vAlign w:val="center"/>
                </w:tcPr>
                <w:p w14:paraId="61019DEE">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备注</w:t>
                  </w:r>
                </w:p>
              </w:tc>
            </w:tr>
            <w:tr w14:paraId="20C1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1A509B7C">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1317" w:type="pct"/>
                  <w:noWrap w:val="0"/>
                  <w:vAlign w:val="top"/>
                </w:tcPr>
                <w:p w14:paraId="0A57DA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sz w:val="21"/>
                      <w:szCs w:val="21"/>
                      <w:lang w:val="en-US" w:eastAsia="zh-CN"/>
                    </w:rPr>
                    <w:t>微型步进马达</w:t>
                  </w:r>
                </w:p>
              </w:tc>
              <w:tc>
                <w:tcPr>
                  <w:tcW w:w="1214" w:type="pct"/>
                  <w:noWrap w:val="0"/>
                  <w:vAlign w:val="center"/>
                </w:tcPr>
                <w:p w14:paraId="535B8A7C">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1872</w:t>
                  </w:r>
                </w:p>
              </w:tc>
              <w:tc>
                <w:tcPr>
                  <w:tcW w:w="1082" w:type="pct"/>
                  <w:noWrap w:val="0"/>
                  <w:vAlign w:val="center"/>
                </w:tcPr>
                <w:p w14:paraId="3DE4E516">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7DEF7A84">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2D10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50" w:type="pct"/>
                  <w:noWrap w:val="0"/>
                  <w:vAlign w:val="center"/>
                </w:tcPr>
                <w:p w14:paraId="21DC00FB">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1317" w:type="pct"/>
                  <w:noWrap w:val="0"/>
                  <w:vAlign w:val="top"/>
                </w:tcPr>
                <w:p w14:paraId="32211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微型直流马达</w:t>
                  </w:r>
                </w:p>
              </w:tc>
              <w:tc>
                <w:tcPr>
                  <w:tcW w:w="1214" w:type="pct"/>
                  <w:noWrap w:val="0"/>
                  <w:vAlign w:val="center"/>
                </w:tcPr>
                <w:p w14:paraId="4235D591">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144</w:t>
                  </w:r>
                </w:p>
              </w:tc>
              <w:tc>
                <w:tcPr>
                  <w:tcW w:w="1082" w:type="pct"/>
                  <w:noWrap w:val="0"/>
                  <w:vAlign w:val="center"/>
                </w:tcPr>
                <w:p w14:paraId="5322B15E">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31E19816">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27AB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7F91EB07">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1317" w:type="pct"/>
                  <w:noWrap w:val="0"/>
                  <w:vAlign w:val="top"/>
                </w:tcPr>
                <w:p w14:paraId="5EF56D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BYJ马达</w:t>
                  </w:r>
                </w:p>
              </w:tc>
              <w:tc>
                <w:tcPr>
                  <w:tcW w:w="1214" w:type="pct"/>
                  <w:noWrap w:val="0"/>
                  <w:vAlign w:val="center"/>
                </w:tcPr>
                <w:p w14:paraId="3C09A26C">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288</w:t>
                  </w:r>
                </w:p>
              </w:tc>
              <w:tc>
                <w:tcPr>
                  <w:tcW w:w="1082" w:type="pct"/>
                  <w:noWrap w:val="0"/>
                  <w:vAlign w:val="center"/>
                </w:tcPr>
                <w:p w14:paraId="7EC71F57">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009BA5CF">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6FC7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67FB37EA">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1317" w:type="pct"/>
                  <w:noWrap w:val="0"/>
                  <w:vAlign w:val="top"/>
                </w:tcPr>
                <w:p w14:paraId="3DB3D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微型无刷马达</w:t>
                  </w:r>
                </w:p>
              </w:tc>
              <w:tc>
                <w:tcPr>
                  <w:tcW w:w="1214" w:type="pct"/>
                  <w:noWrap w:val="0"/>
                  <w:vAlign w:val="center"/>
                </w:tcPr>
                <w:p w14:paraId="46001825">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67.2</w:t>
                  </w:r>
                </w:p>
              </w:tc>
              <w:tc>
                <w:tcPr>
                  <w:tcW w:w="1082" w:type="pct"/>
                  <w:noWrap w:val="0"/>
                  <w:vAlign w:val="center"/>
                </w:tcPr>
                <w:p w14:paraId="0F9D93B2">
                  <w:pPr>
                    <w:keepNext w:val="0"/>
                    <w:keepLines w:val="0"/>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47AACE5A">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0125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0C7CC737">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w:t>
                  </w:r>
                </w:p>
              </w:tc>
              <w:tc>
                <w:tcPr>
                  <w:tcW w:w="1317" w:type="pct"/>
                  <w:noWrap w:val="0"/>
                  <w:vAlign w:val="top"/>
                </w:tcPr>
                <w:p w14:paraId="7DE12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微型支架马达</w:t>
                  </w:r>
                </w:p>
              </w:tc>
              <w:tc>
                <w:tcPr>
                  <w:tcW w:w="1214" w:type="pct"/>
                  <w:noWrap w:val="0"/>
                  <w:vAlign w:val="center"/>
                </w:tcPr>
                <w:p w14:paraId="6C7F6B1B">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288</w:t>
                  </w:r>
                </w:p>
              </w:tc>
              <w:tc>
                <w:tcPr>
                  <w:tcW w:w="1082" w:type="pct"/>
                  <w:noWrap w:val="0"/>
                  <w:vAlign w:val="center"/>
                </w:tcPr>
                <w:p w14:paraId="7ED01553">
                  <w:pPr>
                    <w:keepNext w:val="0"/>
                    <w:keepLines w:val="0"/>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59864B91">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4C25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28E83CDE">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c>
                <w:tcPr>
                  <w:tcW w:w="1317" w:type="pct"/>
                  <w:noWrap w:val="0"/>
                  <w:vAlign w:val="top"/>
                </w:tcPr>
                <w:p w14:paraId="5F1DDB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sz w:val="21"/>
                      <w:szCs w:val="21"/>
                      <w:lang w:val="en-US" w:eastAsia="zh-CN"/>
                    </w:rPr>
                    <w:t>电磁阀</w:t>
                  </w:r>
                </w:p>
              </w:tc>
              <w:tc>
                <w:tcPr>
                  <w:tcW w:w="1214" w:type="pct"/>
                  <w:noWrap w:val="0"/>
                  <w:vAlign w:val="center"/>
                </w:tcPr>
                <w:p w14:paraId="6B9E32F7">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140.9</w:t>
                  </w:r>
                </w:p>
              </w:tc>
              <w:tc>
                <w:tcPr>
                  <w:tcW w:w="1082" w:type="pct"/>
                  <w:noWrap w:val="0"/>
                  <w:vAlign w:val="center"/>
                </w:tcPr>
                <w:p w14:paraId="4DD44BE5">
                  <w:pPr>
                    <w:keepNext w:val="0"/>
                    <w:keepLines w:val="0"/>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万件</w:t>
                  </w:r>
                  <w:r>
                    <w:rPr>
                      <w:rFonts w:hint="default" w:ascii="Times New Roman" w:hAnsi="Times New Roman" w:eastAsia="宋体" w:cs="Times New Roman"/>
                      <w:b w:val="0"/>
                      <w:bCs/>
                      <w:color w:val="auto"/>
                      <w:sz w:val="21"/>
                      <w:szCs w:val="21"/>
                    </w:rPr>
                    <w:t>/年</w:t>
                  </w:r>
                </w:p>
              </w:tc>
              <w:tc>
                <w:tcPr>
                  <w:tcW w:w="935" w:type="pct"/>
                  <w:noWrap w:val="0"/>
                  <w:vAlign w:val="center"/>
                </w:tcPr>
                <w:p w14:paraId="4AF732B5">
                  <w:pPr>
                    <w:pStyle w:val="3"/>
                    <w:suppressLineNumbers w:val="0"/>
                    <w:spacing w:before="0" w:beforeAutospacing="0" w:after="0" w:afterAutospacing="0" w:line="240" w:lineRule="auto"/>
                    <w:ind w:left="0" w:right="0"/>
                    <w:jc w:val="center"/>
                    <w:outlineLvl w:val="1"/>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bl>
          <w:p w14:paraId="3047E4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ind w:left="0" w:right="0" w:firstLine="482" w:firstLineChars="200"/>
              <w:textAlignment w:val="auto"/>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5、主要生产设施</w:t>
            </w:r>
          </w:p>
          <w:p w14:paraId="08DD3146">
            <w:pPr>
              <w:pStyle w:val="69"/>
              <w:keepNext w:val="0"/>
              <w:keepLines w:val="0"/>
              <w:suppressLineNumbers w:val="0"/>
              <w:spacing w:before="162" w:beforeAutospacing="0" w:after="0" w:afterAutospacing="0" w:line="223" w:lineRule="auto"/>
              <w:ind w:left="0" w:right="0" w:firstLine="1987" w:firstLineChars="900"/>
              <w:rPr>
                <w:rFonts w:hint="default"/>
                <w:sz w:val="21"/>
                <w:szCs w:val="21"/>
              </w:rPr>
            </w:pPr>
            <w:r>
              <w:rPr>
                <w:rFonts w:hint="default"/>
                <w:b/>
                <w:bCs/>
                <w:spacing w:val="5"/>
                <w:sz w:val="21"/>
                <w:szCs w:val="21"/>
              </w:rPr>
              <w:t>表</w:t>
            </w:r>
            <w:r>
              <w:rPr>
                <w:rFonts w:hint="default"/>
                <w:spacing w:val="-26"/>
                <w:sz w:val="21"/>
                <w:szCs w:val="21"/>
              </w:rPr>
              <w:t xml:space="preserve"> </w:t>
            </w:r>
            <w:r>
              <w:rPr>
                <w:rFonts w:hint="default" w:ascii="Times New Roman" w:hAnsi="Times New Roman" w:eastAsia="Times New Roman" w:cs="Times New Roman"/>
                <w:b/>
                <w:bCs/>
                <w:spacing w:val="5"/>
                <w:sz w:val="21"/>
                <w:szCs w:val="21"/>
              </w:rPr>
              <w:t>2-</w:t>
            </w:r>
            <w:r>
              <w:rPr>
                <w:rFonts w:hint="eastAsia" w:ascii="Times New Roman" w:hAnsi="Times New Roman" w:eastAsia="宋体" w:cs="Times New Roman"/>
                <w:b/>
                <w:bCs/>
                <w:spacing w:val="5"/>
                <w:sz w:val="21"/>
                <w:szCs w:val="21"/>
                <w:lang w:val="en-US" w:eastAsia="zh-CN"/>
              </w:rPr>
              <w:t>3</w:t>
            </w:r>
            <w:r>
              <w:rPr>
                <w:rFonts w:hint="default" w:ascii="Times New Roman" w:hAnsi="Times New Roman" w:eastAsia="Times New Roman" w:cs="Times New Roman"/>
                <w:b/>
                <w:bCs/>
                <w:spacing w:val="5"/>
                <w:sz w:val="21"/>
                <w:szCs w:val="21"/>
              </w:rPr>
              <w:t xml:space="preserve">    </w:t>
            </w:r>
            <w:r>
              <w:rPr>
                <w:rFonts w:hint="default"/>
                <w:b/>
                <w:bCs/>
                <w:spacing w:val="5"/>
                <w:sz w:val="21"/>
                <w:szCs w:val="21"/>
              </w:rPr>
              <w:t>项目主要生产设施一览表</w:t>
            </w:r>
          </w:p>
          <w:tbl>
            <w:tblPr>
              <w:tblStyle w:val="63"/>
              <w:tblW w:w="8097"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296"/>
              <w:gridCol w:w="2454"/>
              <w:gridCol w:w="1091"/>
              <w:gridCol w:w="1759"/>
              <w:gridCol w:w="917"/>
            </w:tblGrid>
            <w:tr w14:paraId="0FC0B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C3432B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序号</w:t>
                  </w:r>
                </w:p>
              </w:tc>
              <w:tc>
                <w:tcPr>
                  <w:tcW w:w="1296" w:type="dxa"/>
                  <w:vAlign w:val="center"/>
                </w:tcPr>
                <w:p w14:paraId="14B62A07">
                  <w:pPr>
                    <w:pStyle w:val="69"/>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主要生产</w:t>
                  </w:r>
                  <w:r>
                    <w:rPr>
                      <w:rFonts w:hint="default" w:ascii="Times New Roman" w:hAnsi="Times New Roman" w:eastAsia="宋体" w:cs="Times New Roman"/>
                      <w:b/>
                      <w:bCs/>
                      <w:spacing w:val="-5"/>
                      <w:sz w:val="21"/>
                      <w:szCs w:val="21"/>
                    </w:rPr>
                    <w:t>单元</w:t>
                  </w:r>
                </w:p>
              </w:tc>
              <w:tc>
                <w:tcPr>
                  <w:tcW w:w="2454" w:type="dxa"/>
                  <w:vAlign w:val="center"/>
                </w:tcPr>
                <w:p w14:paraId="52B2412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生产设施</w:t>
                  </w:r>
                </w:p>
              </w:tc>
              <w:tc>
                <w:tcPr>
                  <w:tcW w:w="1091" w:type="dxa"/>
                  <w:vAlign w:val="center"/>
                </w:tcPr>
                <w:p w14:paraId="33894B2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数量</w:t>
                  </w:r>
                </w:p>
              </w:tc>
              <w:tc>
                <w:tcPr>
                  <w:tcW w:w="1759" w:type="dxa"/>
                  <w:vAlign w:val="center"/>
                </w:tcPr>
                <w:p w14:paraId="0BA4531C">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设施参数</w:t>
                  </w:r>
                </w:p>
              </w:tc>
              <w:tc>
                <w:tcPr>
                  <w:tcW w:w="917" w:type="dxa"/>
                  <w:vAlign w:val="center"/>
                </w:tcPr>
                <w:p w14:paraId="2918CF2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位置</w:t>
                  </w:r>
                </w:p>
              </w:tc>
            </w:tr>
            <w:tr w14:paraId="3C82B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70B637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296" w:type="dxa"/>
                  <w:vMerge w:val="restart"/>
                  <w:vAlign w:val="center"/>
                </w:tcPr>
                <w:p w14:paraId="2980ACE0">
                  <w:pPr>
                    <w:pStyle w:val="69"/>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微型步进马达生产线</w:t>
                  </w:r>
                </w:p>
              </w:tc>
              <w:tc>
                <w:tcPr>
                  <w:tcW w:w="2454" w:type="dxa"/>
                  <w:vAlign w:val="center"/>
                </w:tcPr>
                <w:p w14:paraId="5CF5A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取付板与机壳焊接机</w:t>
                  </w:r>
                </w:p>
              </w:tc>
              <w:tc>
                <w:tcPr>
                  <w:tcW w:w="1091" w:type="dxa"/>
                  <w:vAlign w:val="center"/>
                </w:tcPr>
                <w:p w14:paraId="400788C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6DECA4E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c>
                <w:tcPr>
                  <w:tcW w:w="917" w:type="dxa"/>
                  <w:vAlign w:val="center"/>
                </w:tcPr>
                <w:p w14:paraId="2E2256E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47329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537161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296" w:type="dxa"/>
                  <w:vMerge w:val="continue"/>
                  <w:vAlign w:val="center"/>
                </w:tcPr>
                <w:p w14:paraId="036DD845">
                  <w:pPr>
                    <w:pStyle w:val="69"/>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53CCD3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半成品组装机</w:t>
                  </w:r>
                </w:p>
              </w:tc>
              <w:tc>
                <w:tcPr>
                  <w:tcW w:w="1091" w:type="dxa"/>
                  <w:vAlign w:val="center"/>
                </w:tcPr>
                <w:p w14:paraId="27378BB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278C731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76BBC31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7849A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91AA66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296" w:type="dxa"/>
                  <w:vMerge w:val="continue"/>
                  <w:vAlign w:val="center"/>
                </w:tcPr>
                <w:p w14:paraId="604C6955">
                  <w:pPr>
                    <w:pStyle w:val="69"/>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1D3362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成品组装机</w:t>
                  </w:r>
                </w:p>
              </w:tc>
              <w:tc>
                <w:tcPr>
                  <w:tcW w:w="1091" w:type="dxa"/>
                  <w:vAlign w:val="center"/>
                </w:tcPr>
                <w:p w14:paraId="6B8704C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35157CC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0B1C230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714B5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495530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296" w:type="dxa"/>
                  <w:vMerge w:val="continue"/>
                  <w:vAlign w:val="center"/>
                </w:tcPr>
                <w:p w14:paraId="3686C9BA">
                  <w:pPr>
                    <w:pStyle w:val="69"/>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046C7E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磁石充磁机</w:t>
                  </w:r>
                </w:p>
              </w:tc>
              <w:tc>
                <w:tcPr>
                  <w:tcW w:w="1091" w:type="dxa"/>
                  <w:vAlign w:val="center"/>
                </w:tcPr>
                <w:p w14:paraId="43A75C5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7338119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3500F27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6AF89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A0AD11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296" w:type="dxa"/>
                  <w:vMerge w:val="continue"/>
                  <w:vAlign w:val="center"/>
                </w:tcPr>
                <w:p w14:paraId="0896B061">
                  <w:pPr>
                    <w:pStyle w:val="69"/>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1255A9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磁石插轴粘接机</w:t>
                  </w:r>
                </w:p>
              </w:tc>
              <w:tc>
                <w:tcPr>
                  <w:tcW w:w="1091" w:type="dxa"/>
                  <w:vAlign w:val="center"/>
                </w:tcPr>
                <w:p w14:paraId="2DFDEE5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1993BD6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1338D91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59A5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8F47D0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296" w:type="dxa"/>
                  <w:vMerge w:val="continue"/>
                  <w:vAlign w:val="center"/>
                </w:tcPr>
                <w:p w14:paraId="7A6229B4">
                  <w:pPr>
                    <w:pStyle w:val="69"/>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zh-CN"/>
                    </w:rPr>
                  </w:pPr>
                </w:p>
              </w:tc>
              <w:tc>
                <w:tcPr>
                  <w:tcW w:w="2454" w:type="dxa"/>
                  <w:vAlign w:val="center"/>
                </w:tcPr>
                <w:p w14:paraId="757076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磁石垫片去尘机</w:t>
                  </w:r>
                </w:p>
              </w:tc>
              <w:tc>
                <w:tcPr>
                  <w:tcW w:w="1091" w:type="dxa"/>
                  <w:vAlign w:val="center"/>
                </w:tcPr>
                <w:p w14:paraId="7AB0B14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4B92361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79BE4A7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6DADC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497FAB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296" w:type="dxa"/>
                  <w:vMerge w:val="continue"/>
                  <w:vAlign w:val="center"/>
                </w:tcPr>
                <w:p w14:paraId="4773E6B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209586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pacing w:val="-4"/>
                      <w:sz w:val="21"/>
                      <w:szCs w:val="21"/>
                    </w:rPr>
                  </w:pPr>
                  <w:r>
                    <w:rPr>
                      <w:rFonts w:hint="default" w:ascii="Times New Roman" w:hAnsi="Times New Roman" w:eastAsia="宋体" w:cs="Times New Roman"/>
                      <w:i w:val="0"/>
                      <w:iCs w:val="0"/>
                      <w:color w:val="000000"/>
                      <w:kern w:val="0"/>
                      <w:sz w:val="21"/>
                      <w:szCs w:val="21"/>
                      <w:u w:val="none"/>
                      <w:lang w:val="en-US" w:eastAsia="zh-CN" w:bidi="ar"/>
                    </w:rPr>
                    <w:t>磁石接着高度检测机</w:t>
                  </w:r>
                </w:p>
              </w:tc>
              <w:tc>
                <w:tcPr>
                  <w:tcW w:w="1091" w:type="dxa"/>
                  <w:vAlign w:val="center"/>
                </w:tcPr>
                <w:p w14:paraId="29108AF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vAlign w:val="center"/>
                </w:tcPr>
                <w:p w14:paraId="5FC2D3B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6EAA106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1F2D0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746FA0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296" w:type="dxa"/>
                  <w:vMerge w:val="continue"/>
                  <w:vAlign w:val="center"/>
                </w:tcPr>
                <w:p w14:paraId="5650341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70810D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pacing w:val="-4"/>
                      <w:sz w:val="21"/>
                      <w:szCs w:val="21"/>
                    </w:rPr>
                  </w:pPr>
                  <w:r>
                    <w:rPr>
                      <w:rFonts w:hint="default" w:ascii="Times New Roman" w:hAnsi="Times New Roman" w:eastAsia="宋体" w:cs="Times New Roman"/>
                      <w:i w:val="0"/>
                      <w:iCs w:val="0"/>
                      <w:color w:val="000000"/>
                      <w:kern w:val="0"/>
                      <w:sz w:val="21"/>
                      <w:szCs w:val="21"/>
                      <w:u w:val="none"/>
                      <w:lang w:val="en-US" w:eastAsia="zh-CN" w:bidi="ar"/>
                    </w:rPr>
                    <w:t>机箱插轴机</w:t>
                  </w:r>
                </w:p>
              </w:tc>
              <w:tc>
                <w:tcPr>
                  <w:tcW w:w="1091" w:type="dxa"/>
                  <w:vAlign w:val="center"/>
                </w:tcPr>
                <w:p w14:paraId="4A7B8AF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6</w:t>
                  </w:r>
                  <w:r>
                    <w:rPr>
                      <w:rFonts w:hint="default" w:ascii="Times New Roman" w:hAnsi="Times New Roman" w:eastAsia="宋体" w:cs="Times New Roman"/>
                      <w:spacing w:val="-7"/>
                      <w:sz w:val="21"/>
                      <w:szCs w:val="21"/>
                    </w:rPr>
                    <w:t>台</w:t>
                  </w:r>
                </w:p>
              </w:tc>
              <w:tc>
                <w:tcPr>
                  <w:tcW w:w="1759" w:type="dxa"/>
                  <w:shd w:val="clear" w:color="auto" w:fill="auto"/>
                  <w:vAlign w:val="center"/>
                </w:tcPr>
                <w:p w14:paraId="7FF1A4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8200-B</w:t>
                  </w:r>
                </w:p>
              </w:tc>
              <w:tc>
                <w:tcPr>
                  <w:tcW w:w="917" w:type="dxa"/>
                  <w:vAlign w:val="center"/>
                </w:tcPr>
                <w:p w14:paraId="09644A4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6EC9B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AED4B4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296" w:type="dxa"/>
                  <w:vMerge w:val="continue"/>
                  <w:vAlign w:val="center"/>
                </w:tcPr>
                <w:p w14:paraId="0777F41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3E03B1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PCB板及导线焊接流水线</w:t>
                  </w:r>
                </w:p>
              </w:tc>
              <w:tc>
                <w:tcPr>
                  <w:tcW w:w="1091" w:type="dxa"/>
                  <w:vAlign w:val="center"/>
                </w:tcPr>
                <w:p w14:paraId="784A558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6套</w:t>
                  </w:r>
                </w:p>
              </w:tc>
              <w:tc>
                <w:tcPr>
                  <w:tcW w:w="1759" w:type="dxa"/>
                  <w:vAlign w:val="center"/>
                </w:tcPr>
                <w:p w14:paraId="53286C4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w:t>
                  </w:r>
                </w:p>
              </w:tc>
              <w:tc>
                <w:tcPr>
                  <w:tcW w:w="917" w:type="dxa"/>
                  <w:vAlign w:val="center"/>
                </w:tcPr>
                <w:p w14:paraId="1A0A1E1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3A616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14E4F9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10</w:t>
                  </w:r>
                </w:p>
              </w:tc>
              <w:tc>
                <w:tcPr>
                  <w:tcW w:w="1296" w:type="dxa"/>
                  <w:vMerge w:val="continue"/>
                  <w:vAlign w:val="center"/>
                </w:tcPr>
                <w:p w14:paraId="2B0BC93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2B683EA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齿轮组装流水线</w:t>
                  </w:r>
                </w:p>
              </w:tc>
              <w:tc>
                <w:tcPr>
                  <w:tcW w:w="1091" w:type="dxa"/>
                  <w:vAlign w:val="center"/>
                </w:tcPr>
                <w:p w14:paraId="30B05AE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6套</w:t>
                  </w:r>
                </w:p>
              </w:tc>
              <w:tc>
                <w:tcPr>
                  <w:tcW w:w="1759" w:type="dxa"/>
                  <w:vAlign w:val="center"/>
                </w:tcPr>
                <w:p w14:paraId="26D19F7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098A7FA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4660F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8C3303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11</w:t>
                  </w:r>
                </w:p>
              </w:tc>
              <w:tc>
                <w:tcPr>
                  <w:tcW w:w="1296" w:type="dxa"/>
                  <w:vMerge w:val="restart"/>
                  <w:vAlign w:val="center"/>
                </w:tcPr>
                <w:p w14:paraId="1A1DA47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直流马达生产线</w:t>
                  </w:r>
                </w:p>
              </w:tc>
              <w:tc>
                <w:tcPr>
                  <w:tcW w:w="2454" w:type="dxa"/>
                  <w:vAlign w:val="center"/>
                </w:tcPr>
                <w:p w14:paraId="2E1D653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自动绕线机</w:t>
                  </w:r>
                </w:p>
              </w:tc>
              <w:tc>
                <w:tcPr>
                  <w:tcW w:w="1091" w:type="dxa"/>
                  <w:vAlign w:val="center"/>
                </w:tcPr>
                <w:p w14:paraId="7871627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61EB1C7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46E0D32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02800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9FC513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12</w:t>
                  </w:r>
                </w:p>
              </w:tc>
              <w:tc>
                <w:tcPr>
                  <w:tcW w:w="1296" w:type="dxa"/>
                  <w:vMerge w:val="continue"/>
                  <w:vAlign w:val="center"/>
                </w:tcPr>
                <w:p w14:paraId="5456708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3541477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端盖自动组装机</w:t>
                  </w:r>
                </w:p>
              </w:tc>
              <w:tc>
                <w:tcPr>
                  <w:tcW w:w="1091" w:type="dxa"/>
                  <w:vAlign w:val="center"/>
                </w:tcPr>
                <w:p w14:paraId="7A1150D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670CFDD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14C4109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48F2A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EAE57EC">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13</w:t>
                  </w:r>
                </w:p>
              </w:tc>
              <w:tc>
                <w:tcPr>
                  <w:tcW w:w="1296" w:type="dxa"/>
                  <w:vMerge w:val="continue"/>
                  <w:vAlign w:val="center"/>
                </w:tcPr>
                <w:p w14:paraId="6180FD93">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728867C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转子自动组装机</w:t>
                  </w:r>
                </w:p>
              </w:tc>
              <w:tc>
                <w:tcPr>
                  <w:tcW w:w="1091" w:type="dxa"/>
                  <w:vAlign w:val="center"/>
                </w:tcPr>
                <w:p w14:paraId="5D2644D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91F8B5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06D3A8E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2224B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521BFF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14</w:t>
                  </w:r>
                </w:p>
              </w:tc>
              <w:tc>
                <w:tcPr>
                  <w:tcW w:w="1296" w:type="dxa"/>
                  <w:vMerge w:val="continue"/>
                  <w:vAlign w:val="center"/>
                </w:tcPr>
                <w:p w14:paraId="28D3929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5BBDD4D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机壳自动组装机</w:t>
                  </w:r>
                </w:p>
              </w:tc>
              <w:tc>
                <w:tcPr>
                  <w:tcW w:w="1091" w:type="dxa"/>
                  <w:vAlign w:val="center"/>
                </w:tcPr>
                <w:p w14:paraId="2F19771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458A14A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6634422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1F2CD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D995A6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15</w:t>
                  </w:r>
                </w:p>
              </w:tc>
              <w:tc>
                <w:tcPr>
                  <w:tcW w:w="1296" w:type="dxa"/>
                  <w:vMerge w:val="continue"/>
                  <w:vAlign w:val="center"/>
                </w:tcPr>
                <w:p w14:paraId="5390546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0445CF8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清洗机+烘烤甩干</w:t>
                  </w:r>
                </w:p>
              </w:tc>
              <w:tc>
                <w:tcPr>
                  <w:tcW w:w="1091" w:type="dxa"/>
                  <w:vAlign w:val="center"/>
                </w:tcPr>
                <w:p w14:paraId="5726C57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742E5DE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005524E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40FB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56C062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16</w:t>
                  </w:r>
                </w:p>
              </w:tc>
              <w:tc>
                <w:tcPr>
                  <w:tcW w:w="1296" w:type="dxa"/>
                  <w:vMerge w:val="continue"/>
                  <w:vAlign w:val="center"/>
                </w:tcPr>
                <w:p w14:paraId="22CF170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34CF6A0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总装机</w:t>
                  </w:r>
                </w:p>
              </w:tc>
              <w:tc>
                <w:tcPr>
                  <w:tcW w:w="1091" w:type="dxa"/>
                  <w:vAlign w:val="center"/>
                </w:tcPr>
                <w:p w14:paraId="6E80B11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455B5F2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3499D11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06958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8EBDFD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17</w:t>
                  </w:r>
                </w:p>
              </w:tc>
              <w:tc>
                <w:tcPr>
                  <w:tcW w:w="1296" w:type="dxa"/>
                  <w:vMerge w:val="continue"/>
                  <w:vAlign w:val="center"/>
                </w:tcPr>
                <w:p w14:paraId="3B0593BC">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22EA596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特性测试与串量测试设备</w:t>
                  </w:r>
                </w:p>
              </w:tc>
              <w:tc>
                <w:tcPr>
                  <w:tcW w:w="1091" w:type="dxa"/>
                  <w:vAlign w:val="center"/>
                </w:tcPr>
                <w:p w14:paraId="7E66B39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77F465C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51B5192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6AA0C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BAD8D8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18</w:t>
                  </w:r>
                </w:p>
              </w:tc>
              <w:tc>
                <w:tcPr>
                  <w:tcW w:w="1296" w:type="dxa"/>
                  <w:vMerge w:val="continue"/>
                  <w:vAlign w:val="center"/>
                </w:tcPr>
                <w:p w14:paraId="4006E42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p>
              </w:tc>
              <w:tc>
                <w:tcPr>
                  <w:tcW w:w="2454" w:type="dxa"/>
                  <w:vAlign w:val="center"/>
                </w:tcPr>
                <w:p w14:paraId="13BA518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激光打标机</w:t>
                  </w:r>
                </w:p>
              </w:tc>
              <w:tc>
                <w:tcPr>
                  <w:tcW w:w="1091" w:type="dxa"/>
                  <w:vAlign w:val="center"/>
                </w:tcPr>
                <w:p w14:paraId="3EF7D70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430A2E5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w:t>
                  </w:r>
                </w:p>
              </w:tc>
              <w:tc>
                <w:tcPr>
                  <w:tcW w:w="917" w:type="dxa"/>
                  <w:vAlign w:val="center"/>
                </w:tcPr>
                <w:p w14:paraId="2478A03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08F71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2448C7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1296" w:type="dxa"/>
                  <w:vMerge w:val="restart"/>
                  <w:vAlign w:val="center"/>
                </w:tcPr>
                <w:p w14:paraId="68CFF9CC">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电磁阀生产线</w:t>
                  </w:r>
                </w:p>
              </w:tc>
              <w:tc>
                <w:tcPr>
                  <w:tcW w:w="2454" w:type="dxa"/>
                  <w:vAlign w:val="center"/>
                </w:tcPr>
                <w:p w14:paraId="3AC8B603">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绕线机+缠胶布</w:t>
                  </w:r>
                </w:p>
              </w:tc>
              <w:tc>
                <w:tcPr>
                  <w:tcW w:w="1091" w:type="dxa"/>
                  <w:vAlign w:val="center"/>
                </w:tcPr>
                <w:p w14:paraId="505CFA6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1套</w:t>
                  </w:r>
                </w:p>
              </w:tc>
              <w:tc>
                <w:tcPr>
                  <w:tcW w:w="1759" w:type="dxa"/>
                  <w:vAlign w:val="center"/>
                </w:tcPr>
                <w:p w14:paraId="1F2B6FD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79A790B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07C27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BB5796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296" w:type="dxa"/>
                  <w:vMerge w:val="continue"/>
                  <w:vAlign w:val="center"/>
                </w:tcPr>
                <w:p w14:paraId="17D152E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057E3B2F">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磁阀组装</w:t>
                  </w:r>
                </w:p>
              </w:tc>
              <w:tc>
                <w:tcPr>
                  <w:tcW w:w="1091" w:type="dxa"/>
                  <w:vAlign w:val="center"/>
                </w:tcPr>
                <w:p w14:paraId="05B561C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1套</w:t>
                  </w:r>
                </w:p>
              </w:tc>
              <w:tc>
                <w:tcPr>
                  <w:tcW w:w="1759" w:type="dxa"/>
                  <w:vAlign w:val="center"/>
                </w:tcPr>
                <w:p w14:paraId="74B26F4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363CCA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380A1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B063E9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1296" w:type="dxa"/>
                  <w:vMerge w:val="continue"/>
                  <w:vAlign w:val="center"/>
                </w:tcPr>
                <w:p w14:paraId="34E75DC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836AEBA">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U铁压合机</w:t>
                  </w:r>
                </w:p>
              </w:tc>
              <w:tc>
                <w:tcPr>
                  <w:tcW w:w="1091" w:type="dxa"/>
                  <w:vAlign w:val="center"/>
                </w:tcPr>
                <w:p w14:paraId="18B87E79">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1台</w:t>
                  </w:r>
                </w:p>
              </w:tc>
              <w:tc>
                <w:tcPr>
                  <w:tcW w:w="1759" w:type="dxa"/>
                  <w:vAlign w:val="center"/>
                </w:tcPr>
                <w:p w14:paraId="33AD1D4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EAC451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7D7C9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0073CC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c>
                <w:tcPr>
                  <w:tcW w:w="1296" w:type="dxa"/>
                  <w:vMerge w:val="continue"/>
                  <w:vAlign w:val="center"/>
                </w:tcPr>
                <w:p w14:paraId="40938E09">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75C87B6E">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气门与橡胶垫组装机</w:t>
                  </w:r>
                </w:p>
              </w:tc>
              <w:tc>
                <w:tcPr>
                  <w:tcW w:w="1091" w:type="dxa"/>
                  <w:vAlign w:val="center"/>
                </w:tcPr>
                <w:p w14:paraId="4A5B694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1套</w:t>
                  </w:r>
                </w:p>
              </w:tc>
              <w:tc>
                <w:tcPr>
                  <w:tcW w:w="1759" w:type="dxa"/>
                  <w:vAlign w:val="center"/>
                </w:tcPr>
                <w:p w14:paraId="7185DDC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C90FBB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6A280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B2DFC7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1296" w:type="dxa"/>
                  <w:vMerge w:val="continue"/>
                  <w:vAlign w:val="center"/>
                </w:tcPr>
                <w:p w14:paraId="6743864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41D14DF6">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作动测试机</w:t>
                  </w:r>
                </w:p>
              </w:tc>
              <w:tc>
                <w:tcPr>
                  <w:tcW w:w="1091" w:type="dxa"/>
                  <w:vAlign w:val="center"/>
                </w:tcPr>
                <w:p w14:paraId="60B6A62F">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lang w:val="en-US" w:eastAsia="zh-CN"/>
                    </w:rPr>
                    <w:t>1台</w:t>
                  </w:r>
                </w:p>
              </w:tc>
              <w:tc>
                <w:tcPr>
                  <w:tcW w:w="1759" w:type="dxa"/>
                  <w:vAlign w:val="center"/>
                </w:tcPr>
                <w:p w14:paraId="5DBF4B6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36CBE7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rPr>
                    <w:t>F</w:t>
                  </w:r>
                </w:p>
              </w:tc>
            </w:tr>
            <w:tr w14:paraId="5C18E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484846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w:t>
                  </w:r>
                </w:p>
              </w:tc>
              <w:tc>
                <w:tcPr>
                  <w:tcW w:w="1296" w:type="dxa"/>
                  <w:vMerge w:val="restart"/>
                  <w:vAlign w:val="center"/>
                </w:tcPr>
                <w:p w14:paraId="170F732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BYJ马达生产线</w:t>
                  </w:r>
                </w:p>
              </w:tc>
              <w:tc>
                <w:tcPr>
                  <w:tcW w:w="2454" w:type="dxa"/>
                  <w:vAlign w:val="center"/>
                </w:tcPr>
                <w:p w14:paraId="231EAF4C">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输出轴铆压设备</w:t>
                  </w:r>
                </w:p>
              </w:tc>
              <w:tc>
                <w:tcPr>
                  <w:tcW w:w="1091" w:type="dxa"/>
                  <w:vAlign w:val="center"/>
                </w:tcPr>
                <w:p w14:paraId="6ABE151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3EAF3C3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1A0AB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4</w:t>
                  </w:r>
                  <w:r>
                    <w:rPr>
                      <w:rFonts w:hint="default" w:ascii="Times New Roman" w:hAnsi="Times New Roman" w:eastAsia="宋体" w:cs="Times New Roman"/>
                      <w:spacing w:val="-10"/>
                      <w:sz w:val="21"/>
                      <w:szCs w:val="21"/>
                    </w:rPr>
                    <w:t>F</w:t>
                  </w:r>
                </w:p>
              </w:tc>
            </w:tr>
            <w:tr w14:paraId="2AB82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289EE5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c>
                <w:tcPr>
                  <w:tcW w:w="1296" w:type="dxa"/>
                  <w:vMerge w:val="continue"/>
                  <w:vAlign w:val="center"/>
                </w:tcPr>
                <w:p w14:paraId="117D5A7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7C99482C">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机壳组件组装一体机</w:t>
                  </w:r>
                </w:p>
              </w:tc>
              <w:tc>
                <w:tcPr>
                  <w:tcW w:w="1091" w:type="dxa"/>
                  <w:vAlign w:val="center"/>
                </w:tcPr>
                <w:p w14:paraId="05E8FAE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01C991A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5DCA06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4</w:t>
                  </w:r>
                  <w:r>
                    <w:rPr>
                      <w:rFonts w:hint="default" w:ascii="Times New Roman" w:hAnsi="Times New Roman" w:eastAsia="宋体" w:cs="Times New Roman"/>
                      <w:spacing w:val="-10"/>
                      <w:sz w:val="21"/>
                      <w:szCs w:val="21"/>
                    </w:rPr>
                    <w:t>F</w:t>
                  </w:r>
                </w:p>
              </w:tc>
            </w:tr>
            <w:tr w14:paraId="0EFD7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CFDCE0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c>
                <w:tcPr>
                  <w:tcW w:w="1296" w:type="dxa"/>
                  <w:vMerge w:val="continue"/>
                  <w:vAlign w:val="center"/>
                </w:tcPr>
                <w:p w14:paraId="19C09BE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49F3B2B9">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线球自动上料机</w:t>
                  </w:r>
                </w:p>
              </w:tc>
              <w:tc>
                <w:tcPr>
                  <w:tcW w:w="1091" w:type="dxa"/>
                  <w:vAlign w:val="center"/>
                </w:tcPr>
                <w:p w14:paraId="2073A34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3EB7016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215736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4</w:t>
                  </w:r>
                  <w:r>
                    <w:rPr>
                      <w:rFonts w:hint="default" w:ascii="Times New Roman" w:hAnsi="Times New Roman" w:eastAsia="宋体" w:cs="Times New Roman"/>
                      <w:spacing w:val="-10"/>
                      <w:sz w:val="21"/>
                      <w:szCs w:val="21"/>
                    </w:rPr>
                    <w:t>F</w:t>
                  </w:r>
                </w:p>
              </w:tc>
            </w:tr>
            <w:tr w14:paraId="57BEF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125E7E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1296" w:type="dxa"/>
                  <w:vMerge w:val="continue"/>
                  <w:vAlign w:val="center"/>
                </w:tcPr>
                <w:p w14:paraId="2E980B8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79F8AA4B">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成品摆盘机</w:t>
                  </w:r>
                </w:p>
              </w:tc>
              <w:tc>
                <w:tcPr>
                  <w:tcW w:w="1091" w:type="dxa"/>
                  <w:vAlign w:val="center"/>
                </w:tcPr>
                <w:p w14:paraId="699D62F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18F8888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20AE1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4</w:t>
                  </w:r>
                  <w:r>
                    <w:rPr>
                      <w:rFonts w:hint="default" w:ascii="Times New Roman" w:hAnsi="Times New Roman" w:eastAsia="宋体" w:cs="Times New Roman"/>
                      <w:spacing w:val="-10"/>
                      <w:sz w:val="21"/>
                      <w:szCs w:val="21"/>
                    </w:rPr>
                    <w:t>F</w:t>
                  </w:r>
                </w:p>
              </w:tc>
            </w:tr>
            <w:tr w14:paraId="70F1F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041781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c>
                <w:tcPr>
                  <w:tcW w:w="1296" w:type="dxa"/>
                  <w:vMerge w:val="continue"/>
                  <w:vAlign w:val="center"/>
                </w:tcPr>
                <w:p w14:paraId="31B9435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126A5B7D">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叠铆机</w:t>
                  </w:r>
                </w:p>
              </w:tc>
              <w:tc>
                <w:tcPr>
                  <w:tcW w:w="1091" w:type="dxa"/>
                  <w:vAlign w:val="center"/>
                </w:tcPr>
                <w:p w14:paraId="4DD124E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6EC0590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26857B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4</w:t>
                  </w:r>
                  <w:r>
                    <w:rPr>
                      <w:rFonts w:hint="default" w:ascii="Times New Roman" w:hAnsi="Times New Roman" w:eastAsia="宋体" w:cs="Times New Roman"/>
                      <w:spacing w:val="-10"/>
                      <w:sz w:val="21"/>
                      <w:szCs w:val="21"/>
                    </w:rPr>
                    <w:t>F</w:t>
                  </w:r>
                </w:p>
              </w:tc>
            </w:tr>
            <w:tr w14:paraId="65D79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3F8C57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w:t>
                  </w:r>
                </w:p>
              </w:tc>
              <w:tc>
                <w:tcPr>
                  <w:tcW w:w="1296" w:type="dxa"/>
                  <w:vMerge w:val="continue"/>
                  <w:vAlign w:val="center"/>
                </w:tcPr>
                <w:p w14:paraId="16FE13B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19C538D0">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齿轮组装机</w:t>
                  </w:r>
                </w:p>
              </w:tc>
              <w:tc>
                <w:tcPr>
                  <w:tcW w:w="1091" w:type="dxa"/>
                  <w:vAlign w:val="center"/>
                </w:tcPr>
                <w:p w14:paraId="7E1382B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254DCAA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C4B46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4</w:t>
                  </w:r>
                  <w:r>
                    <w:rPr>
                      <w:rFonts w:hint="default" w:ascii="Times New Roman" w:hAnsi="Times New Roman" w:eastAsia="宋体" w:cs="Times New Roman"/>
                      <w:spacing w:val="-10"/>
                      <w:sz w:val="21"/>
                      <w:szCs w:val="21"/>
                    </w:rPr>
                    <w:t>F</w:t>
                  </w:r>
                </w:p>
              </w:tc>
            </w:tr>
            <w:tr w14:paraId="4A95B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5BE84F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1296" w:type="dxa"/>
                  <w:vMerge w:val="continue"/>
                  <w:vAlign w:val="center"/>
                </w:tcPr>
                <w:p w14:paraId="7D4EE039">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2B11509">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绕线机</w:t>
                  </w:r>
                </w:p>
              </w:tc>
              <w:tc>
                <w:tcPr>
                  <w:tcW w:w="1091" w:type="dxa"/>
                  <w:vAlign w:val="center"/>
                </w:tcPr>
                <w:p w14:paraId="620F798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29EAE52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2D7816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4</w:t>
                  </w:r>
                  <w:r>
                    <w:rPr>
                      <w:rFonts w:hint="default" w:ascii="Times New Roman" w:hAnsi="Times New Roman" w:eastAsia="宋体" w:cs="Times New Roman"/>
                      <w:spacing w:val="-10"/>
                      <w:sz w:val="21"/>
                      <w:szCs w:val="21"/>
                    </w:rPr>
                    <w:t>F</w:t>
                  </w:r>
                </w:p>
              </w:tc>
            </w:tr>
            <w:tr w14:paraId="746C9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E514BB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1296" w:type="dxa"/>
                  <w:vMerge w:val="continue"/>
                  <w:vAlign w:val="center"/>
                </w:tcPr>
                <w:p w14:paraId="07583C4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07F75C36">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吊力贴标机</w:t>
                  </w:r>
                </w:p>
              </w:tc>
              <w:tc>
                <w:tcPr>
                  <w:tcW w:w="1091" w:type="dxa"/>
                  <w:vAlign w:val="center"/>
                </w:tcPr>
                <w:p w14:paraId="122CD33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3台</w:t>
                  </w:r>
                </w:p>
              </w:tc>
              <w:tc>
                <w:tcPr>
                  <w:tcW w:w="1759" w:type="dxa"/>
                  <w:vAlign w:val="center"/>
                </w:tcPr>
                <w:p w14:paraId="1B50288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DB7FA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4</w:t>
                  </w:r>
                  <w:r>
                    <w:rPr>
                      <w:rFonts w:hint="default" w:ascii="Times New Roman" w:hAnsi="Times New Roman" w:eastAsia="宋体" w:cs="Times New Roman"/>
                      <w:spacing w:val="-10"/>
                      <w:sz w:val="21"/>
                      <w:szCs w:val="21"/>
                    </w:rPr>
                    <w:t>F</w:t>
                  </w:r>
                </w:p>
              </w:tc>
            </w:tr>
            <w:tr w14:paraId="21A19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AA00CF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1296" w:type="dxa"/>
                  <w:vMerge w:val="restart"/>
                  <w:vAlign w:val="center"/>
                </w:tcPr>
                <w:p w14:paraId="165912F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无刷马达生产线</w:t>
                  </w:r>
                </w:p>
              </w:tc>
              <w:tc>
                <w:tcPr>
                  <w:tcW w:w="2454" w:type="dxa"/>
                  <w:vAlign w:val="center"/>
                </w:tcPr>
                <w:p w14:paraId="7878DE29">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自动绕线机</w:t>
                  </w:r>
                </w:p>
              </w:tc>
              <w:tc>
                <w:tcPr>
                  <w:tcW w:w="1091" w:type="dxa"/>
                  <w:vAlign w:val="center"/>
                </w:tcPr>
                <w:p w14:paraId="2AD143C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3FD0D96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76D6FC0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eastAsia"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F</w:t>
                  </w:r>
                </w:p>
              </w:tc>
            </w:tr>
            <w:tr w14:paraId="7D6F3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30B431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w:t>
                  </w:r>
                </w:p>
              </w:tc>
              <w:tc>
                <w:tcPr>
                  <w:tcW w:w="1296" w:type="dxa"/>
                  <w:vMerge w:val="continue"/>
                  <w:vAlign w:val="center"/>
                </w:tcPr>
                <w:p w14:paraId="4E1DE553">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3E391C2B">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定子组装机</w:t>
                  </w:r>
                </w:p>
              </w:tc>
              <w:tc>
                <w:tcPr>
                  <w:tcW w:w="1091" w:type="dxa"/>
                  <w:vAlign w:val="center"/>
                </w:tcPr>
                <w:p w14:paraId="034FDAB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2B92262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4E53A3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F</w:t>
                  </w:r>
                </w:p>
              </w:tc>
            </w:tr>
            <w:tr w14:paraId="6518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3779E8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p>
              </w:tc>
              <w:tc>
                <w:tcPr>
                  <w:tcW w:w="1296" w:type="dxa"/>
                  <w:vMerge w:val="continue"/>
                  <w:vAlign w:val="center"/>
                </w:tcPr>
                <w:p w14:paraId="084D42E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09FA187C">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转子组装机</w:t>
                  </w:r>
                </w:p>
              </w:tc>
              <w:tc>
                <w:tcPr>
                  <w:tcW w:w="1091" w:type="dxa"/>
                  <w:vAlign w:val="center"/>
                </w:tcPr>
                <w:p w14:paraId="7DA7903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A7CEC2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1F8677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F</w:t>
                  </w:r>
                </w:p>
              </w:tc>
            </w:tr>
            <w:tr w14:paraId="35A4E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50BAD2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1296" w:type="dxa"/>
                  <w:vMerge w:val="continue"/>
                  <w:vAlign w:val="center"/>
                </w:tcPr>
                <w:p w14:paraId="482C6B9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433DAEE4">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点胶烘烤</w:t>
                  </w:r>
                </w:p>
              </w:tc>
              <w:tc>
                <w:tcPr>
                  <w:tcW w:w="1091" w:type="dxa"/>
                  <w:vAlign w:val="center"/>
                </w:tcPr>
                <w:p w14:paraId="40D84A9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64B90C5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3051B18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F</w:t>
                  </w:r>
                </w:p>
              </w:tc>
            </w:tr>
            <w:tr w14:paraId="2E35B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FDD888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1296" w:type="dxa"/>
                  <w:vMerge w:val="continue"/>
                  <w:vAlign w:val="center"/>
                </w:tcPr>
                <w:p w14:paraId="1600AE1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33DAF099">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成品总装机</w:t>
                  </w:r>
                </w:p>
              </w:tc>
              <w:tc>
                <w:tcPr>
                  <w:tcW w:w="1091" w:type="dxa"/>
                  <w:vAlign w:val="center"/>
                </w:tcPr>
                <w:p w14:paraId="2A4F9B9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94BC5F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7542E7D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F</w:t>
                  </w:r>
                </w:p>
              </w:tc>
            </w:tr>
            <w:tr w14:paraId="2CBC2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79972C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w:t>
                  </w:r>
                </w:p>
              </w:tc>
              <w:tc>
                <w:tcPr>
                  <w:tcW w:w="1296" w:type="dxa"/>
                  <w:vMerge w:val="continue"/>
                  <w:vAlign w:val="center"/>
                </w:tcPr>
                <w:p w14:paraId="0564AFC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4E69C483">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动平衡仪</w:t>
                  </w:r>
                </w:p>
              </w:tc>
              <w:tc>
                <w:tcPr>
                  <w:tcW w:w="1091" w:type="dxa"/>
                  <w:vAlign w:val="center"/>
                </w:tcPr>
                <w:p w14:paraId="01EBEC1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7C63B3D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10D83D0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F</w:t>
                  </w:r>
                </w:p>
              </w:tc>
            </w:tr>
            <w:tr w14:paraId="7969B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C68E61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c>
                <w:tcPr>
                  <w:tcW w:w="1296" w:type="dxa"/>
                  <w:vMerge w:val="continue"/>
                  <w:vAlign w:val="center"/>
                </w:tcPr>
                <w:p w14:paraId="0B0B859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339BCB7">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激光打标机</w:t>
                  </w:r>
                </w:p>
              </w:tc>
              <w:tc>
                <w:tcPr>
                  <w:tcW w:w="1091" w:type="dxa"/>
                  <w:vAlign w:val="center"/>
                </w:tcPr>
                <w:p w14:paraId="7CA559B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5A2EC1E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4A16E93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5</w:t>
                  </w:r>
                  <w:r>
                    <w:rPr>
                      <w:rFonts w:hint="default" w:ascii="Times New Roman" w:hAnsi="Times New Roman" w:eastAsia="宋体" w:cs="Times New Roman"/>
                      <w:spacing w:val="-10"/>
                      <w:sz w:val="21"/>
                      <w:szCs w:val="21"/>
                      <w:lang w:val="en-US" w:eastAsia="zh-CN"/>
                    </w:rPr>
                    <w:t>F</w:t>
                  </w:r>
                </w:p>
              </w:tc>
            </w:tr>
            <w:tr w14:paraId="4C8ED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478463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1296" w:type="dxa"/>
                  <w:vMerge w:val="restart"/>
                  <w:vAlign w:val="center"/>
                </w:tcPr>
                <w:p w14:paraId="01668433">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支架马达生产线</w:t>
                  </w:r>
                </w:p>
              </w:tc>
              <w:tc>
                <w:tcPr>
                  <w:tcW w:w="2454" w:type="dxa"/>
                  <w:vAlign w:val="center"/>
                </w:tcPr>
                <w:p w14:paraId="63AE43AA">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支架与机壳焊接机</w:t>
                  </w:r>
                </w:p>
              </w:tc>
              <w:tc>
                <w:tcPr>
                  <w:tcW w:w="1091" w:type="dxa"/>
                  <w:vAlign w:val="center"/>
                </w:tcPr>
                <w:p w14:paraId="1AFE6FF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0195C70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eastAsia="宋体" w:cs="Times New Roman"/>
                      <w:position w:val="1"/>
                      <w:sz w:val="21"/>
                      <w:szCs w:val="21"/>
                      <w:lang w:val="en-US" w:eastAsia="zh-CN"/>
                    </w:rPr>
                    <w:t>1016款+0819款</w:t>
                  </w:r>
                </w:p>
              </w:tc>
              <w:tc>
                <w:tcPr>
                  <w:tcW w:w="917" w:type="dxa"/>
                  <w:vAlign w:val="center"/>
                </w:tcPr>
                <w:p w14:paraId="52B6645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lang w:val="en-US" w:eastAsia="zh-CN"/>
                    </w:rPr>
                    <w:t>F</w:t>
                  </w:r>
                </w:p>
              </w:tc>
            </w:tr>
            <w:tr w14:paraId="27045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115D4D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1296" w:type="dxa"/>
                  <w:vMerge w:val="continue"/>
                  <w:vAlign w:val="center"/>
                </w:tcPr>
                <w:p w14:paraId="50E059F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D667124">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后盖与机壳焊接机</w:t>
                  </w:r>
                </w:p>
              </w:tc>
              <w:tc>
                <w:tcPr>
                  <w:tcW w:w="1091" w:type="dxa"/>
                  <w:vAlign w:val="center"/>
                </w:tcPr>
                <w:p w14:paraId="4CCEAD1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4679F3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position w:val="1"/>
                      <w:sz w:val="21"/>
                      <w:szCs w:val="21"/>
                      <w:lang w:val="en-US" w:eastAsia="zh-CN"/>
                    </w:rPr>
                    <w:t>1016款+0819款</w:t>
                  </w:r>
                </w:p>
              </w:tc>
              <w:tc>
                <w:tcPr>
                  <w:tcW w:w="917" w:type="dxa"/>
                  <w:vAlign w:val="center"/>
                </w:tcPr>
                <w:p w14:paraId="49F19FE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lang w:val="en-US" w:eastAsia="zh-CN"/>
                    </w:rPr>
                    <w:t>F</w:t>
                  </w:r>
                </w:p>
              </w:tc>
            </w:tr>
            <w:tr w14:paraId="103A7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13BC02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1296" w:type="dxa"/>
                  <w:vMerge w:val="continue"/>
                  <w:vAlign w:val="center"/>
                </w:tcPr>
                <w:p w14:paraId="6F1F59E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4EF58AE">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半成品组装机</w:t>
                  </w:r>
                </w:p>
              </w:tc>
              <w:tc>
                <w:tcPr>
                  <w:tcW w:w="1091" w:type="dxa"/>
                  <w:vAlign w:val="center"/>
                </w:tcPr>
                <w:p w14:paraId="0C12AFC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20F51A6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position w:val="1"/>
                      <w:sz w:val="21"/>
                      <w:szCs w:val="21"/>
                      <w:lang w:val="en-US" w:eastAsia="zh-CN"/>
                    </w:rPr>
                    <w:t>1016款+0819款</w:t>
                  </w:r>
                </w:p>
              </w:tc>
              <w:tc>
                <w:tcPr>
                  <w:tcW w:w="917" w:type="dxa"/>
                  <w:vAlign w:val="center"/>
                </w:tcPr>
                <w:p w14:paraId="364BE52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lang w:val="en-US" w:eastAsia="zh-CN"/>
                    </w:rPr>
                    <w:t>F</w:t>
                  </w:r>
                </w:p>
              </w:tc>
            </w:tr>
            <w:tr w14:paraId="1F2A0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80" w:type="dxa"/>
                  <w:vAlign w:val="center"/>
                </w:tcPr>
                <w:p w14:paraId="7193864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w:t>
                  </w:r>
                </w:p>
              </w:tc>
              <w:tc>
                <w:tcPr>
                  <w:tcW w:w="1296" w:type="dxa"/>
                  <w:vMerge w:val="continue"/>
                  <w:vAlign w:val="center"/>
                </w:tcPr>
                <w:p w14:paraId="43A13A8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2B0F19C1">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成品组装机</w:t>
                  </w:r>
                </w:p>
              </w:tc>
              <w:tc>
                <w:tcPr>
                  <w:tcW w:w="1091" w:type="dxa"/>
                  <w:vAlign w:val="center"/>
                </w:tcPr>
                <w:p w14:paraId="187D163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2台</w:t>
                  </w:r>
                </w:p>
              </w:tc>
              <w:tc>
                <w:tcPr>
                  <w:tcW w:w="1759" w:type="dxa"/>
                  <w:vAlign w:val="center"/>
                </w:tcPr>
                <w:p w14:paraId="1B4F908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position w:val="1"/>
                      <w:sz w:val="21"/>
                      <w:szCs w:val="21"/>
                      <w:lang w:val="en-US" w:eastAsia="zh-CN"/>
                    </w:rPr>
                    <w:t>1016款+0819款</w:t>
                  </w:r>
                </w:p>
              </w:tc>
              <w:tc>
                <w:tcPr>
                  <w:tcW w:w="917" w:type="dxa"/>
                  <w:vAlign w:val="center"/>
                </w:tcPr>
                <w:p w14:paraId="41E84F5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lang w:val="en-US" w:eastAsia="zh-CN"/>
                    </w:rPr>
                    <w:t>F</w:t>
                  </w:r>
                </w:p>
              </w:tc>
            </w:tr>
            <w:tr w14:paraId="3058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0A2BEB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c>
                <w:tcPr>
                  <w:tcW w:w="1296" w:type="dxa"/>
                  <w:vMerge w:val="continue"/>
                  <w:vAlign w:val="center"/>
                </w:tcPr>
                <w:p w14:paraId="7BF348D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2F482D66">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PI焊接流水线（新）</w:t>
                  </w:r>
                </w:p>
              </w:tc>
              <w:tc>
                <w:tcPr>
                  <w:tcW w:w="1091" w:type="dxa"/>
                  <w:vAlign w:val="center"/>
                </w:tcPr>
                <w:p w14:paraId="515A24D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2套</w:t>
                  </w:r>
                </w:p>
              </w:tc>
              <w:tc>
                <w:tcPr>
                  <w:tcW w:w="1759" w:type="dxa"/>
                  <w:vAlign w:val="center"/>
                </w:tcPr>
                <w:p w14:paraId="4B3D711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2E74104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lang w:val="en-US" w:eastAsia="zh-CN"/>
                    </w:rPr>
                    <w:t>F</w:t>
                  </w:r>
                </w:p>
              </w:tc>
            </w:tr>
            <w:tr w14:paraId="7894C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E64D8F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1296" w:type="dxa"/>
                  <w:vMerge w:val="continue"/>
                  <w:vAlign w:val="center"/>
                </w:tcPr>
                <w:p w14:paraId="1C7A6C7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19BEBB7">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1022取付板焊接点焊机</w:t>
                  </w:r>
                </w:p>
              </w:tc>
              <w:tc>
                <w:tcPr>
                  <w:tcW w:w="1091" w:type="dxa"/>
                  <w:vAlign w:val="center"/>
                </w:tcPr>
                <w:p w14:paraId="0B0C987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6台</w:t>
                  </w:r>
                </w:p>
              </w:tc>
              <w:tc>
                <w:tcPr>
                  <w:tcW w:w="1759" w:type="dxa"/>
                  <w:vAlign w:val="center"/>
                </w:tcPr>
                <w:p w14:paraId="3029E1C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015642D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lang w:val="en-US" w:eastAsia="zh-CN"/>
                    </w:rPr>
                    <w:t>F</w:t>
                  </w:r>
                </w:p>
              </w:tc>
            </w:tr>
            <w:tr w14:paraId="6B66E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158E7E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c>
                <w:tcPr>
                  <w:tcW w:w="1296" w:type="dxa"/>
                  <w:vMerge w:val="continue"/>
                  <w:vAlign w:val="center"/>
                </w:tcPr>
                <w:p w14:paraId="1612AD1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536E742E">
                  <w:pPr>
                    <w:keepNext w:val="0"/>
                    <w:keepLines w:val="0"/>
                    <w:widowControl/>
                    <w:suppressLineNumbers w:val="0"/>
                    <w:jc w:val="center"/>
                    <w:textAlignment w:val="center"/>
                    <w:rPr>
                      <w:rFonts w:hint="default" w:ascii="Times New Roman" w:hAnsi="Times New Roman" w:eastAsia="宋体" w:cs="Times New Roman"/>
                      <w:spacing w:val="-7"/>
                      <w:kern w:val="2"/>
                      <w:sz w:val="21"/>
                      <w:szCs w:val="21"/>
                      <w:lang w:val="en-US" w:eastAsia="zh-CN" w:bidi="ar-SA"/>
                    </w:rPr>
                  </w:pPr>
                  <w:r>
                    <w:rPr>
                      <w:rFonts w:hint="default" w:ascii="Times New Roman" w:hAnsi="Times New Roman" w:eastAsia="宋体" w:cs="Times New Roman"/>
                      <w:spacing w:val="-7"/>
                      <w:kern w:val="2"/>
                      <w:sz w:val="21"/>
                      <w:szCs w:val="21"/>
                      <w:lang w:val="en-US" w:eastAsia="zh-CN" w:bidi="ar-SA"/>
                    </w:rPr>
                    <w:t>1022后盖焊接点焊机</w:t>
                  </w:r>
                </w:p>
              </w:tc>
              <w:tc>
                <w:tcPr>
                  <w:tcW w:w="1091" w:type="dxa"/>
                  <w:vAlign w:val="center"/>
                </w:tcPr>
                <w:p w14:paraId="0E7F2D7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7"/>
                      <w:sz w:val="21"/>
                      <w:szCs w:val="21"/>
                      <w:lang w:val="en-US" w:eastAsia="zh-CN"/>
                    </w:rPr>
                    <w:t>6台</w:t>
                  </w:r>
                </w:p>
              </w:tc>
              <w:tc>
                <w:tcPr>
                  <w:tcW w:w="1759" w:type="dxa"/>
                  <w:vAlign w:val="center"/>
                </w:tcPr>
                <w:p w14:paraId="3F02A56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eastAsia="宋体" w:cs="Times New Roman"/>
                      <w:spacing w:val="-7"/>
                      <w:sz w:val="21"/>
                      <w:szCs w:val="21"/>
                      <w:lang w:val="en-US" w:eastAsia="zh-CN"/>
                    </w:rPr>
                    <w:t>/</w:t>
                  </w:r>
                </w:p>
              </w:tc>
              <w:tc>
                <w:tcPr>
                  <w:tcW w:w="917" w:type="dxa"/>
                  <w:vAlign w:val="center"/>
                </w:tcPr>
                <w:p w14:paraId="652B6CE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3</w:t>
                  </w:r>
                  <w:r>
                    <w:rPr>
                      <w:rFonts w:hint="default" w:ascii="Times New Roman" w:hAnsi="Times New Roman" w:eastAsia="宋体" w:cs="Times New Roman"/>
                      <w:spacing w:val="-10"/>
                      <w:sz w:val="21"/>
                      <w:szCs w:val="21"/>
                      <w:lang w:val="en-US" w:eastAsia="zh-CN"/>
                    </w:rPr>
                    <w:t>F</w:t>
                  </w:r>
                </w:p>
              </w:tc>
            </w:tr>
            <w:tr w14:paraId="499D4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3E6641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w:t>
                  </w:r>
                </w:p>
              </w:tc>
              <w:tc>
                <w:tcPr>
                  <w:tcW w:w="1296" w:type="dxa"/>
                  <w:vMerge w:val="restart"/>
                  <w:vAlign w:val="center"/>
                </w:tcPr>
                <w:p w14:paraId="271ECED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2"/>
                      <w:sz w:val="21"/>
                      <w:szCs w:val="21"/>
                    </w:rPr>
                    <w:t>注塑单元</w:t>
                  </w:r>
                </w:p>
              </w:tc>
              <w:tc>
                <w:tcPr>
                  <w:tcW w:w="2454" w:type="dxa"/>
                  <w:shd w:val="clear" w:color="auto" w:fill="auto"/>
                  <w:vAlign w:val="center"/>
                </w:tcPr>
                <w:p w14:paraId="07EB5229">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注塑机</w:t>
                  </w:r>
                </w:p>
              </w:tc>
              <w:tc>
                <w:tcPr>
                  <w:tcW w:w="1091" w:type="dxa"/>
                  <w:shd w:val="clear" w:color="auto" w:fill="auto"/>
                  <w:vAlign w:val="center"/>
                </w:tcPr>
                <w:p w14:paraId="48B4F35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lang w:val="en-US" w:eastAsia="zh-CN"/>
                    </w:rPr>
                    <w:t>30</w:t>
                  </w:r>
                  <w:r>
                    <w:rPr>
                      <w:rFonts w:hint="default" w:ascii="Times New Roman" w:hAnsi="Times New Roman" w:eastAsia="宋体" w:cs="Times New Roman"/>
                      <w:spacing w:val="-6"/>
                      <w:sz w:val="21"/>
                      <w:szCs w:val="21"/>
                    </w:rPr>
                    <w:t>台</w:t>
                  </w:r>
                </w:p>
              </w:tc>
              <w:tc>
                <w:tcPr>
                  <w:tcW w:w="1759" w:type="dxa"/>
                  <w:shd w:val="clear" w:color="auto" w:fill="auto"/>
                  <w:vAlign w:val="center"/>
                </w:tcPr>
                <w:p w14:paraId="085DA8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FANUCROBOSHOT a-S100iB</w:t>
                  </w:r>
                </w:p>
              </w:tc>
              <w:tc>
                <w:tcPr>
                  <w:tcW w:w="917" w:type="dxa"/>
                  <w:vAlign w:val="center"/>
                </w:tcPr>
                <w:p w14:paraId="4B1F3E4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p>
              </w:tc>
            </w:tr>
            <w:tr w14:paraId="12A91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4B94FF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w:t>
                  </w:r>
                </w:p>
              </w:tc>
              <w:tc>
                <w:tcPr>
                  <w:tcW w:w="1296" w:type="dxa"/>
                  <w:vMerge w:val="continue"/>
                  <w:vAlign w:val="center"/>
                </w:tcPr>
                <w:p w14:paraId="25EC435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shd w:val="clear" w:color="auto" w:fill="auto"/>
                  <w:vAlign w:val="center"/>
                </w:tcPr>
                <w:p w14:paraId="7919C2A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4"/>
                      <w:sz w:val="21"/>
                      <w:szCs w:val="21"/>
                      <w:lang w:val="en-US" w:eastAsia="zh-CN"/>
                    </w:rPr>
                    <w:t>模温机</w:t>
                  </w:r>
                </w:p>
              </w:tc>
              <w:tc>
                <w:tcPr>
                  <w:tcW w:w="1091" w:type="dxa"/>
                  <w:shd w:val="clear" w:color="auto" w:fill="auto"/>
                  <w:vAlign w:val="center"/>
                </w:tcPr>
                <w:p w14:paraId="75CC4343">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lang w:val="en-US" w:eastAsia="zh-CN"/>
                    </w:rPr>
                    <w:t>30台</w:t>
                  </w:r>
                </w:p>
              </w:tc>
              <w:tc>
                <w:tcPr>
                  <w:tcW w:w="1759" w:type="dxa"/>
                  <w:shd w:val="clear" w:color="auto" w:fill="auto"/>
                  <w:vAlign w:val="center"/>
                </w:tcPr>
                <w:p w14:paraId="3B2469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BT-180A10运水式</w:t>
                  </w:r>
                </w:p>
              </w:tc>
              <w:tc>
                <w:tcPr>
                  <w:tcW w:w="917" w:type="dxa"/>
                  <w:vAlign w:val="center"/>
                </w:tcPr>
                <w:p w14:paraId="6242D25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p>
              </w:tc>
            </w:tr>
            <w:tr w14:paraId="49488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E310FB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w:t>
                  </w:r>
                </w:p>
              </w:tc>
              <w:tc>
                <w:tcPr>
                  <w:tcW w:w="1296" w:type="dxa"/>
                  <w:vMerge w:val="continue"/>
                  <w:vAlign w:val="center"/>
                </w:tcPr>
                <w:p w14:paraId="0948E26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vAlign w:val="center"/>
                </w:tcPr>
                <w:p w14:paraId="0DFCE0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机械手</w:t>
                  </w:r>
                </w:p>
              </w:tc>
              <w:tc>
                <w:tcPr>
                  <w:tcW w:w="1091" w:type="dxa"/>
                  <w:vAlign w:val="center"/>
                </w:tcPr>
                <w:p w14:paraId="23B367A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6"/>
                      <w:sz w:val="21"/>
                      <w:szCs w:val="21"/>
                      <w:lang w:val="en-US" w:eastAsia="zh-CN"/>
                    </w:rPr>
                    <w:t>30台</w:t>
                  </w:r>
                </w:p>
              </w:tc>
              <w:tc>
                <w:tcPr>
                  <w:tcW w:w="1759" w:type="dxa"/>
                  <w:vAlign w:val="center"/>
                </w:tcPr>
                <w:p w14:paraId="6A9339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4A589C8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p>
              </w:tc>
            </w:tr>
            <w:tr w14:paraId="796F7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DE2212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w:t>
                  </w:r>
                </w:p>
              </w:tc>
              <w:tc>
                <w:tcPr>
                  <w:tcW w:w="1296" w:type="dxa"/>
                  <w:vMerge w:val="continue"/>
                  <w:vAlign w:val="center"/>
                </w:tcPr>
                <w:p w14:paraId="2156BBE9">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shd w:val="clear" w:color="auto" w:fill="auto"/>
                  <w:vAlign w:val="center"/>
                </w:tcPr>
                <w:p w14:paraId="4E1DED3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rPr>
                    <w:t>干燥机</w:t>
                  </w:r>
                </w:p>
              </w:tc>
              <w:tc>
                <w:tcPr>
                  <w:tcW w:w="1091" w:type="dxa"/>
                  <w:shd w:val="clear" w:color="auto" w:fill="auto"/>
                  <w:vAlign w:val="center"/>
                </w:tcPr>
                <w:p w14:paraId="1433CDF9">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lang w:val="en-US" w:eastAsia="zh-CN"/>
                    </w:rPr>
                    <w:t>30</w:t>
                  </w:r>
                  <w:r>
                    <w:rPr>
                      <w:rFonts w:hint="default" w:ascii="Times New Roman" w:hAnsi="Times New Roman" w:eastAsia="宋体" w:cs="Times New Roman"/>
                      <w:spacing w:val="-6"/>
                      <w:sz w:val="21"/>
                      <w:szCs w:val="21"/>
                    </w:rPr>
                    <w:t>台</w:t>
                  </w:r>
                </w:p>
              </w:tc>
              <w:tc>
                <w:tcPr>
                  <w:tcW w:w="1759" w:type="dxa"/>
                  <w:vAlign w:val="center"/>
                </w:tcPr>
                <w:p w14:paraId="68A92B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电加热</w:t>
                  </w:r>
                </w:p>
              </w:tc>
              <w:tc>
                <w:tcPr>
                  <w:tcW w:w="917" w:type="dxa"/>
                  <w:vAlign w:val="center"/>
                </w:tcPr>
                <w:p w14:paraId="065BD69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p>
              </w:tc>
            </w:tr>
            <w:tr w14:paraId="02C39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4C6072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296" w:type="dxa"/>
                  <w:vMerge w:val="continue"/>
                  <w:vAlign w:val="center"/>
                </w:tcPr>
                <w:p w14:paraId="206ACBB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shd w:val="clear" w:color="auto" w:fill="auto"/>
                  <w:vAlign w:val="center"/>
                </w:tcPr>
                <w:p w14:paraId="7EF6FED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吸料机</w:t>
                  </w:r>
                </w:p>
              </w:tc>
              <w:tc>
                <w:tcPr>
                  <w:tcW w:w="1091" w:type="dxa"/>
                  <w:shd w:val="clear" w:color="auto" w:fill="auto"/>
                  <w:vAlign w:val="center"/>
                </w:tcPr>
                <w:p w14:paraId="497E6DD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1"/>
                      <w:sz w:val="21"/>
                      <w:szCs w:val="21"/>
                      <w:lang w:val="en-US" w:eastAsia="zh-CN"/>
                    </w:rPr>
                    <w:t>30</w:t>
                  </w:r>
                  <w:r>
                    <w:rPr>
                      <w:rFonts w:hint="default" w:ascii="Times New Roman" w:hAnsi="Times New Roman" w:eastAsia="宋体" w:cs="Times New Roman"/>
                      <w:spacing w:val="-11"/>
                      <w:sz w:val="21"/>
                      <w:szCs w:val="21"/>
                    </w:rPr>
                    <w:t>台</w:t>
                  </w:r>
                </w:p>
              </w:tc>
              <w:tc>
                <w:tcPr>
                  <w:tcW w:w="1759" w:type="dxa"/>
                  <w:vAlign w:val="center"/>
                </w:tcPr>
                <w:p w14:paraId="0CF6A0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2362EEA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1F</w:t>
                  </w:r>
                </w:p>
              </w:tc>
            </w:tr>
            <w:tr w14:paraId="479C0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557D533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w:t>
                  </w:r>
                </w:p>
              </w:tc>
              <w:tc>
                <w:tcPr>
                  <w:tcW w:w="1296" w:type="dxa"/>
                  <w:vMerge w:val="continue"/>
                  <w:vAlign w:val="center"/>
                </w:tcPr>
                <w:p w14:paraId="3272D6E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rPr>
                  </w:pPr>
                </w:p>
              </w:tc>
              <w:tc>
                <w:tcPr>
                  <w:tcW w:w="2454" w:type="dxa"/>
                  <w:shd w:val="clear" w:color="auto" w:fill="auto"/>
                  <w:vAlign w:val="center"/>
                </w:tcPr>
                <w:p w14:paraId="0671FFF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sz w:val="21"/>
                      <w:szCs w:val="21"/>
                      <w:lang w:val="en-US" w:eastAsia="zh-CN"/>
                    </w:rPr>
                    <w:t>粉碎机</w:t>
                  </w:r>
                </w:p>
              </w:tc>
              <w:tc>
                <w:tcPr>
                  <w:tcW w:w="1091" w:type="dxa"/>
                  <w:shd w:val="clear" w:color="auto" w:fill="auto"/>
                  <w:vAlign w:val="center"/>
                </w:tcPr>
                <w:p w14:paraId="60193F5D">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eastAsia="宋体" w:cs="Times New Roman"/>
                      <w:spacing w:val="-11"/>
                      <w:sz w:val="21"/>
                      <w:szCs w:val="21"/>
                      <w:lang w:val="en-US" w:eastAsia="zh-CN"/>
                    </w:rPr>
                    <w:t>5台</w:t>
                  </w:r>
                </w:p>
              </w:tc>
              <w:tc>
                <w:tcPr>
                  <w:tcW w:w="1759" w:type="dxa"/>
                  <w:vAlign w:val="center"/>
                </w:tcPr>
                <w:p w14:paraId="2D83B4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10HP</w:t>
                  </w:r>
                </w:p>
              </w:tc>
              <w:tc>
                <w:tcPr>
                  <w:tcW w:w="917" w:type="dxa"/>
                  <w:vAlign w:val="center"/>
                </w:tcPr>
                <w:p w14:paraId="77A3ABA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rPr>
                    <w:t>1F</w:t>
                  </w:r>
                </w:p>
              </w:tc>
            </w:tr>
            <w:tr w14:paraId="7BF61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25F5D6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w:t>
                  </w:r>
                </w:p>
              </w:tc>
              <w:tc>
                <w:tcPr>
                  <w:tcW w:w="1296" w:type="dxa"/>
                  <w:vMerge w:val="restart"/>
                  <w:vAlign w:val="center"/>
                </w:tcPr>
                <w:p w14:paraId="6A59AB8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生产通用设备</w:t>
                  </w:r>
                </w:p>
              </w:tc>
              <w:tc>
                <w:tcPr>
                  <w:tcW w:w="2454" w:type="dxa"/>
                  <w:vAlign w:val="center"/>
                </w:tcPr>
                <w:p w14:paraId="1AA96BAC">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en-US" w:bidi="ar-SA"/>
                    </w:rPr>
                  </w:pPr>
                  <w:r>
                    <w:rPr>
                      <w:rFonts w:hint="default" w:ascii="Times New Roman" w:hAnsi="Times New Roman" w:eastAsia="宋体" w:cs="Times New Roman"/>
                      <w:spacing w:val="-6"/>
                      <w:kern w:val="2"/>
                      <w:sz w:val="21"/>
                      <w:szCs w:val="21"/>
                      <w:lang w:val="en-US" w:eastAsia="zh-CN" w:bidi="ar-SA"/>
                    </w:rPr>
                    <w:t>烤箱</w:t>
                  </w:r>
                </w:p>
              </w:tc>
              <w:tc>
                <w:tcPr>
                  <w:tcW w:w="1091" w:type="dxa"/>
                  <w:vAlign w:val="center"/>
                </w:tcPr>
                <w:p w14:paraId="6237A80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4台</w:t>
                  </w:r>
                </w:p>
              </w:tc>
              <w:tc>
                <w:tcPr>
                  <w:tcW w:w="1759" w:type="dxa"/>
                  <w:vAlign w:val="center"/>
                </w:tcPr>
                <w:p w14:paraId="7B285B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1783E20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1F</w:t>
                  </w:r>
                </w:p>
              </w:tc>
            </w:tr>
            <w:tr w14:paraId="67D78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C24EA1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w:t>
                  </w:r>
                </w:p>
              </w:tc>
              <w:tc>
                <w:tcPr>
                  <w:tcW w:w="1296" w:type="dxa"/>
                  <w:vMerge w:val="continue"/>
                  <w:vAlign w:val="center"/>
                </w:tcPr>
                <w:p w14:paraId="23B569C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2"/>
                      <w:sz w:val="21"/>
                      <w:szCs w:val="21"/>
                    </w:rPr>
                  </w:pPr>
                </w:p>
              </w:tc>
              <w:tc>
                <w:tcPr>
                  <w:tcW w:w="2454" w:type="dxa"/>
                  <w:vAlign w:val="center"/>
                </w:tcPr>
                <w:p w14:paraId="6A6CBBC6">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全自动12轴绕线机+全自动12轴绞线机</w:t>
                  </w:r>
                </w:p>
              </w:tc>
              <w:tc>
                <w:tcPr>
                  <w:tcW w:w="1091" w:type="dxa"/>
                  <w:vAlign w:val="center"/>
                </w:tcPr>
                <w:p w14:paraId="09734AE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1台</w:t>
                  </w:r>
                </w:p>
              </w:tc>
              <w:tc>
                <w:tcPr>
                  <w:tcW w:w="1759" w:type="dxa"/>
                  <w:shd w:val="clear" w:color="auto" w:fill="auto"/>
                  <w:vAlign w:val="center"/>
                </w:tcPr>
                <w:p w14:paraId="6E89D2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EZRS5012+EJS5012</w:t>
                  </w:r>
                </w:p>
              </w:tc>
              <w:tc>
                <w:tcPr>
                  <w:tcW w:w="917" w:type="dxa"/>
                  <w:vAlign w:val="center"/>
                </w:tcPr>
                <w:p w14:paraId="5468C80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lang w:val="en-US" w:eastAsia="zh-CN"/>
                    </w:rPr>
                    <w:t>3F</w:t>
                  </w:r>
                </w:p>
              </w:tc>
            </w:tr>
            <w:tr w14:paraId="23BAD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51EE1F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w:t>
                  </w:r>
                </w:p>
              </w:tc>
              <w:tc>
                <w:tcPr>
                  <w:tcW w:w="1296" w:type="dxa"/>
                  <w:vMerge w:val="continue"/>
                  <w:vAlign w:val="center"/>
                </w:tcPr>
                <w:p w14:paraId="5FEFCA4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62BCB0AF">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手动充磁机</w:t>
                  </w:r>
                </w:p>
              </w:tc>
              <w:tc>
                <w:tcPr>
                  <w:tcW w:w="1091" w:type="dxa"/>
                  <w:vAlign w:val="center"/>
                </w:tcPr>
                <w:p w14:paraId="09CFDA5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6台</w:t>
                  </w:r>
                </w:p>
              </w:tc>
              <w:tc>
                <w:tcPr>
                  <w:tcW w:w="1759" w:type="dxa"/>
                  <w:vAlign w:val="center"/>
                </w:tcPr>
                <w:p w14:paraId="4BDB2D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JC1310</w:t>
                  </w:r>
                </w:p>
              </w:tc>
              <w:tc>
                <w:tcPr>
                  <w:tcW w:w="917" w:type="dxa"/>
                  <w:vAlign w:val="center"/>
                </w:tcPr>
                <w:p w14:paraId="71CE48F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1F</w:t>
                  </w:r>
                </w:p>
              </w:tc>
            </w:tr>
            <w:tr w14:paraId="5EA56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6F27347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w:t>
                  </w:r>
                </w:p>
              </w:tc>
              <w:tc>
                <w:tcPr>
                  <w:tcW w:w="1296" w:type="dxa"/>
                  <w:vMerge w:val="continue"/>
                  <w:vAlign w:val="center"/>
                </w:tcPr>
                <w:p w14:paraId="7AB19AE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6BE0218E">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紫外线固化机</w:t>
                  </w:r>
                </w:p>
              </w:tc>
              <w:tc>
                <w:tcPr>
                  <w:tcW w:w="1091" w:type="dxa"/>
                  <w:vAlign w:val="center"/>
                </w:tcPr>
                <w:p w14:paraId="565BF9D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1"/>
                      <w:sz w:val="21"/>
                      <w:szCs w:val="21"/>
                      <w:lang w:val="en-US" w:eastAsia="zh-CN"/>
                    </w:rPr>
                  </w:pPr>
                  <w:r>
                    <w:rPr>
                      <w:rFonts w:hint="default" w:ascii="Times New Roman" w:hAnsi="Times New Roman" w:eastAsia="宋体" w:cs="Times New Roman"/>
                      <w:spacing w:val="-11"/>
                      <w:sz w:val="21"/>
                      <w:szCs w:val="21"/>
                      <w:lang w:val="en-US" w:eastAsia="zh-CN"/>
                    </w:rPr>
                    <w:t>6台</w:t>
                  </w:r>
                </w:p>
              </w:tc>
              <w:tc>
                <w:tcPr>
                  <w:tcW w:w="1759" w:type="dxa"/>
                  <w:vAlign w:val="center"/>
                </w:tcPr>
                <w:p w14:paraId="5FA543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RX200-1</w:t>
                  </w:r>
                </w:p>
              </w:tc>
              <w:tc>
                <w:tcPr>
                  <w:tcW w:w="917" w:type="dxa"/>
                  <w:vAlign w:val="center"/>
                </w:tcPr>
                <w:p w14:paraId="25BF3E4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0"/>
                      <w:sz w:val="21"/>
                      <w:szCs w:val="21"/>
                    </w:rPr>
                  </w:pPr>
                  <w:r>
                    <w:rPr>
                      <w:rFonts w:hint="eastAsia" w:cs="Times New Roman"/>
                      <w:spacing w:val="-10"/>
                      <w:sz w:val="21"/>
                      <w:szCs w:val="21"/>
                      <w:lang w:val="en-US" w:eastAsia="zh-CN"/>
                    </w:rPr>
                    <w:t>5</w:t>
                  </w:r>
                  <w:r>
                    <w:rPr>
                      <w:rFonts w:hint="default" w:ascii="Times New Roman" w:hAnsi="Times New Roman" w:eastAsia="宋体" w:cs="Times New Roman"/>
                      <w:spacing w:val="-10"/>
                      <w:sz w:val="21"/>
                      <w:szCs w:val="21"/>
                    </w:rPr>
                    <w:t>F</w:t>
                  </w:r>
                </w:p>
              </w:tc>
            </w:tr>
            <w:tr w14:paraId="2A66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258F06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w:t>
                  </w:r>
                </w:p>
              </w:tc>
              <w:tc>
                <w:tcPr>
                  <w:tcW w:w="1296" w:type="dxa"/>
                  <w:vMerge w:val="continue"/>
                  <w:vAlign w:val="center"/>
                </w:tcPr>
                <w:p w14:paraId="689618A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65A71ACD">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步进电机测试仪</w:t>
                  </w:r>
                </w:p>
              </w:tc>
              <w:tc>
                <w:tcPr>
                  <w:tcW w:w="1091" w:type="dxa"/>
                  <w:vAlign w:val="center"/>
                </w:tcPr>
                <w:p w14:paraId="1431F31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18台</w:t>
                  </w:r>
                </w:p>
              </w:tc>
              <w:tc>
                <w:tcPr>
                  <w:tcW w:w="1759" w:type="dxa"/>
                  <w:shd w:val="clear" w:color="auto" w:fill="auto"/>
                  <w:vAlign w:val="center"/>
                </w:tcPr>
                <w:p w14:paraId="533F93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OJ-A&amp;B</w:t>
                  </w:r>
                </w:p>
              </w:tc>
              <w:tc>
                <w:tcPr>
                  <w:tcW w:w="917" w:type="dxa"/>
                  <w:vAlign w:val="center"/>
                </w:tcPr>
                <w:p w14:paraId="678DF57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cs="Times New Roman"/>
                      <w:spacing w:val="-10"/>
                      <w:sz w:val="21"/>
                      <w:szCs w:val="21"/>
                      <w:lang w:val="en-US" w:eastAsia="zh-CN"/>
                    </w:rPr>
                    <w:t>2</w:t>
                  </w:r>
                  <w:r>
                    <w:rPr>
                      <w:rFonts w:hint="default" w:ascii="Times New Roman" w:hAnsi="Times New Roman" w:eastAsia="宋体" w:cs="Times New Roman"/>
                      <w:spacing w:val="-10"/>
                      <w:sz w:val="21"/>
                      <w:szCs w:val="21"/>
                    </w:rPr>
                    <w:t>F</w:t>
                  </w:r>
                </w:p>
              </w:tc>
            </w:tr>
            <w:tr w14:paraId="5390D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03C6810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w:t>
                  </w:r>
                </w:p>
              </w:tc>
              <w:tc>
                <w:tcPr>
                  <w:tcW w:w="1296" w:type="dxa"/>
                  <w:vMerge w:val="continue"/>
                  <w:vAlign w:val="center"/>
                </w:tcPr>
                <w:p w14:paraId="3B60449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1EB84ECF">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双工位激光焊接机</w:t>
                  </w:r>
                </w:p>
              </w:tc>
              <w:tc>
                <w:tcPr>
                  <w:tcW w:w="1091" w:type="dxa"/>
                  <w:vAlign w:val="center"/>
                </w:tcPr>
                <w:p w14:paraId="3F1D32E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lang w:val="en-US" w:eastAsia="zh-CN"/>
                    </w:rPr>
                    <w:t>1</w:t>
                  </w:r>
                  <w:r>
                    <w:rPr>
                      <w:rFonts w:hint="default" w:ascii="Times New Roman" w:hAnsi="Times New Roman" w:eastAsia="宋体" w:cs="Times New Roman"/>
                      <w:spacing w:val="-4"/>
                      <w:sz w:val="21"/>
                      <w:szCs w:val="21"/>
                    </w:rPr>
                    <w:t>台</w:t>
                  </w:r>
                </w:p>
              </w:tc>
              <w:tc>
                <w:tcPr>
                  <w:tcW w:w="1759" w:type="dxa"/>
                  <w:vAlign w:val="center"/>
                </w:tcPr>
                <w:p w14:paraId="58D77D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NL-FW500B</w:t>
                  </w:r>
                </w:p>
              </w:tc>
              <w:tc>
                <w:tcPr>
                  <w:tcW w:w="917" w:type="dxa"/>
                  <w:vAlign w:val="center"/>
                </w:tcPr>
                <w:p w14:paraId="40CDBC0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pacing w:val="-1"/>
                      <w:sz w:val="21"/>
                      <w:szCs w:val="21"/>
                      <w:lang w:val="en-US" w:eastAsia="zh-CN"/>
                    </w:rPr>
                    <w:t>3</w:t>
                  </w:r>
                  <w:r>
                    <w:rPr>
                      <w:rFonts w:hint="default" w:ascii="Times New Roman" w:hAnsi="Times New Roman" w:eastAsia="宋体" w:cs="Times New Roman"/>
                      <w:spacing w:val="-1"/>
                      <w:sz w:val="21"/>
                      <w:szCs w:val="21"/>
                    </w:rPr>
                    <w:t>F</w:t>
                  </w:r>
                </w:p>
              </w:tc>
            </w:tr>
            <w:tr w14:paraId="54C51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EC860F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1296" w:type="dxa"/>
                  <w:vMerge w:val="continue"/>
                  <w:vAlign w:val="center"/>
                </w:tcPr>
                <w:p w14:paraId="21CA8F0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753DAC1B">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龙门高速精密冲床</w:t>
                  </w:r>
                </w:p>
              </w:tc>
              <w:tc>
                <w:tcPr>
                  <w:tcW w:w="1091" w:type="dxa"/>
                  <w:vAlign w:val="center"/>
                </w:tcPr>
                <w:p w14:paraId="13C54B8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lang w:val="en-US" w:eastAsia="zh-CN"/>
                    </w:rPr>
                    <w:t>4</w:t>
                  </w:r>
                  <w:r>
                    <w:rPr>
                      <w:rFonts w:hint="default" w:ascii="Times New Roman" w:hAnsi="Times New Roman" w:eastAsia="宋体" w:cs="Times New Roman"/>
                      <w:spacing w:val="-4"/>
                      <w:sz w:val="21"/>
                      <w:szCs w:val="21"/>
                    </w:rPr>
                    <w:t>台</w:t>
                  </w:r>
                </w:p>
              </w:tc>
              <w:tc>
                <w:tcPr>
                  <w:tcW w:w="1759" w:type="dxa"/>
                  <w:vAlign w:val="center"/>
                </w:tcPr>
                <w:p w14:paraId="24AF9F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TJSH-220</w:t>
                  </w:r>
                </w:p>
              </w:tc>
              <w:tc>
                <w:tcPr>
                  <w:tcW w:w="917" w:type="dxa"/>
                  <w:vAlign w:val="center"/>
                </w:tcPr>
                <w:p w14:paraId="75D48B7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eastAsia" w:cs="Times New Roman"/>
                      <w:spacing w:val="-2"/>
                      <w:sz w:val="21"/>
                      <w:szCs w:val="21"/>
                      <w:lang w:val="en-US" w:eastAsia="zh-CN"/>
                    </w:rPr>
                    <w:t>1</w:t>
                  </w:r>
                  <w:r>
                    <w:rPr>
                      <w:rFonts w:hint="default" w:ascii="Times New Roman" w:hAnsi="Times New Roman" w:eastAsia="宋体" w:cs="Times New Roman"/>
                      <w:spacing w:val="-2"/>
                      <w:sz w:val="21"/>
                      <w:szCs w:val="21"/>
                    </w:rPr>
                    <w:t>F</w:t>
                  </w:r>
                </w:p>
              </w:tc>
            </w:tr>
            <w:tr w14:paraId="19D7C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16773C4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1296" w:type="dxa"/>
                  <w:vMerge w:val="continue"/>
                  <w:vAlign w:val="center"/>
                </w:tcPr>
                <w:p w14:paraId="63A26F9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1ACAAC3E">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龙门高速精密冲床</w:t>
                  </w:r>
                </w:p>
              </w:tc>
              <w:tc>
                <w:tcPr>
                  <w:tcW w:w="1091" w:type="dxa"/>
                  <w:vAlign w:val="center"/>
                </w:tcPr>
                <w:p w14:paraId="6811AA6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lang w:val="en-US" w:eastAsia="zh-CN"/>
                    </w:rPr>
                    <w:t>16</w:t>
                  </w:r>
                  <w:r>
                    <w:rPr>
                      <w:rFonts w:hint="default" w:ascii="Times New Roman" w:hAnsi="Times New Roman" w:eastAsia="宋体" w:cs="Times New Roman"/>
                      <w:spacing w:val="-4"/>
                      <w:sz w:val="21"/>
                      <w:szCs w:val="21"/>
                    </w:rPr>
                    <w:t>台</w:t>
                  </w:r>
                </w:p>
              </w:tc>
              <w:tc>
                <w:tcPr>
                  <w:tcW w:w="1759" w:type="dxa"/>
                  <w:vAlign w:val="center"/>
                </w:tcPr>
                <w:p w14:paraId="16F7F0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TJSH-80</w:t>
                  </w:r>
                </w:p>
              </w:tc>
              <w:tc>
                <w:tcPr>
                  <w:tcW w:w="917" w:type="dxa"/>
                  <w:vAlign w:val="center"/>
                </w:tcPr>
                <w:p w14:paraId="4E28CC1F">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1F</w:t>
                  </w:r>
                </w:p>
              </w:tc>
            </w:tr>
            <w:tr w14:paraId="73B87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1C84FA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296" w:type="dxa"/>
                  <w:vMerge w:val="continue"/>
                  <w:vAlign w:val="center"/>
                </w:tcPr>
                <w:p w14:paraId="0196A22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36421EE9">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磨床</w:t>
                  </w:r>
                </w:p>
              </w:tc>
              <w:tc>
                <w:tcPr>
                  <w:tcW w:w="1091" w:type="dxa"/>
                  <w:vAlign w:val="center"/>
                </w:tcPr>
                <w:p w14:paraId="7B4C254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lang w:val="en-US" w:eastAsia="zh-CN"/>
                    </w:rPr>
                    <w:t>1</w:t>
                  </w:r>
                  <w:r>
                    <w:rPr>
                      <w:rFonts w:hint="default" w:ascii="Times New Roman" w:hAnsi="Times New Roman" w:eastAsia="宋体" w:cs="Times New Roman"/>
                      <w:spacing w:val="-6"/>
                      <w:sz w:val="21"/>
                      <w:szCs w:val="21"/>
                    </w:rPr>
                    <w:t>台</w:t>
                  </w:r>
                </w:p>
              </w:tc>
              <w:tc>
                <w:tcPr>
                  <w:tcW w:w="1759" w:type="dxa"/>
                  <w:vAlign w:val="center"/>
                </w:tcPr>
                <w:p w14:paraId="4CB20F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16C3225D">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2D335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47CBBB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w:t>
                  </w:r>
                </w:p>
              </w:tc>
              <w:tc>
                <w:tcPr>
                  <w:tcW w:w="1296" w:type="dxa"/>
                  <w:vMerge w:val="continue"/>
                  <w:vAlign w:val="center"/>
                </w:tcPr>
                <w:p w14:paraId="2512ACF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52D8558B">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热处理设备</w:t>
                  </w:r>
                </w:p>
              </w:tc>
              <w:tc>
                <w:tcPr>
                  <w:tcW w:w="1091" w:type="dxa"/>
                  <w:vAlign w:val="center"/>
                </w:tcPr>
                <w:p w14:paraId="6EBE910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lang w:val="en-US" w:eastAsia="zh-CN"/>
                    </w:rPr>
                    <w:t>2</w:t>
                  </w:r>
                  <w:r>
                    <w:rPr>
                      <w:rFonts w:hint="default" w:ascii="Times New Roman" w:hAnsi="Times New Roman" w:eastAsia="宋体" w:cs="Times New Roman"/>
                      <w:spacing w:val="-6"/>
                      <w:sz w:val="21"/>
                      <w:szCs w:val="21"/>
                    </w:rPr>
                    <w:t>台</w:t>
                  </w:r>
                </w:p>
              </w:tc>
              <w:tc>
                <w:tcPr>
                  <w:tcW w:w="1759" w:type="dxa"/>
                  <w:vAlign w:val="center"/>
                </w:tcPr>
                <w:p w14:paraId="0437A3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pacing w:val="-7"/>
                      <w:sz w:val="21"/>
                      <w:szCs w:val="21"/>
                      <w:lang w:val="en-US" w:eastAsia="zh-CN"/>
                    </w:rPr>
                    <w:t>/</w:t>
                  </w:r>
                </w:p>
              </w:tc>
              <w:tc>
                <w:tcPr>
                  <w:tcW w:w="917" w:type="dxa"/>
                  <w:vAlign w:val="center"/>
                </w:tcPr>
                <w:p w14:paraId="3729CF0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7ADEE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A3B793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62</w:t>
                  </w:r>
                </w:p>
              </w:tc>
              <w:tc>
                <w:tcPr>
                  <w:tcW w:w="1296" w:type="dxa"/>
                  <w:vMerge w:val="continue"/>
                  <w:vAlign w:val="center"/>
                </w:tcPr>
                <w:p w14:paraId="3D50E06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3BD2DEC8">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制氮机组</w:t>
                  </w:r>
                </w:p>
              </w:tc>
              <w:tc>
                <w:tcPr>
                  <w:tcW w:w="1091" w:type="dxa"/>
                  <w:vAlign w:val="center"/>
                </w:tcPr>
                <w:p w14:paraId="6C50759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lang w:val="en-US" w:eastAsia="zh-CN"/>
                    </w:rPr>
                    <w:t>1</w:t>
                  </w:r>
                  <w:r>
                    <w:rPr>
                      <w:rFonts w:hint="default" w:ascii="Times New Roman" w:hAnsi="Times New Roman" w:eastAsia="宋体" w:cs="Times New Roman"/>
                      <w:spacing w:val="-3"/>
                      <w:sz w:val="21"/>
                      <w:szCs w:val="21"/>
                    </w:rPr>
                    <w:t>台</w:t>
                  </w:r>
                </w:p>
              </w:tc>
              <w:tc>
                <w:tcPr>
                  <w:tcW w:w="1759" w:type="dxa"/>
                  <w:vAlign w:val="center"/>
                </w:tcPr>
                <w:p w14:paraId="722A8E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TQN50 50Nm³/h 99.999%</w:t>
                  </w:r>
                </w:p>
              </w:tc>
              <w:tc>
                <w:tcPr>
                  <w:tcW w:w="917" w:type="dxa"/>
                  <w:vAlign w:val="center"/>
                </w:tcPr>
                <w:p w14:paraId="169237B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65498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72F1A88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1"/>
                      <w:sz w:val="21"/>
                      <w:szCs w:val="21"/>
                      <w:lang w:val="en-US" w:eastAsia="zh-CN"/>
                    </w:rPr>
                    <w:t>63</w:t>
                  </w:r>
                </w:p>
              </w:tc>
              <w:tc>
                <w:tcPr>
                  <w:tcW w:w="1296" w:type="dxa"/>
                  <w:vMerge w:val="continue"/>
                  <w:vAlign w:val="center"/>
                </w:tcPr>
                <w:p w14:paraId="5F8A8C3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7119EB36">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全自动旋转超声波清洗机</w:t>
                  </w:r>
                </w:p>
              </w:tc>
              <w:tc>
                <w:tcPr>
                  <w:tcW w:w="1091" w:type="dxa"/>
                  <w:vAlign w:val="center"/>
                </w:tcPr>
                <w:p w14:paraId="29796149">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lang w:val="en-US" w:eastAsia="zh-CN"/>
                    </w:rPr>
                    <w:t>1</w:t>
                  </w:r>
                  <w:r>
                    <w:rPr>
                      <w:rFonts w:hint="default" w:ascii="Times New Roman" w:hAnsi="Times New Roman" w:eastAsia="宋体" w:cs="Times New Roman"/>
                      <w:spacing w:val="-6"/>
                      <w:sz w:val="21"/>
                      <w:szCs w:val="21"/>
                    </w:rPr>
                    <w:t>台</w:t>
                  </w:r>
                </w:p>
              </w:tc>
              <w:tc>
                <w:tcPr>
                  <w:tcW w:w="1759" w:type="dxa"/>
                  <w:vAlign w:val="center"/>
                </w:tcPr>
                <w:p w14:paraId="20DCA2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SH-3072QCH</w:t>
                  </w:r>
                </w:p>
              </w:tc>
              <w:tc>
                <w:tcPr>
                  <w:tcW w:w="917" w:type="dxa"/>
                  <w:vAlign w:val="center"/>
                </w:tcPr>
                <w:p w14:paraId="17625BC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58DE0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435B967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64</w:t>
                  </w:r>
                </w:p>
              </w:tc>
              <w:tc>
                <w:tcPr>
                  <w:tcW w:w="1296" w:type="dxa"/>
                  <w:vMerge w:val="continue"/>
                  <w:vAlign w:val="center"/>
                </w:tcPr>
                <w:p w14:paraId="5628D9A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6DDFA1FF">
                  <w:pPr>
                    <w:keepNext w:val="0"/>
                    <w:keepLines w:val="0"/>
                    <w:widowControl/>
                    <w:suppressLineNumbers w:val="0"/>
                    <w:jc w:val="center"/>
                    <w:textAlignment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val="en-US" w:eastAsia="zh-CN" w:bidi="ar-SA"/>
                    </w:rPr>
                    <w:t>齿轮式攻丝机</w:t>
                  </w:r>
                </w:p>
              </w:tc>
              <w:tc>
                <w:tcPr>
                  <w:tcW w:w="1091" w:type="dxa"/>
                  <w:vAlign w:val="center"/>
                </w:tcPr>
                <w:p w14:paraId="27407D3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6"/>
                      <w:sz w:val="21"/>
                      <w:szCs w:val="21"/>
                      <w:lang w:val="en-US" w:eastAsia="zh-CN"/>
                    </w:rPr>
                    <w:t>1台</w:t>
                  </w:r>
                </w:p>
              </w:tc>
              <w:tc>
                <w:tcPr>
                  <w:tcW w:w="1759" w:type="dxa"/>
                  <w:vAlign w:val="center"/>
                </w:tcPr>
                <w:p w14:paraId="37F0BB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GT1-203</w:t>
                  </w:r>
                </w:p>
              </w:tc>
              <w:tc>
                <w:tcPr>
                  <w:tcW w:w="917" w:type="dxa"/>
                  <w:vAlign w:val="center"/>
                </w:tcPr>
                <w:p w14:paraId="20E271B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04E1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F0CED1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65</w:t>
                  </w:r>
                </w:p>
              </w:tc>
              <w:tc>
                <w:tcPr>
                  <w:tcW w:w="1296" w:type="dxa"/>
                  <w:vMerge w:val="restart"/>
                  <w:vAlign w:val="center"/>
                </w:tcPr>
                <w:p w14:paraId="6BADD62F">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辅助单元</w:t>
                  </w:r>
                </w:p>
              </w:tc>
              <w:tc>
                <w:tcPr>
                  <w:tcW w:w="2454" w:type="dxa"/>
                  <w:vAlign w:val="center"/>
                </w:tcPr>
                <w:p w14:paraId="08BCB31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空压机</w:t>
                  </w:r>
                </w:p>
              </w:tc>
              <w:tc>
                <w:tcPr>
                  <w:tcW w:w="1091" w:type="dxa"/>
                  <w:vAlign w:val="center"/>
                </w:tcPr>
                <w:p w14:paraId="25BD2BF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4台</w:t>
                  </w:r>
                </w:p>
              </w:tc>
              <w:tc>
                <w:tcPr>
                  <w:tcW w:w="1759" w:type="dxa"/>
                  <w:shd w:val="clear" w:color="auto" w:fill="auto"/>
                  <w:vAlign w:val="center"/>
                </w:tcPr>
                <w:p w14:paraId="2E4514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东莞升日100匹</w:t>
                  </w:r>
                </w:p>
              </w:tc>
              <w:tc>
                <w:tcPr>
                  <w:tcW w:w="917" w:type="dxa"/>
                  <w:vAlign w:val="center"/>
                </w:tcPr>
                <w:p w14:paraId="1128BFC9">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1F54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25A8E6B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66</w:t>
                  </w:r>
                </w:p>
              </w:tc>
              <w:tc>
                <w:tcPr>
                  <w:tcW w:w="1296" w:type="dxa"/>
                  <w:vMerge w:val="continue"/>
                  <w:vAlign w:val="center"/>
                </w:tcPr>
                <w:p w14:paraId="081DBF8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3772A73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纯水设备</w:t>
                  </w:r>
                </w:p>
              </w:tc>
              <w:tc>
                <w:tcPr>
                  <w:tcW w:w="1091" w:type="dxa"/>
                  <w:vAlign w:val="center"/>
                </w:tcPr>
                <w:p w14:paraId="391867B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sz w:val="21"/>
                      <w:szCs w:val="21"/>
                      <w:lang w:val="en-US" w:eastAsia="zh-CN"/>
                    </w:rPr>
                    <w:t>1套</w:t>
                  </w:r>
                </w:p>
              </w:tc>
              <w:tc>
                <w:tcPr>
                  <w:tcW w:w="1759" w:type="dxa"/>
                  <w:shd w:val="clear" w:color="auto" w:fill="auto"/>
                  <w:vAlign w:val="center"/>
                </w:tcPr>
                <w:p w14:paraId="024196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KWD-(6+2)T/H2ER</w:t>
                  </w:r>
                </w:p>
              </w:tc>
              <w:tc>
                <w:tcPr>
                  <w:tcW w:w="917" w:type="dxa"/>
                  <w:vAlign w:val="center"/>
                </w:tcPr>
                <w:p w14:paraId="07C17ECC">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p>
              </w:tc>
            </w:tr>
            <w:tr w14:paraId="627B0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80" w:type="dxa"/>
                  <w:vAlign w:val="center"/>
                </w:tcPr>
                <w:p w14:paraId="3DFB411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0"/>
                      <w:sz w:val="21"/>
                      <w:szCs w:val="21"/>
                      <w:lang w:val="en-US" w:eastAsia="zh-CN"/>
                    </w:rPr>
                    <w:t>67</w:t>
                  </w:r>
                </w:p>
              </w:tc>
              <w:tc>
                <w:tcPr>
                  <w:tcW w:w="1296" w:type="dxa"/>
                  <w:vMerge w:val="continue"/>
                  <w:vAlign w:val="center"/>
                </w:tcPr>
                <w:p w14:paraId="560C12EF">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454" w:type="dxa"/>
                  <w:vAlign w:val="center"/>
                </w:tcPr>
                <w:p w14:paraId="18F2A7A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冷却水泵</w:t>
                  </w:r>
                </w:p>
              </w:tc>
              <w:tc>
                <w:tcPr>
                  <w:tcW w:w="1091" w:type="dxa"/>
                  <w:vAlign w:val="center"/>
                </w:tcPr>
                <w:p w14:paraId="7CC70B1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lang w:val="en-US" w:eastAsia="zh-CN"/>
                    </w:rPr>
                    <w:t>7</w:t>
                  </w:r>
                  <w:r>
                    <w:rPr>
                      <w:rFonts w:hint="default" w:ascii="Times New Roman" w:hAnsi="Times New Roman" w:eastAsia="宋体" w:cs="Times New Roman"/>
                      <w:spacing w:val="-2"/>
                      <w:sz w:val="21"/>
                      <w:szCs w:val="21"/>
                    </w:rPr>
                    <w:t>台</w:t>
                  </w:r>
                </w:p>
              </w:tc>
              <w:tc>
                <w:tcPr>
                  <w:tcW w:w="1759" w:type="dxa"/>
                  <w:vAlign w:val="center"/>
                </w:tcPr>
                <w:p w14:paraId="3DC300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17" w:type="dxa"/>
                  <w:vAlign w:val="center"/>
                </w:tcPr>
                <w:p w14:paraId="007358E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1</w:t>
                  </w:r>
                  <w:r>
                    <w:rPr>
                      <w:rFonts w:hint="default" w:ascii="Times New Roman" w:hAnsi="Times New Roman" w:eastAsia="宋体" w:cs="Times New Roman"/>
                      <w:spacing w:val="-1"/>
                      <w:sz w:val="21"/>
                      <w:szCs w:val="21"/>
                    </w:rPr>
                    <w:t>F、</w:t>
                  </w:r>
                  <w:r>
                    <w:rPr>
                      <w:rFonts w:hint="default" w:ascii="Times New Roman" w:hAnsi="Times New Roman" w:eastAsia="宋体" w:cs="Times New Roman"/>
                      <w:spacing w:val="-1"/>
                      <w:sz w:val="21"/>
                      <w:szCs w:val="21"/>
                      <w:lang w:val="en-US" w:eastAsia="zh-CN"/>
                    </w:rPr>
                    <w:t>5</w:t>
                  </w:r>
                  <w:r>
                    <w:rPr>
                      <w:rFonts w:hint="default" w:ascii="Times New Roman" w:hAnsi="Times New Roman" w:eastAsia="宋体" w:cs="Times New Roman"/>
                      <w:spacing w:val="-1"/>
                      <w:sz w:val="21"/>
                      <w:szCs w:val="21"/>
                    </w:rPr>
                    <w:t>F</w:t>
                  </w:r>
                </w:p>
              </w:tc>
            </w:tr>
          </w:tbl>
          <w:p w14:paraId="1FE93D18">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420" w:leftChars="200" w:right="0" w:rightChars="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原辅材料消耗</w:t>
            </w:r>
          </w:p>
          <w:p w14:paraId="73A10E70">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（1）原辅材料及能源消耗情况</w:t>
            </w:r>
          </w:p>
          <w:p w14:paraId="26899D47">
            <w:pPr>
              <w:keepNext w:val="0"/>
              <w:keepLines w:val="0"/>
              <w:numPr>
                <w:ilvl w:val="0"/>
                <w:numId w:val="0"/>
              </w:numPr>
              <w:suppressLineNumbers w:val="0"/>
              <w:tabs>
                <w:tab w:val="left" w:pos="0"/>
              </w:tabs>
              <w:spacing w:before="0" w:beforeAutospacing="0" w:after="0" w:afterAutospacing="0"/>
              <w:ind w:left="0" w:leftChars="0" w:right="0" w:rightChars="0" w:firstLine="1897" w:firstLineChars="900"/>
              <w:jc w:val="both"/>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表2-4</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项目</w:t>
            </w:r>
            <w:r>
              <w:rPr>
                <w:rFonts w:hint="eastAsia" w:ascii="Times New Roman" w:hAnsi="Times New Roman" w:cs="Times New Roman"/>
                <w:b/>
                <w:bCs/>
                <w:color w:val="000000" w:themeColor="text1"/>
                <w:sz w:val="21"/>
                <w:szCs w:val="21"/>
                <w:lang w:val="en-US" w:eastAsia="zh-CN"/>
                <w14:textFill>
                  <w14:solidFill>
                    <w14:schemeClr w14:val="tx1"/>
                  </w14:solidFill>
                </w14:textFill>
              </w:rPr>
              <w:t>主要</w:t>
            </w:r>
            <w:r>
              <w:rPr>
                <w:rFonts w:hint="default" w:ascii="Times New Roman" w:hAnsi="Times New Roman" w:cs="Times New Roman"/>
                <w:b/>
                <w:bCs/>
                <w:color w:val="000000" w:themeColor="text1"/>
                <w:sz w:val="21"/>
                <w:szCs w:val="21"/>
                <w:lang w:val="en-US" w:eastAsia="zh-CN"/>
                <w14:textFill>
                  <w14:solidFill>
                    <w14:schemeClr w14:val="tx1"/>
                  </w14:solidFill>
                </w14:textFill>
              </w:rPr>
              <w:t>原辅材料及能源消耗一览表</w:t>
            </w:r>
          </w:p>
          <w:tbl>
            <w:tblPr>
              <w:tblStyle w:val="63"/>
              <w:tblW w:w="8138"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1575"/>
              <w:gridCol w:w="1762"/>
              <w:gridCol w:w="1625"/>
              <w:gridCol w:w="2601"/>
            </w:tblGrid>
            <w:tr w14:paraId="015C4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575" w:type="dxa"/>
                  <w:vAlign w:val="center"/>
                </w:tcPr>
                <w:p w14:paraId="677EBDCF">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序号</w:t>
                  </w:r>
                </w:p>
              </w:tc>
              <w:tc>
                <w:tcPr>
                  <w:tcW w:w="1575" w:type="dxa"/>
                  <w:vAlign w:val="center"/>
                </w:tcPr>
                <w:p w14:paraId="378F3E1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名称</w:t>
                  </w:r>
                </w:p>
              </w:tc>
              <w:tc>
                <w:tcPr>
                  <w:tcW w:w="1762" w:type="dxa"/>
                  <w:vAlign w:val="center"/>
                </w:tcPr>
                <w:p w14:paraId="127C57F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用量</w:t>
                  </w:r>
                </w:p>
              </w:tc>
              <w:tc>
                <w:tcPr>
                  <w:tcW w:w="1625" w:type="dxa"/>
                  <w:vAlign w:val="center"/>
                </w:tcPr>
                <w:p w14:paraId="61840F96">
                  <w:pPr>
                    <w:pStyle w:val="69"/>
                    <w:keepNext w:val="0"/>
                    <w:keepLines w:val="0"/>
                    <w:pageBreakBefore w:val="0"/>
                    <w:widowControl w:val="0"/>
                    <w:kinsoku/>
                    <w:wordWrap/>
                    <w:overflowPunct/>
                    <w:topLinePunct w:val="0"/>
                    <w:autoSpaceDE/>
                    <w:autoSpaceDN/>
                    <w:bidi w:val="0"/>
                    <w:adjustRightInd/>
                    <w:snapToGrid/>
                    <w:spacing w:line="240" w:lineRule="auto"/>
                    <w:ind w:left="0" w:right="0" w:firstLine="91"/>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性状及</w:t>
                  </w:r>
                  <w:r>
                    <w:rPr>
                      <w:rFonts w:hint="default" w:ascii="Times New Roman" w:hAnsi="Times New Roman" w:eastAsia="宋体" w:cs="Times New Roman"/>
                      <w:b/>
                      <w:bCs/>
                      <w:spacing w:val="-2"/>
                      <w:sz w:val="21"/>
                      <w:szCs w:val="21"/>
                    </w:rPr>
                    <w:t>包装规格</w:t>
                  </w:r>
                </w:p>
              </w:tc>
              <w:tc>
                <w:tcPr>
                  <w:tcW w:w="2601" w:type="dxa"/>
                  <w:vAlign w:val="center"/>
                </w:tcPr>
                <w:p w14:paraId="600B1AA3">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备注</w:t>
                  </w:r>
                </w:p>
              </w:tc>
            </w:tr>
            <w:tr w14:paraId="275CA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vAlign w:val="center"/>
                </w:tcPr>
                <w:p w14:paraId="05FCED8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75" w:type="dxa"/>
                  <w:vAlign w:val="center"/>
                </w:tcPr>
                <w:p w14:paraId="0D4134CC">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PCB板</w:t>
                  </w:r>
                </w:p>
              </w:tc>
              <w:tc>
                <w:tcPr>
                  <w:tcW w:w="1762" w:type="dxa"/>
                  <w:vAlign w:val="center"/>
                </w:tcPr>
                <w:p w14:paraId="3C482FA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2"/>
                      <w:position w:val="1"/>
                      <w:sz w:val="21"/>
                      <w:szCs w:val="21"/>
                    </w:rPr>
                    <w:t>9</w:t>
                  </w:r>
                  <w:r>
                    <w:rPr>
                      <w:rFonts w:hint="eastAsia" w:ascii="Times New Roman" w:hAnsi="Times New Roman" w:eastAsia="宋体" w:cs="Times New Roman"/>
                      <w:spacing w:val="-2"/>
                      <w:position w:val="1"/>
                      <w:sz w:val="21"/>
                      <w:szCs w:val="21"/>
                      <w:lang w:val="en-US" w:eastAsia="zh-CN"/>
                    </w:rPr>
                    <w:t>1</w:t>
                  </w:r>
                  <w:r>
                    <w:rPr>
                      <w:rFonts w:hint="eastAsia" w:cs="Times New Roman"/>
                      <w:spacing w:val="-2"/>
                      <w:position w:val="1"/>
                      <w:sz w:val="21"/>
                      <w:szCs w:val="21"/>
                      <w:lang w:val="en-US" w:eastAsia="zh-CN"/>
                    </w:rPr>
                    <w:t>万</w:t>
                  </w:r>
                  <w:r>
                    <w:rPr>
                      <w:rFonts w:hint="default" w:ascii="Times New Roman" w:hAnsi="Times New Roman" w:eastAsia="宋体" w:cs="Times New Roman"/>
                      <w:spacing w:val="-2"/>
                      <w:position w:val="1"/>
                      <w:sz w:val="21"/>
                      <w:szCs w:val="21"/>
                    </w:rPr>
                    <w:t>/</w:t>
                  </w:r>
                  <w:r>
                    <w:rPr>
                      <w:rFonts w:hint="eastAsia" w:cs="Times New Roman"/>
                      <w:spacing w:val="-2"/>
                      <w:position w:val="1"/>
                      <w:sz w:val="21"/>
                      <w:szCs w:val="21"/>
                      <w:lang w:val="en-US" w:eastAsia="zh-CN"/>
                    </w:rPr>
                    <w:t>个</w:t>
                  </w:r>
                </w:p>
              </w:tc>
              <w:tc>
                <w:tcPr>
                  <w:tcW w:w="1625" w:type="dxa"/>
                  <w:vAlign w:val="center"/>
                </w:tcPr>
                <w:p w14:paraId="1B1AD46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固态</w:t>
                  </w:r>
                </w:p>
              </w:tc>
              <w:tc>
                <w:tcPr>
                  <w:tcW w:w="2601" w:type="dxa"/>
                  <w:vAlign w:val="center"/>
                </w:tcPr>
                <w:p w14:paraId="0481EAB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1F891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01B337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1575" w:type="dxa"/>
                  <w:shd w:val="clear" w:color="auto" w:fill="auto"/>
                  <w:vAlign w:val="center"/>
                </w:tcPr>
                <w:p w14:paraId="2C6AFA7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4"/>
                      <w:sz w:val="21"/>
                      <w:szCs w:val="21"/>
                      <w:lang w:val="en-US" w:eastAsia="zh-CN"/>
                    </w:rPr>
                    <w:t>PC</w:t>
                  </w:r>
                  <w:r>
                    <w:rPr>
                      <w:rFonts w:hint="eastAsia" w:ascii="Times New Roman" w:hAnsi="Times New Roman" w:cs="Times New Roman"/>
                      <w:spacing w:val="-4"/>
                      <w:sz w:val="21"/>
                      <w:szCs w:val="21"/>
                      <w:lang w:val="en-US" w:eastAsia="zh-CN"/>
                    </w:rPr>
                    <w:t>塑料</w:t>
                  </w:r>
                </w:p>
              </w:tc>
              <w:tc>
                <w:tcPr>
                  <w:tcW w:w="1762" w:type="dxa"/>
                  <w:shd w:val="clear" w:color="auto" w:fill="auto"/>
                  <w:vAlign w:val="center"/>
                </w:tcPr>
                <w:p w14:paraId="19B5CE37">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pacing w:val="-4"/>
                      <w:sz w:val="21"/>
                      <w:szCs w:val="21"/>
                      <w:lang w:val="en-US" w:eastAsia="zh-CN"/>
                    </w:rPr>
                    <w:t>126.2t/a</w:t>
                  </w:r>
                </w:p>
              </w:tc>
              <w:tc>
                <w:tcPr>
                  <w:tcW w:w="1625" w:type="dxa"/>
                  <w:shd w:val="clear" w:color="auto" w:fill="auto"/>
                  <w:vAlign w:val="center"/>
                </w:tcPr>
                <w:p w14:paraId="02A4086E">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2"/>
                      <w:sz w:val="21"/>
                      <w:szCs w:val="21"/>
                    </w:rPr>
                    <w:t>固态</w:t>
                  </w:r>
                </w:p>
              </w:tc>
              <w:tc>
                <w:tcPr>
                  <w:tcW w:w="2601" w:type="dxa"/>
                  <w:vAlign w:val="center"/>
                </w:tcPr>
                <w:p w14:paraId="6DCA519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6C42F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72DF9B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w:t>
                  </w:r>
                </w:p>
              </w:tc>
              <w:tc>
                <w:tcPr>
                  <w:tcW w:w="1575" w:type="dxa"/>
                  <w:vAlign w:val="center"/>
                </w:tcPr>
                <w:p w14:paraId="2AABB50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ABS塑料</w:t>
                  </w:r>
                </w:p>
              </w:tc>
              <w:tc>
                <w:tcPr>
                  <w:tcW w:w="1762" w:type="dxa"/>
                  <w:vAlign w:val="center"/>
                </w:tcPr>
                <w:p w14:paraId="45DF338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8.2</w:t>
                  </w:r>
                  <w:r>
                    <w:rPr>
                      <w:rFonts w:hint="eastAsia" w:ascii="Times New Roman" w:hAnsi="Times New Roman" w:cs="Times New Roman"/>
                      <w:spacing w:val="-4"/>
                      <w:sz w:val="21"/>
                      <w:szCs w:val="21"/>
                      <w:lang w:val="en-US" w:eastAsia="zh-CN"/>
                    </w:rPr>
                    <w:t>t/a</w:t>
                  </w:r>
                </w:p>
              </w:tc>
              <w:tc>
                <w:tcPr>
                  <w:tcW w:w="1625" w:type="dxa"/>
                  <w:vAlign w:val="center"/>
                </w:tcPr>
                <w:p w14:paraId="4A0BA33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固态</w:t>
                  </w:r>
                </w:p>
              </w:tc>
              <w:tc>
                <w:tcPr>
                  <w:tcW w:w="2601" w:type="dxa"/>
                  <w:vAlign w:val="center"/>
                </w:tcPr>
                <w:p w14:paraId="71FE29F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50737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1C2D69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w:t>
                  </w:r>
                </w:p>
              </w:tc>
              <w:tc>
                <w:tcPr>
                  <w:tcW w:w="1575" w:type="dxa"/>
                  <w:vAlign w:val="center"/>
                </w:tcPr>
                <w:p w14:paraId="1FD813F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PA塑料</w:t>
                  </w:r>
                </w:p>
              </w:tc>
              <w:tc>
                <w:tcPr>
                  <w:tcW w:w="1762" w:type="dxa"/>
                  <w:vAlign w:val="center"/>
                </w:tcPr>
                <w:p w14:paraId="06D1DAB3">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4.9</w:t>
                  </w:r>
                  <w:r>
                    <w:rPr>
                      <w:rFonts w:hint="eastAsia" w:ascii="Times New Roman" w:hAnsi="Times New Roman" w:cs="Times New Roman"/>
                      <w:spacing w:val="-4"/>
                      <w:sz w:val="21"/>
                      <w:szCs w:val="21"/>
                      <w:lang w:val="en-US" w:eastAsia="zh-CN"/>
                    </w:rPr>
                    <w:t>t/a</w:t>
                  </w:r>
                </w:p>
              </w:tc>
              <w:tc>
                <w:tcPr>
                  <w:tcW w:w="1625" w:type="dxa"/>
                  <w:vAlign w:val="center"/>
                </w:tcPr>
                <w:p w14:paraId="2341E48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固态</w:t>
                  </w:r>
                </w:p>
              </w:tc>
              <w:tc>
                <w:tcPr>
                  <w:tcW w:w="2601" w:type="dxa"/>
                  <w:vAlign w:val="center"/>
                </w:tcPr>
                <w:p w14:paraId="4220C6B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position w:val="1"/>
                      <w:sz w:val="21"/>
                      <w:szCs w:val="21"/>
                      <w:lang w:val="en-US" w:eastAsia="zh-CN"/>
                    </w:rPr>
                  </w:pPr>
                  <w:r>
                    <w:rPr>
                      <w:rFonts w:hint="eastAsia" w:cs="Times New Roman"/>
                      <w:position w:val="1"/>
                      <w:sz w:val="21"/>
                      <w:szCs w:val="21"/>
                      <w:lang w:val="en-US" w:eastAsia="zh-CN"/>
                    </w:rPr>
                    <w:t>/</w:t>
                  </w:r>
                </w:p>
              </w:tc>
            </w:tr>
            <w:tr w14:paraId="01B8B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783B63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w:t>
                  </w:r>
                </w:p>
              </w:tc>
              <w:tc>
                <w:tcPr>
                  <w:tcW w:w="1575" w:type="dxa"/>
                  <w:vAlign w:val="center"/>
                </w:tcPr>
                <w:p w14:paraId="486E1A9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钢板</w:t>
                  </w:r>
                </w:p>
              </w:tc>
              <w:tc>
                <w:tcPr>
                  <w:tcW w:w="1762" w:type="dxa"/>
                  <w:vAlign w:val="center"/>
                </w:tcPr>
                <w:p w14:paraId="263D759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12.66</w:t>
                  </w:r>
                  <w:r>
                    <w:rPr>
                      <w:rFonts w:hint="eastAsia" w:ascii="Times New Roman" w:hAnsi="Times New Roman" w:cs="Times New Roman"/>
                      <w:spacing w:val="-4"/>
                      <w:sz w:val="21"/>
                      <w:szCs w:val="21"/>
                      <w:lang w:val="en-US" w:eastAsia="zh-CN"/>
                    </w:rPr>
                    <w:t>t/a</w:t>
                  </w:r>
                </w:p>
              </w:tc>
              <w:tc>
                <w:tcPr>
                  <w:tcW w:w="1625" w:type="dxa"/>
                  <w:vAlign w:val="center"/>
                </w:tcPr>
                <w:p w14:paraId="0CBF62C3">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固态</w:t>
                  </w:r>
                </w:p>
              </w:tc>
              <w:tc>
                <w:tcPr>
                  <w:tcW w:w="2601" w:type="dxa"/>
                  <w:vAlign w:val="center"/>
                </w:tcPr>
                <w:p w14:paraId="0FDE9BA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cs="Times New Roman"/>
                      <w:position w:val="1"/>
                      <w:sz w:val="21"/>
                      <w:szCs w:val="21"/>
                      <w:lang w:val="en-US" w:eastAsia="zh-CN"/>
                    </w:rPr>
                  </w:pPr>
                </w:p>
              </w:tc>
            </w:tr>
            <w:tr w14:paraId="4DF87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45539F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w:t>
                  </w:r>
                </w:p>
              </w:tc>
              <w:tc>
                <w:tcPr>
                  <w:tcW w:w="1575" w:type="dxa"/>
                  <w:shd w:val="clear" w:color="auto" w:fill="auto"/>
                  <w:vAlign w:val="center"/>
                </w:tcPr>
                <w:p w14:paraId="0840705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DT4E料带</w:t>
                  </w:r>
                </w:p>
              </w:tc>
              <w:tc>
                <w:tcPr>
                  <w:tcW w:w="1762" w:type="dxa"/>
                  <w:vAlign w:val="center"/>
                </w:tcPr>
                <w:p w14:paraId="664AD08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9.23</w:t>
                  </w:r>
                  <w:r>
                    <w:rPr>
                      <w:rFonts w:hint="eastAsia" w:ascii="Times New Roman" w:hAnsi="Times New Roman" w:cs="Times New Roman"/>
                      <w:spacing w:val="-4"/>
                      <w:sz w:val="21"/>
                      <w:szCs w:val="21"/>
                      <w:lang w:val="en-US" w:eastAsia="zh-CN"/>
                    </w:rPr>
                    <w:t>t/a</w:t>
                  </w:r>
                </w:p>
              </w:tc>
              <w:tc>
                <w:tcPr>
                  <w:tcW w:w="1625" w:type="dxa"/>
                  <w:vAlign w:val="center"/>
                </w:tcPr>
                <w:p w14:paraId="16764103">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固态</w:t>
                  </w:r>
                </w:p>
              </w:tc>
              <w:tc>
                <w:tcPr>
                  <w:tcW w:w="2601" w:type="dxa"/>
                  <w:vAlign w:val="center"/>
                </w:tcPr>
                <w:p w14:paraId="3CED484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cs="Times New Roman"/>
                      <w:position w:val="1"/>
                      <w:sz w:val="21"/>
                      <w:szCs w:val="21"/>
                      <w:lang w:val="en-US" w:eastAsia="zh-CN"/>
                    </w:rPr>
                  </w:pPr>
                </w:p>
              </w:tc>
            </w:tr>
            <w:tr w14:paraId="26BB7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EFBEC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7</w:t>
                  </w:r>
                </w:p>
              </w:tc>
              <w:tc>
                <w:tcPr>
                  <w:tcW w:w="1575" w:type="dxa"/>
                  <w:shd w:val="clear" w:color="auto" w:fill="auto"/>
                  <w:vAlign w:val="center"/>
                </w:tcPr>
                <w:p w14:paraId="0EE5863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铁心料带</w:t>
                  </w:r>
                </w:p>
              </w:tc>
              <w:tc>
                <w:tcPr>
                  <w:tcW w:w="1762" w:type="dxa"/>
                  <w:shd w:val="clear" w:color="auto" w:fill="auto"/>
                  <w:vAlign w:val="center"/>
                </w:tcPr>
                <w:p w14:paraId="0AF0354E">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1049.6t/a</w:t>
                  </w:r>
                </w:p>
              </w:tc>
              <w:tc>
                <w:tcPr>
                  <w:tcW w:w="1625" w:type="dxa"/>
                  <w:shd w:val="clear" w:color="auto" w:fill="auto"/>
                  <w:vAlign w:val="center"/>
                </w:tcPr>
                <w:p w14:paraId="1B94EEE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2"/>
                      <w:sz w:val="21"/>
                      <w:szCs w:val="21"/>
                    </w:rPr>
                    <w:t>固态</w:t>
                  </w:r>
                </w:p>
              </w:tc>
              <w:tc>
                <w:tcPr>
                  <w:tcW w:w="2601" w:type="dxa"/>
                  <w:vAlign w:val="center"/>
                </w:tcPr>
                <w:p w14:paraId="71BC436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cs="Times New Roman"/>
                      <w:position w:val="1"/>
                      <w:sz w:val="21"/>
                      <w:szCs w:val="21"/>
                      <w:lang w:val="en-US" w:eastAsia="zh-CN"/>
                    </w:rPr>
                  </w:pPr>
                </w:p>
              </w:tc>
            </w:tr>
            <w:tr w14:paraId="7B577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AB32A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w:t>
                  </w:r>
                </w:p>
              </w:tc>
              <w:tc>
                <w:tcPr>
                  <w:tcW w:w="1575" w:type="dxa"/>
                  <w:vAlign w:val="center"/>
                </w:tcPr>
                <w:p w14:paraId="3704E88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cs="Times New Roman"/>
                      <w:spacing w:val="-4"/>
                      <w:sz w:val="21"/>
                      <w:szCs w:val="21"/>
                      <w:lang w:val="en-US" w:eastAsia="zh-CN"/>
                    </w:rPr>
                    <w:t>3530UV胶水</w:t>
                  </w:r>
                </w:p>
              </w:tc>
              <w:tc>
                <w:tcPr>
                  <w:tcW w:w="1762" w:type="dxa"/>
                  <w:vAlign w:val="center"/>
                </w:tcPr>
                <w:p w14:paraId="5367CA3C">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0.05t/a</w:t>
                  </w:r>
                </w:p>
              </w:tc>
              <w:tc>
                <w:tcPr>
                  <w:tcW w:w="1625" w:type="dxa"/>
                  <w:vAlign w:val="center"/>
                </w:tcPr>
                <w:p w14:paraId="5F141C3F">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2"/>
                      <w:sz w:val="21"/>
                      <w:szCs w:val="21"/>
                      <w:lang w:val="en-US" w:eastAsia="zh-CN"/>
                    </w:rPr>
                  </w:pPr>
                  <w:r>
                    <w:rPr>
                      <w:rFonts w:hint="eastAsia" w:ascii="Times New Roman" w:hAnsi="Times New Roman" w:cs="Times New Roman"/>
                      <w:spacing w:val="-12"/>
                      <w:sz w:val="21"/>
                      <w:szCs w:val="21"/>
                      <w:lang w:val="en-US" w:eastAsia="zh-CN"/>
                    </w:rPr>
                    <w:t>液态</w:t>
                  </w:r>
                </w:p>
              </w:tc>
              <w:tc>
                <w:tcPr>
                  <w:tcW w:w="2601" w:type="dxa"/>
                  <w:vAlign w:val="center"/>
                </w:tcPr>
                <w:p w14:paraId="2D9CDFA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lang w:val="en-US" w:eastAsia="zh-CN"/>
                    </w:rPr>
                  </w:pPr>
                  <w:r>
                    <w:rPr>
                      <w:rFonts w:hint="default" w:ascii="Times New Roman" w:hAnsi="Times New Roman" w:cs="Times New Roman"/>
                      <w:position w:val="1"/>
                      <w:sz w:val="21"/>
                      <w:szCs w:val="21"/>
                      <w:lang w:val="en-US" w:eastAsia="zh-CN"/>
                    </w:rPr>
                    <w:t>挥发性有机物含量7g/kg</w:t>
                  </w:r>
                </w:p>
              </w:tc>
            </w:tr>
            <w:tr w14:paraId="64406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6FEDAB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9</w:t>
                  </w:r>
                </w:p>
              </w:tc>
              <w:tc>
                <w:tcPr>
                  <w:tcW w:w="1575" w:type="dxa"/>
                  <w:vAlign w:val="center"/>
                </w:tcPr>
                <w:p w14:paraId="3645F25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压磁胶水JC827</w:t>
                  </w:r>
                </w:p>
              </w:tc>
              <w:tc>
                <w:tcPr>
                  <w:tcW w:w="1762" w:type="dxa"/>
                  <w:vAlign w:val="center"/>
                </w:tcPr>
                <w:p w14:paraId="2DC1D6B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0.05t/a</w:t>
                  </w:r>
                </w:p>
              </w:tc>
              <w:tc>
                <w:tcPr>
                  <w:tcW w:w="1625" w:type="dxa"/>
                  <w:vAlign w:val="center"/>
                </w:tcPr>
                <w:p w14:paraId="42EE556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2"/>
                      <w:sz w:val="21"/>
                      <w:szCs w:val="21"/>
                    </w:rPr>
                  </w:pPr>
                  <w:r>
                    <w:rPr>
                      <w:rFonts w:hint="eastAsia" w:ascii="Times New Roman" w:hAnsi="Times New Roman" w:cs="Times New Roman"/>
                      <w:spacing w:val="-12"/>
                      <w:sz w:val="21"/>
                      <w:szCs w:val="21"/>
                      <w:lang w:val="en-US" w:eastAsia="zh-CN"/>
                    </w:rPr>
                    <w:t>液态</w:t>
                  </w:r>
                </w:p>
              </w:tc>
              <w:tc>
                <w:tcPr>
                  <w:tcW w:w="2601" w:type="dxa"/>
                  <w:vAlign w:val="center"/>
                </w:tcPr>
                <w:p w14:paraId="0E81575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position w:val="1"/>
                      <w:sz w:val="21"/>
                      <w:szCs w:val="21"/>
                    </w:rPr>
                  </w:pPr>
                  <w:r>
                    <w:rPr>
                      <w:rFonts w:hint="default" w:ascii="Times New Roman" w:hAnsi="Times New Roman" w:cs="Times New Roman"/>
                      <w:position w:val="1"/>
                      <w:sz w:val="21"/>
                      <w:szCs w:val="21"/>
                      <w:lang w:val="en-US" w:eastAsia="zh-CN"/>
                    </w:rPr>
                    <w:t>挥发性有机物含量9.35g/kg</w:t>
                  </w:r>
                </w:p>
              </w:tc>
            </w:tr>
            <w:tr w14:paraId="49E2A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5EB284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10</w:t>
                  </w:r>
                </w:p>
              </w:tc>
              <w:tc>
                <w:tcPr>
                  <w:tcW w:w="1575" w:type="dxa"/>
                  <w:vAlign w:val="center"/>
                </w:tcPr>
                <w:p w14:paraId="3975270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贴合胶水TL006</w:t>
                  </w:r>
                </w:p>
              </w:tc>
              <w:tc>
                <w:tcPr>
                  <w:tcW w:w="1762" w:type="dxa"/>
                  <w:vAlign w:val="center"/>
                </w:tcPr>
                <w:p w14:paraId="121EE806">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0.1t/a</w:t>
                  </w:r>
                </w:p>
              </w:tc>
              <w:tc>
                <w:tcPr>
                  <w:tcW w:w="1625" w:type="dxa"/>
                  <w:vAlign w:val="center"/>
                </w:tcPr>
                <w:p w14:paraId="3347C9F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2"/>
                      <w:sz w:val="21"/>
                      <w:szCs w:val="21"/>
                    </w:rPr>
                  </w:pPr>
                  <w:r>
                    <w:rPr>
                      <w:rFonts w:hint="eastAsia" w:ascii="Times New Roman" w:hAnsi="Times New Roman" w:cs="Times New Roman"/>
                      <w:spacing w:val="-12"/>
                      <w:sz w:val="21"/>
                      <w:szCs w:val="21"/>
                      <w:lang w:val="en-US" w:eastAsia="zh-CN"/>
                    </w:rPr>
                    <w:t>液态</w:t>
                  </w:r>
                </w:p>
              </w:tc>
              <w:tc>
                <w:tcPr>
                  <w:tcW w:w="2601" w:type="dxa"/>
                  <w:shd w:val="clear" w:color="auto" w:fill="auto"/>
                  <w:vAlign w:val="center"/>
                </w:tcPr>
                <w:p w14:paraId="344032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position w:val="1"/>
                      <w:sz w:val="21"/>
                      <w:szCs w:val="21"/>
                      <w:lang w:val="en-US" w:eastAsia="zh-CN" w:bidi="ar-SA"/>
                    </w:rPr>
                  </w:pPr>
                  <w:r>
                    <w:rPr>
                      <w:rFonts w:hint="default" w:ascii="Times New Roman" w:hAnsi="Times New Roman" w:cs="Times New Roman"/>
                      <w:position w:val="1"/>
                      <w:sz w:val="21"/>
                      <w:szCs w:val="21"/>
                      <w:lang w:val="en-US" w:eastAsia="zh-CN"/>
                    </w:rPr>
                    <w:t>挥发性有机物含量1g/kg</w:t>
                  </w:r>
                </w:p>
              </w:tc>
            </w:tr>
            <w:tr w14:paraId="0F324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30D6F1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1"/>
                      <w:sz w:val="21"/>
                      <w:szCs w:val="21"/>
                    </w:rPr>
                    <w:t>11</w:t>
                  </w:r>
                </w:p>
              </w:tc>
              <w:tc>
                <w:tcPr>
                  <w:tcW w:w="1575" w:type="dxa"/>
                  <w:vAlign w:val="center"/>
                </w:tcPr>
                <w:p w14:paraId="304AE1F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pacing w:val="-3"/>
                      <w:sz w:val="21"/>
                      <w:szCs w:val="21"/>
                      <w:lang w:val="en-US" w:eastAsia="zh-CN"/>
                    </w:rPr>
                    <w:t>磁石</w:t>
                  </w:r>
                </w:p>
              </w:tc>
              <w:tc>
                <w:tcPr>
                  <w:tcW w:w="1762" w:type="dxa"/>
                  <w:vAlign w:val="center"/>
                </w:tcPr>
                <w:p w14:paraId="7011BFA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85273t/a</w:t>
                  </w:r>
                </w:p>
              </w:tc>
              <w:tc>
                <w:tcPr>
                  <w:tcW w:w="1625" w:type="dxa"/>
                  <w:vAlign w:val="center"/>
                </w:tcPr>
                <w:p w14:paraId="6E783D9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7B85251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2446B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459D60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12</w:t>
                  </w:r>
                </w:p>
              </w:tc>
              <w:tc>
                <w:tcPr>
                  <w:tcW w:w="1575" w:type="dxa"/>
                  <w:vAlign w:val="center"/>
                </w:tcPr>
                <w:p w14:paraId="28A498A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取付板</w:t>
                  </w:r>
                </w:p>
              </w:tc>
              <w:tc>
                <w:tcPr>
                  <w:tcW w:w="1762" w:type="dxa"/>
                  <w:vAlign w:val="center"/>
                </w:tcPr>
                <w:p w14:paraId="50B08A54">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1035t/a</w:t>
                  </w:r>
                </w:p>
              </w:tc>
              <w:tc>
                <w:tcPr>
                  <w:tcW w:w="1625" w:type="dxa"/>
                  <w:vAlign w:val="center"/>
                </w:tcPr>
                <w:p w14:paraId="5B0312F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01F63AD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41DD8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18AE06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13</w:t>
                  </w:r>
                </w:p>
              </w:tc>
              <w:tc>
                <w:tcPr>
                  <w:tcW w:w="1575" w:type="dxa"/>
                  <w:vAlign w:val="center"/>
                </w:tcPr>
                <w:p w14:paraId="535234A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pacing w:val="-4"/>
                      <w:sz w:val="21"/>
                      <w:szCs w:val="21"/>
                      <w:lang w:val="en-US" w:eastAsia="zh-CN"/>
                    </w:rPr>
                    <w:t>端子线</w:t>
                  </w:r>
                </w:p>
              </w:tc>
              <w:tc>
                <w:tcPr>
                  <w:tcW w:w="1762" w:type="dxa"/>
                  <w:vAlign w:val="center"/>
                </w:tcPr>
                <w:p w14:paraId="5FD46B1E">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2272.5t/a</w:t>
                  </w:r>
                </w:p>
              </w:tc>
              <w:tc>
                <w:tcPr>
                  <w:tcW w:w="1625" w:type="dxa"/>
                  <w:vAlign w:val="center"/>
                </w:tcPr>
                <w:p w14:paraId="3A33AE8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161C305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6CC37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0BD4B4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0"/>
                      <w:kern w:val="2"/>
                      <w:sz w:val="21"/>
                      <w:szCs w:val="21"/>
                      <w:lang w:val="en-US" w:eastAsia="zh-CN" w:bidi="ar-SA"/>
                    </w:rPr>
                  </w:pPr>
                  <w:r>
                    <w:rPr>
                      <w:rFonts w:hint="eastAsia" w:cs="Times New Roman"/>
                      <w:spacing w:val="-10"/>
                      <w:sz w:val="21"/>
                      <w:szCs w:val="21"/>
                      <w:lang w:val="en-US" w:eastAsia="zh-CN"/>
                    </w:rPr>
                    <w:t>14</w:t>
                  </w:r>
                </w:p>
              </w:tc>
              <w:tc>
                <w:tcPr>
                  <w:tcW w:w="1575" w:type="dxa"/>
                  <w:vAlign w:val="center"/>
                </w:tcPr>
                <w:p w14:paraId="1ED963C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吸塑盒</w:t>
                  </w:r>
                </w:p>
              </w:tc>
              <w:tc>
                <w:tcPr>
                  <w:tcW w:w="1762" w:type="dxa"/>
                  <w:vAlign w:val="center"/>
                </w:tcPr>
                <w:p w14:paraId="514C168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1179.6</w:t>
                  </w:r>
                  <w:r>
                    <w:rPr>
                      <w:rFonts w:hint="eastAsia" w:ascii="Times New Roman" w:hAnsi="Times New Roman" w:cs="Times New Roman"/>
                      <w:spacing w:val="-4"/>
                      <w:sz w:val="21"/>
                      <w:szCs w:val="21"/>
                      <w:lang w:val="en-US" w:eastAsia="zh-CN"/>
                    </w:rPr>
                    <w:t>t/a</w:t>
                  </w:r>
                </w:p>
              </w:tc>
              <w:tc>
                <w:tcPr>
                  <w:tcW w:w="1625" w:type="dxa"/>
                  <w:vAlign w:val="center"/>
                </w:tcPr>
                <w:p w14:paraId="34ABB239">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4E74730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45645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5D75B3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w:t>
                  </w:r>
                  <w:r>
                    <w:rPr>
                      <w:rFonts w:hint="eastAsia" w:cs="Times New Roman"/>
                      <w:spacing w:val="-10"/>
                      <w:sz w:val="21"/>
                      <w:szCs w:val="21"/>
                      <w:lang w:val="en-US" w:eastAsia="zh-CN"/>
                    </w:rPr>
                    <w:t>5</w:t>
                  </w:r>
                </w:p>
              </w:tc>
              <w:tc>
                <w:tcPr>
                  <w:tcW w:w="1575" w:type="dxa"/>
                  <w:vAlign w:val="center"/>
                </w:tcPr>
                <w:p w14:paraId="0723DC0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漆包线</w:t>
                  </w:r>
                </w:p>
              </w:tc>
              <w:tc>
                <w:tcPr>
                  <w:tcW w:w="1762" w:type="dxa"/>
                  <w:vAlign w:val="center"/>
                </w:tcPr>
                <w:p w14:paraId="7B380AF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eastAsia" w:cs="Times New Roman"/>
                      <w:spacing w:val="-1"/>
                      <w:position w:val="1"/>
                      <w:sz w:val="21"/>
                      <w:szCs w:val="21"/>
                      <w:lang w:val="en-US" w:eastAsia="zh-CN"/>
                    </w:rPr>
                    <w:t>25.1</w:t>
                  </w:r>
                  <w:r>
                    <w:rPr>
                      <w:rFonts w:hint="default" w:ascii="Times New Roman" w:hAnsi="Times New Roman" w:eastAsia="宋体" w:cs="Times New Roman"/>
                      <w:spacing w:val="-1"/>
                      <w:position w:val="1"/>
                      <w:sz w:val="21"/>
                      <w:szCs w:val="21"/>
                    </w:rPr>
                    <w:t>t/a</w:t>
                  </w:r>
                </w:p>
              </w:tc>
              <w:tc>
                <w:tcPr>
                  <w:tcW w:w="1625" w:type="dxa"/>
                  <w:vAlign w:val="center"/>
                </w:tcPr>
                <w:p w14:paraId="6107CF4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6B25407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279A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465121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1</w:t>
                  </w:r>
                  <w:r>
                    <w:rPr>
                      <w:rFonts w:hint="eastAsia" w:cs="Times New Roman"/>
                      <w:spacing w:val="-10"/>
                      <w:sz w:val="21"/>
                      <w:szCs w:val="21"/>
                      <w:lang w:val="en-US" w:eastAsia="zh-CN"/>
                    </w:rPr>
                    <w:t>6</w:t>
                  </w:r>
                </w:p>
              </w:tc>
              <w:tc>
                <w:tcPr>
                  <w:tcW w:w="1575" w:type="dxa"/>
                  <w:vAlign w:val="center"/>
                </w:tcPr>
                <w:p w14:paraId="564E8572">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齿轮</w:t>
                  </w:r>
                </w:p>
              </w:tc>
              <w:tc>
                <w:tcPr>
                  <w:tcW w:w="1762" w:type="dxa"/>
                  <w:vAlign w:val="center"/>
                </w:tcPr>
                <w:p w14:paraId="09F498C0">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140.2</w:t>
                  </w:r>
                  <w:r>
                    <w:rPr>
                      <w:rFonts w:hint="default" w:ascii="Times New Roman" w:hAnsi="Times New Roman" w:eastAsia="宋体" w:cs="Times New Roman"/>
                      <w:spacing w:val="-1"/>
                      <w:position w:val="1"/>
                      <w:sz w:val="21"/>
                      <w:szCs w:val="21"/>
                    </w:rPr>
                    <w:t>t/a</w:t>
                  </w:r>
                </w:p>
              </w:tc>
              <w:tc>
                <w:tcPr>
                  <w:tcW w:w="1625" w:type="dxa"/>
                  <w:vAlign w:val="center"/>
                </w:tcPr>
                <w:p w14:paraId="628765F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78D1790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05917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7DF31C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17</w:t>
                  </w:r>
                </w:p>
              </w:tc>
              <w:tc>
                <w:tcPr>
                  <w:tcW w:w="1575" w:type="dxa"/>
                  <w:vAlign w:val="center"/>
                </w:tcPr>
                <w:p w14:paraId="1E52A01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支架</w:t>
                  </w:r>
                </w:p>
              </w:tc>
              <w:tc>
                <w:tcPr>
                  <w:tcW w:w="1762" w:type="dxa"/>
                  <w:vAlign w:val="center"/>
                </w:tcPr>
                <w:p w14:paraId="177B2FD3">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182.6t/a</w:t>
                  </w:r>
                </w:p>
              </w:tc>
              <w:tc>
                <w:tcPr>
                  <w:tcW w:w="1625" w:type="dxa"/>
                  <w:vAlign w:val="center"/>
                </w:tcPr>
                <w:p w14:paraId="78B300B8">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固态</w:t>
                  </w:r>
                </w:p>
              </w:tc>
              <w:tc>
                <w:tcPr>
                  <w:tcW w:w="2601" w:type="dxa"/>
                  <w:vAlign w:val="center"/>
                </w:tcPr>
                <w:p w14:paraId="10C9D57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056BA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BB2DF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w:t>
                  </w:r>
                </w:p>
              </w:tc>
              <w:tc>
                <w:tcPr>
                  <w:tcW w:w="1575" w:type="dxa"/>
                  <w:shd w:val="clear" w:color="auto" w:fill="auto"/>
                  <w:vAlign w:val="center"/>
                </w:tcPr>
                <w:p w14:paraId="10A67F27">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自攻螺丝</w:t>
                  </w:r>
                </w:p>
              </w:tc>
              <w:tc>
                <w:tcPr>
                  <w:tcW w:w="1762" w:type="dxa"/>
                  <w:shd w:val="clear" w:color="auto" w:fill="auto"/>
                  <w:vAlign w:val="center"/>
                </w:tcPr>
                <w:p w14:paraId="2F1F99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1680.2</w:t>
                  </w:r>
                  <w:r>
                    <w:rPr>
                      <w:rFonts w:hint="eastAsia" w:ascii="Times New Roman" w:hAnsi="Times New Roman" w:cs="Times New Roman"/>
                      <w:sz w:val="21"/>
                      <w:szCs w:val="21"/>
                      <w:lang w:val="en-US" w:eastAsia="zh-CN"/>
                    </w:rPr>
                    <w:t>t/a</w:t>
                  </w:r>
                </w:p>
              </w:tc>
              <w:tc>
                <w:tcPr>
                  <w:tcW w:w="1625" w:type="dxa"/>
                  <w:shd w:val="clear" w:color="auto" w:fill="auto"/>
                  <w:vAlign w:val="center"/>
                </w:tcPr>
                <w:p w14:paraId="27E96AD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2"/>
                      <w:sz w:val="21"/>
                      <w:szCs w:val="21"/>
                    </w:rPr>
                    <w:t>固态</w:t>
                  </w:r>
                </w:p>
              </w:tc>
              <w:tc>
                <w:tcPr>
                  <w:tcW w:w="2601" w:type="dxa"/>
                  <w:vAlign w:val="center"/>
                </w:tcPr>
                <w:p w14:paraId="1762A5D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4961E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2C4D4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19</w:t>
                  </w:r>
                </w:p>
              </w:tc>
              <w:tc>
                <w:tcPr>
                  <w:tcW w:w="1575" w:type="dxa"/>
                  <w:shd w:val="clear" w:color="auto" w:fill="auto"/>
                  <w:vAlign w:val="center"/>
                </w:tcPr>
                <w:p w14:paraId="344F8DF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锡线</w:t>
                  </w:r>
                </w:p>
              </w:tc>
              <w:tc>
                <w:tcPr>
                  <w:tcW w:w="1762" w:type="dxa"/>
                  <w:shd w:val="clear" w:color="auto" w:fill="auto"/>
                  <w:vAlign w:val="center"/>
                </w:tcPr>
                <w:p w14:paraId="21B346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sz w:val="21"/>
                      <w:szCs w:val="21"/>
                      <w:lang w:val="en-US" w:eastAsia="zh-CN"/>
                    </w:rPr>
                  </w:pPr>
                  <w:r>
                    <w:rPr>
                      <w:rFonts w:hint="eastAsia" w:cs="Times New Roman"/>
                      <w:sz w:val="21"/>
                      <w:szCs w:val="21"/>
                      <w:lang w:val="en-US" w:eastAsia="zh-CN"/>
                    </w:rPr>
                    <w:t>3.0</w:t>
                  </w:r>
                  <w:r>
                    <w:rPr>
                      <w:rFonts w:hint="default" w:ascii="Times New Roman" w:hAnsi="Times New Roman" w:eastAsia="宋体" w:cs="Times New Roman"/>
                      <w:spacing w:val="-5"/>
                      <w:position w:val="1"/>
                      <w:sz w:val="21"/>
                      <w:szCs w:val="21"/>
                    </w:rPr>
                    <w:t>t/a</w:t>
                  </w:r>
                </w:p>
              </w:tc>
              <w:tc>
                <w:tcPr>
                  <w:tcW w:w="1625" w:type="dxa"/>
                  <w:shd w:val="clear" w:color="auto" w:fill="auto"/>
                  <w:vAlign w:val="center"/>
                </w:tcPr>
                <w:p w14:paraId="2A23BCA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12"/>
                      <w:sz w:val="21"/>
                      <w:szCs w:val="21"/>
                    </w:rPr>
                  </w:pPr>
                  <w:r>
                    <w:rPr>
                      <w:rFonts w:hint="default" w:ascii="Times New Roman" w:hAnsi="Times New Roman" w:eastAsia="宋体" w:cs="Times New Roman"/>
                      <w:spacing w:val="-12"/>
                      <w:sz w:val="21"/>
                      <w:szCs w:val="21"/>
                    </w:rPr>
                    <w:t>固态</w:t>
                  </w:r>
                </w:p>
              </w:tc>
              <w:tc>
                <w:tcPr>
                  <w:tcW w:w="2601" w:type="dxa"/>
                  <w:vAlign w:val="center"/>
                </w:tcPr>
                <w:p w14:paraId="05DC825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position w:val="1"/>
                      <w:sz w:val="21"/>
                      <w:szCs w:val="21"/>
                      <w:lang w:val="en-US" w:eastAsia="zh-CN"/>
                    </w:rPr>
                  </w:pPr>
                  <w:r>
                    <w:rPr>
                      <w:rFonts w:hint="eastAsia" w:cs="Times New Roman"/>
                      <w:position w:val="1"/>
                      <w:sz w:val="21"/>
                      <w:szCs w:val="21"/>
                      <w:lang w:val="en-US" w:eastAsia="zh-CN"/>
                    </w:rPr>
                    <w:t>/</w:t>
                  </w:r>
                </w:p>
              </w:tc>
            </w:tr>
            <w:tr w14:paraId="50E4C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575" w:type="dxa"/>
                  <w:shd w:val="clear" w:color="auto" w:fill="auto"/>
                  <w:vAlign w:val="center"/>
                </w:tcPr>
                <w:p w14:paraId="07C513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20</w:t>
                  </w:r>
                </w:p>
              </w:tc>
              <w:tc>
                <w:tcPr>
                  <w:tcW w:w="1575" w:type="dxa"/>
                  <w:shd w:val="clear" w:color="auto" w:fill="auto"/>
                  <w:vAlign w:val="center"/>
                </w:tcPr>
                <w:p w14:paraId="2627FC4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助焊剂</w:t>
                  </w:r>
                  <w:r>
                    <w:rPr>
                      <w:rFonts w:hint="eastAsia" w:ascii="Times New Roman" w:hAnsi="Times New Roman" w:cs="Times New Roman"/>
                      <w:spacing w:val="-2"/>
                      <w:sz w:val="21"/>
                      <w:szCs w:val="21"/>
                      <w:lang w:val="en-US" w:eastAsia="zh-CN"/>
                    </w:rPr>
                    <w:t>920</w:t>
                  </w:r>
                </w:p>
              </w:tc>
              <w:tc>
                <w:tcPr>
                  <w:tcW w:w="1762" w:type="dxa"/>
                  <w:shd w:val="clear" w:color="auto" w:fill="auto"/>
                  <w:vAlign w:val="center"/>
                </w:tcPr>
                <w:p w14:paraId="2D8D2F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5"/>
                      <w:position w:val="1"/>
                      <w:sz w:val="21"/>
                      <w:szCs w:val="21"/>
                    </w:rPr>
                    <w:t>0.1t/a</w:t>
                  </w:r>
                </w:p>
              </w:tc>
              <w:tc>
                <w:tcPr>
                  <w:tcW w:w="1625" w:type="dxa"/>
                  <w:shd w:val="clear" w:color="auto" w:fill="auto"/>
                  <w:vAlign w:val="center"/>
                </w:tcPr>
                <w:p w14:paraId="22332DF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液态，5L/桶</w:t>
                  </w:r>
                </w:p>
              </w:tc>
              <w:tc>
                <w:tcPr>
                  <w:tcW w:w="2601" w:type="dxa"/>
                  <w:vAlign w:val="center"/>
                </w:tcPr>
                <w:p w14:paraId="4F945F75">
                  <w:pPr>
                    <w:pStyle w:val="69"/>
                    <w:keepNext w:val="0"/>
                    <w:keepLines w:val="0"/>
                    <w:pageBreakBefore w:val="0"/>
                    <w:widowControl w:val="0"/>
                    <w:kinsoku/>
                    <w:wordWrap/>
                    <w:overflowPunct/>
                    <w:topLinePunct w:val="0"/>
                    <w:autoSpaceDE/>
                    <w:autoSpaceDN/>
                    <w:bidi w:val="0"/>
                    <w:adjustRightInd/>
                    <w:snapToGrid/>
                    <w:spacing w:line="240" w:lineRule="auto"/>
                    <w:ind w:left="0" w:right="0" w:firstLine="4"/>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63340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40CE65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21</w:t>
                  </w:r>
                </w:p>
              </w:tc>
              <w:tc>
                <w:tcPr>
                  <w:tcW w:w="1575" w:type="dxa"/>
                  <w:shd w:val="clear" w:color="auto" w:fill="auto"/>
                  <w:vAlign w:val="center"/>
                </w:tcPr>
                <w:p w14:paraId="4ACFAE93">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润滑油</w:t>
                  </w:r>
                </w:p>
              </w:tc>
              <w:tc>
                <w:tcPr>
                  <w:tcW w:w="1762" w:type="dxa"/>
                  <w:shd w:val="clear" w:color="auto" w:fill="auto"/>
                  <w:vAlign w:val="center"/>
                </w:tcPr>
                <w:p w14:paraId="702A9EF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pacing w:val="-2"/>
                      <w:sz w:val="21"/>
                      <w:szCs w:val="21"/>
                      <w:lang w:val="en-US" w:eastAsia="zh-CN"/>
                    </w:rPr>
                    <w:t>0.056</w:t>
                  </w:r>
                  <w:r>
                    <w:rPr>
                      <w:rFonts w:hint="default" w:ascii="Times New Roman" w:hAnsi="Times New Roman" w:eastAsia="宋体" w:cs="Times New Roman"/>
                      <w:spacing w:val="-5"/>
                      <w:position w:val="1"/>
                      <w:sz w:val="21"/>
                      <w:szCs w:val="21"/>
                    </w:rPr>
                    <w:t>t/a</w:t>
                  </w:r>
                </w:p>
              </w:tc>
              <w:tc>
                <w:tcPr>
                  <w:tcW w:w="1625" w:type="dxa"/>
                  <w:shd w:val="clear" w:color="auto" w:fill="auto"/>
                  <w:vAlign w:val="center"/>
                </w:tcPr>
                <w:p w14:paraId="275D0C9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3"/>
                      <w:sz w:val="21"/>
                      <w:szCs w:val="21"/>
                    </w:rPr>
                    <w:t>固态，200L/桶</w:t>
                  </w:r>
                </w:p>
              </w:tc>
              <w:tc>
                <w:tcPr>
                  <w:tcW w:w="2601" w:type="dxa"/>
                  <w:vAlign w:val="center"/>
                </w:tcPr>
                <w:p w14:paraId="30A34BF1">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rPr>
                    <w:t>180kg/桶</w:t>
                  </w:r>
                </w:p>
              </w:tc>
            </w:tr>
            <w:tr w14:paraId="2C198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5" w:type="dxa"/>
                  <w:shd w:val="clear" w:color="auto" w:fill="auto"/>
                  <w:vAlign w:val="center"/>
                </w:tcPr>
                <w:p w14:paraId="718368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22</w:t>
                  </w:r>
                </w:p>
              </w:tc>
              <w:tc>
                <w:tcPr>
                  <w:tcW w:w="1575" w:type="dxa"/>
                  <w:shd w:val="clear" w:color="auto" w:fill="auto"/>
                  <w:vAlign w:val="center"/>
                </w:tcPr>
                <w:p w14:paraId="55ED337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3"/>
                      <w:kern w:val="2"/>
                      <w:sz w:val="21"/>
                      <w:szCs w:val="21"/>
                      <w:lang w:val="en-US" w:eastAsia="zh-CN" w:bidi="ar-SA"/>
                    </w:rPr>
                  </w:pPr>
                  <w:r>
                    <w:rPr>
                      <w:rFonts w:hint="eastAsia" w:ascii="Times New Roman" w:hAnsi="Times New Roman" w:cs="Times New Roman"/>
                      <w:spacing w:val="-3"/>
                      <w:sz w:val="21"/>
                      <w:szCs w:val="21"/>
                      <w:lang w:val="en-US" w:eastAsia="zh-CN"/>
                    </w:rPr>
                    <w:t>线材</w:t>
                  </w:r>
                </w:p>
              </w:tc>
              <w:tc>
                <w:tcPr>
                  <w:tcW w:w="1762" w:type="dxa"/>
                  <w:shd w:val="clear" w:color="auto" w:fill="auto"/>
                  <w:vAlign w:val="center"/>
                </w:tcPr>
                <w:p w14:paraId="5482685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pacing w:val="-2"/>
                      <w:kern w:val="2"/>
                      <w:sz w:val="21"/>
                      <w:szCs w:val="21"/>
                      <w:lang w:val="en-US" w:eastAsia="zh-CN" w:bidi="ar-SA"/>
                    </w:rPr>
                  </w:pPr>
                  <w:r>
                    <w:rPr>
                      <w:rFonts w:hint="eastAsia" w:ascii="Times New Roman" w:hAnsi="Times New Roman" w:cs="Times New Roman"/>
                      <w:spacing w:val="-2"/>
                      <w:sz w:val="21"/>
                      <w:szCs w:val="21"/>
                      <w:lang w:val="en-US" w:eastAsia="zh-CN"/>
                    </w:rPr>
                    <w:t>1170</w:t>
                  </w:r>
                  <w:r>
                    <w:rPr>
                      <w:rFonts w:hint="default" w:ascii="Times New Roman" w:hAnsi="Times New Roman" w:eastAsia="宋体" w:cs="Times New Roman"/>
                      <w:spacing w:val="-5"/>
                      <w:position w:val="1"/>
                      <w:sz w:val="21"/>
                      <w:szCs w:val="21"/>
                    </w:rPr>
                    <w:t>t/a</w:t>
                  </w:r>
                </w:p>
              </w:tc>
              <w:tc>
                <w:tcPr>
                  <w:tcW w:w="1625" w:type="dxa"/>
                  <w:shd w:val="clear" w:color="auto" w:fill="auto"/>
                  <w:vAlign w:val="center"/>
                </w:tcPr>
                <w:p w14:paraId="144886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c>
                <w:tcPr>
                  <w:tcW w:w="2601" w:type="dxa"/>
                  <w:vAlign w:val="center"/>
                </w:tcPr>
                <w:p w14:paraId="469552DA">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4C531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75" w:type="dxa"/>
                  <w:shd w:val="clear" w:color="auto" w:fill="auto"/>
                  <w:vAlign w:val="center"/>
                </w:tcPr>
                <w:p w14:paraId="185447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eastAsia" w:cs="Times New Roman"/>
                      <w:color w:val="FF0000"/>
                      <w:kern w:val="2"/>
                      <w:sz w:val="21"/>
                      <w:szCs w:val="21"/>
                      <w:lang w:val="en-US" w:eastAsia="zh-CN" w:bidi="ar-SA"/>
                    </w:rPr>
                    <w:t>23</w:t>
                  </w:r>
                </w:p>
              </w:tc>
              <w:tc>
                <w:tcPr>
                  <w:tcW w:w="1575" w:type="dxa"/>
                  <w:shd w:val="clear" w:color="auto" w:fill="auto"/>
                  <w:vAlign w:val="center"/>
                </w:tcPr>
                <w:p w14:paraId="256BF55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sz w:val="21"/>
                      <w:szCs w:val="21"/>
                      <w:lang w:val="en-US" w:eastAsia="zh-CN"/>
                    </w:rPr>
                    <w:t>氮气</w:t>
                  </w:r>
                </w:p>
              </w:tc>
              <w:tc>
                <w:tcPr>
                  <w:tcW w:w="1762" w:type="dxa"/>
                  <w:shd w:val="clear" w:color="auto" w:fill="auto"/>
                  <w:vAlign w:val="center"/>
                </w:tcPr>
                <w:p w14:paraId="10BE825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spacing w:val="-2"/>
                      <w:kern w:val="2"/>
                      <w:sz w:val="21"/>
                      <w:szCs w:val="21"/>
                      <w:lang w:val="en-US" w:eastAsia="zh-CN" w:bidi="ar-SA"/>
                    </w:rPr>
                  </w:pPr>
                  <w:r>
                    <w:rPr>
                      <w:rFonts w:hint="eastAsia" w:ascii="Times New Roman" w:hAnsi="Times New Roman" w:cs="Times New Roman"/>
                      <w:color w:val="FF0000"/>
                      <w:spacing w:val="-2"/>
                      <w:sz w:val="21"/>
                      <w:szCs w:val="21"/>
                      <w:lang w:val="en-US" w:eastAsia="zh-CN"/>
                    </w:rPr>
                    <w:t>360000m</w:t>
                  </w:r>
                  <w:r>
                    <w:rPr>
                      <w:rFonts w:hint="eastAsia" w:ascii="Times New Roman" w:hAnsi="Times New Roman" w:cs="Times New Roman"/>
                      <w:color w:val="FF0000"/>
                      <w:spacing w:val="-2"/>
                      <w:sz w:val="21"/>
                      <w:szCs w:val="21"/>
                      <w:vertAlign w:val="superscript"/>
                      <w:lang w:val="en-US" w:eastAsia="zh-CN"/>
                    </w:rPr>
                    <w:t>3</w:t>
                  </w:r>
                  <w:r>
                    <w:rPr>
                      <w:rFonts w:hint="eastAsia" w:ascii="Times New Roman" w:hAnsi="Times New Roman" w:cs="Times New Roman"/>
                      <w:color w:val="FF0000"/>
                      <w:spacing w:val="-2"/>
                      <w:sz w:val="21"/>
                      <w:szCs w:val="21"/>
                      <w:lang w:val="en-US" w:eastAsia="zh-CN"/>
                    </w:rPr>
                    <w:t>/a</w:t>
                  </w:r>
                </w:p>
              </w:tc>
              <w:tc>
                <w:tcPr>
                  <w:tcW w:w="1625" w:type="dxa"/>
                  <w:shd w:val="clear" w:color="auto" w:fill="auto"/>
                  <w:vAlign w:val="center"/>
                </w:tcPr>
                <w:p w14:paraId="578A00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2"/>
                      <w:position w:val="1"/>
                      <w:sz w:val="21"/>
                      <w:szCs w:val="21"/>
                      <w:lang w:val="en-US" w:eastAsia="zh-CN" w:bidi="ar-SA"/>
                    </w:rPr>
                  </w:pPr>
                  <w:r>
                    <w:rPr>
                      <w:rFonts w:hint="eastAsia" w:ascii="Times New Roman" w:hAnsi="Times New Roman" w:cs="Times New Roman"/>
                      <w:color w:val="FF0000"/>
                      <w:kern w:val="0"/>
                      <w:sz w:val="21"/>
                      <w:szCs w:val="21"/>
                      <w:lang w:val="en-US" w:eastAsia="zh-CN"/>
                    </w:rPr>
                    <w:t>0.8</w:t>
                  </w:r>
                  <w:r>
                    <w:rPr>
                      <w:rFonts w:hint="default" w:ascii="Times New Roman" w:hAnsi="Times New Roman" w:cs="Times New Roman"/>
                      <w:color w:val="FF0000"/>
                      <w:kern w:val="0"/>
                      <w:sz w:val="21"/>
                      <w:szCs w:val="21"/>
                    </w:rPr>
                    <w:t>MPa</w:t>
                  </w:r>
                  <w:r>
                    <w:rPr>
                      <w:rFonts w:hint="eastAsia" w:ascii="Times New Roman" w:hAnsi="Times New Roman" w:cs="Times New Roman"/>
                      <w:color w:val="FF0000"/>
                      <w:kern w:val="0"/>
                      <w:sz w:val="21"/>
                      <w:szCs w:val="21"/>
                      <w:lang w:eastAsia="zh-CN"/>
                    </w:rPr>
                    <w:t>，</w:t>
                  </w:r>
                  <w:r>
                    <w:rPr>
                      <w:rFonts w:hint="eastAsia" w:ascii="Times New Roman" w:hAnsi="Times New Roman" w:cs="Times New Roman"/>
                      <w:color w:val="FF0000"/>
                      <w:kern w:val="0"/>
                      <w:sz w:val="21"/>
                      <w:szCs w:val="21"/>
                      <w:lang w:val="en-US" w:eastAsia="zh-CN"/>
                    </w:rPr>
                    <w:t>纯度99.99%</w:t>
                  </w:r>
                </w:p>
              </w:tc>
              <w:tc>
                <w:tcPr>
                  <w:tcW w:w="2601" w:type="dxa"/>
                  <w:shd w:val="clear" w:color="auto" w:fill="auto"/>
                  <w:vAlign w:val="center"/>
                </w:tcPr>
                <w:p w14:paraId="643CCC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2"/>
                      <w:position w:val="1"/>
                      <w:sz w:val="21"/>
                      <w:szCs w:val="21"/>
                      <w:lang w:val="en-US" w:eastAsia="zh-CN" w:bidi="ar-SA"/>
                    </w:rPr>
                  </w:pPr>
                  <w:r>
                    <w:rPr>
                      <w:rFonts w:hint="eastAsia" w:cs="Times New Roman"/>
                      <w:color w:val="FF0000"/>
                      <w:position w:val="1"/>
                      <w:sz w:val="21"/>
                      <w:szCs w:val="21"/>
                      <w:lang w:val="en-US" w:eastAsia="zh-CN"/>
                    </w:rPr>
                    <w:t>制氮机组制得</w:t>
                  </w:r>
                </w:p>
              </w:tc>
            </w:tr>
            <w:tr w14:paraId="1DC84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6D36A1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eastAsia" w:cs="Times New Roman"/>
                      <w:color w:val="FF0000"/>
                      <w:kern w:val="2"/>
                      <w:sz w:val="21"/>
                      <w:szCs w:val="21"/>
                      <w:lang w:val="en-US" w:eastAsia="zh-CN" w:bidi="ar-SA"/>
                    </w:rPr>
                    <w:t>24</w:t>
                  </w:r>
                </w:p>
              </w:tc>
              <w:tc>
                <w:tcPr>
                  <w:tcW w:w="1575" w:type="dxa"/>
                  <w:shd w:val="clear" w:color="auto" w:fill="auto"/>
                  <w:vAlign w:val="center"/>
                </w:tcPr>
                <w:p w14:paraId="1A7D2629">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2"/>
                      <w:sz w:val="21"/>
                      <w:szCs w:val="21"/>
                      <w:lang w:val="en-US" w:eastAsia="en-US" w:bidi="ar-SA"/>
                    </w:rPr>
                  </w:pPr>
                  <w:r>
                    <w:rPr>
                      <w:rFonts w:hint="eastAsia" w:ascii="Times New Roman" w:hAnsi="Times New Roman" w:cs="Times New Roman"/>
                      <w:color w:val="FF0000"/>
                      <w:sz w:val="21"/>
                      <w:szCs w:val="21"/>
                      <w:lang w:val="en-US" w:eastAsia="zh-CN"/>
                    </w:rPr>
                    <w:t>水性清洗剂WB-805</w:t>
                  </w:r>
                </w:p>
              </w:tc>
              <w:tc>
                <w:tcPr>
                  <w:tcW w:w="1762" w:type="dxa"/>
                  <w:shd w:val="clear" w:color="auto" w:fill="auto"/>
                  <w:vAlign w:val="center"/>
                </w:tcPr>
                <w:p w14:paraId="603385BD">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spacing w:val="-2"/>
                      <w:kern w:val="2"/>
                      <w:sz w:val="21"/>
                      <w:szCs w:val="21"/>
                      <w:lang w:val="en-US" w:eastAsia="en-US" w:bidi="ar-SA"/>
                    </w:rPr>
                  </w:pPr>
                  <w:r>
                    <w:rPr>
                      <w:rFonts w:hint="eastAsia" w:ascii="Times New Roman" w:hAnsi="Times New Roman" w:cs="Times New Roman"/>
                      <w:color w:val="FF0000"/>
                      <w:spacing w:val="-2"/>
                      <w:sz w:val="21"/>
                      <w:szCs w:val="21"/>
                      <w:lang w:val="en-US" w:eastAsia="zh-CN"/>
                    </w:rPr>
                    <w:t>0.75t</w:t>
                  </w:r>
                </w:p>
              </w:tc>
              <w:tc>
                <w:tcPr>
                  <w:tcW w:w="1625" w:type="dxa"/>
                  <w:shd w:val="clear" w:color="auto" w:fill="auto"/>
                  <w:vAlign w:val="center"/>
                </w:tcPr>
                <w:p w14:paraId="6ED6D5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rPr>
                    <w:t>25kg/桶</w:t>
                  </w:r>
                </w:p>
              </w:tc>
              <w:tc>
                <w:tcPr>
                  <w:tcW w:w="2601" w:type="dxa"/>
                  <w:shd w:val="clear" w:color="auto" w:fill="auto"/>
                  <w:vAlign w:val="center"/>
                </w:tcPr>
                <w:p w14:paraId="3FD9B8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2"/>
                      <w:position w:val="1"/>
                      <w:sz w:val="21"/>
                      <w:szCs w:val="21"/>
                      <w:lang w:val="en-US" w:eastAsia="zh-CN" w:bidi="ar-SA"/>
                    </w:rPr>
                  </w:pPr>
                  <w:r>
                    <w:rPr>
                      <w:rFonts w:hint="eastAsia" w:cs="Times New Roman"/>
                      <w:color w:val="FF0000"/>
                      <w:position w:val="1"/>
                      <w:sz w:val="21"/>
                      <w:szCs w:val="21"/>
                      <w:lang w:val="en-US" w:eastAsia="zh-CN"/>
                    </w:rPr>
                    <w:t>外购，桶装液体</w:t>
                  </w:r>
                </w:p>
              </w:tc>
            </w:tr>
            <w:tr w14:paraId="17E25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65B32E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FF0000"/>
                      <w:kern w:val="2"/>
                      <w:sz w:val="21"/>
                      <w:szCs w:val="21"/>
                      <w:lang w:val="en-US" w:eastAsia="zh-CN" w:bidi="ar-SA"/>
                    </w:rPr>
                  </w:pPr>
                  <w:r>
                    <w:rPr>
                      <w:rFonts w:hint="eastAsia" w:cs="Times New Roman"/>
                      <w:color w:val="FF0000"/>
                      <w:kern w:val="2"/>
                      <w:sz w:val="21"/>
                      <w:szCs w:val="21"/>
                      <w:lang w:val="en-US" w:eastAsia="zh-CN" w:bidi="ar-SA"/>
                    </w:rPr>
                    <w:t>25</w:t>
                  </w:r>
                </w:p>
              </w:tc>
              <w:tc>
                <w:tcPr>
                  <w:tcW w:w="1575" w:type="dxa"/>
                  <w:shd w:val="clear" w:color="auto" w:fill="auto"/>
                  <w:vAlign w:val="center"/>
                </w:tcPr>
                <w:p w14:paraId="17DAE575">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w:t>
                  </w:r>
                </w:p>
              </w:tc>
              <w:tc>
                <w:tcPr>
                  <w:tcW w:w="1762" w:type="dxa"/>
                  <w:shd w:val="clear" w:color="auto" w:fill="auto"/>
                  <w:vAlign w:val="center"/>
                </w:tcPr>
                <w:p w14:paraId="188A9D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pacing w:val="-1"/>
                      <w:position w:val="1"/>
                      <w:sz w:val="21"/>
                      <w:szCs w:val="21"/>
                      <w:lang w:val="en-US" w:eastAsia="zh-CN"/>
                    </w:rPr>
                    <w:t>13445.1</w:t>
                  </w:r>
                  <w:r>
                    <w:rPr>
                      <w:rFonts w:hint="default" w:ascii="Times New Roman" w:hAnsi="Times New Roman" w:eastAsia="宋体" w:cs="Times New Roman"/>
                      <w:spacing w:val="-1"/>
                      <w:position w:val="1"/>
                      <w:sz w:val="21"/>
                      <w:szCs w:val="21"/>
                    </w:rPr>
                    <w:t>t/a</w:t>
                  </w:r>
                </w:p>
              </w:tc>
              <w:tc>
                <w:tcPr>
                  <w:tcW w:w="1625" w:type="dxa"/>
                  <w:shd w:val="clear" w:color="auto" w:fill="auto"/>
                  <w:vAlign w:val="center"/>
                </w:tcPr>
                <w:p w14:paraId="531B8F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c>
                <w:tcPr>
                  <w:tcW w:w="2601" w:type="dxa"/>
                  <w:shd w:val="clear" w:color="auto" w:fill="auto"/>
                  <w:vAlign w:val="center"/>
                </w:tcPr>
                <w:p w14:paraId="3A7DC9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r>
            <w:tr w14:paraId="54B10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5" w:type="dxa"/>
                  <w:shd w:val="clear" w:color="auto" w:fill="auto"/>
                  <w:vAlign w:val="center"/>
                </w:tcPr>
                <w:p w14:paraId="2902A6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FF0000"/>
                      <w:kern w:val="2"/>
                      <w:sz w:val="21"/>
                      <w:szCs w:val="21"/>
                      <w:lang w:val="en-US" w:eastAsia="zh-CN" w:bidi="ar-SA"/>
                    </w:rPr>
                  </w:pPr>
                  <w:r>
                    <w:rPr>
                      <w:rFonts w:hint="eastAsia" w:cs="Times New Roman"/>
                      <w:color w:val="FF0000"/>
                      <w:kern w:val="2"/>
                      <w:sz w:val="21"/>
                      <w:szCs w:val="21"/>
                      <w:lang w:val="en-US" w:eastAsia="zh-CN" w:bidi="ar-SA"/>
                    </w:rPr>
                    <w:t>26</w:t>
                  </w:r>
                </w:p>
              </w:tc>
              <w:tc>
                <w:tcPr>
                  <w:tcW w:w="1575" w:type="dxa"/>
                  <w:shd w:val="clear" w:color="auto" w:fill="auto"/>
                  <w:vAlign w:val="center"/>
                </w:tcPr>
                <w:p w14:paraId="6A1D2D91">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电</w:t>
                  </w:r>
                </w:p>
              </w:tc>
              <w:tc>
                <w:tcPr>
                  <w:tcW w:w="1762" w:type="dxa"/>
                  <w:shd w:val="clear" w:color="auto" w:fill="auto"/>
                  <w:vAlign w:val="center"/>
                </w:tcPr>
                <w:p w14:paraId="3556BF7D">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pacing w:val="-2"/>
                      <w:sz w:val="21"/>
                      <w:szCs w:val="21"/>
                      <w:lang w:val="en-US" w:eastAsia="zh-CN"/>
                    </w:rPr>
                    <w:t>1065</w:t>
                  </w:r>
                  <w:r>
                    <w:rPr>
                      <w:rFonts w:hint="default" w:ascii="Times New Roman" w:hAnsi="Times New Roman" w:eastAsia="宋体" w:cs="Times New Roman"/>
                      <w:spacing w:val="-2"/>
                      <w:sz w:val="21"/>
                      <w:szCs w:val="21"/>
                    </w:rPr>
                    <w:t>万千瓦时/a</w:t>
                  </w:r>
                </w:p>
              </w:tc>
              <w:tc>
                <w:tcPr>
                  <w:tcW w:w="1625" w:type="dxa"/>
                  <w:shd w:val="clear" w:color="auto" w:fill="auto"/>
                  <w:vAlign w:val="center"/>
                </w:tcPr>
                <w:p w14:paraId="448BA0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c>
                <w:tcPr>
                  <w:tcW w:w="2601" w:type="dxa"/>
                  <w:shd w:val="clear" w:color="auto" w:fill="auto"/>
                  <w:vAlign w:val="center"/>
                </w:tcPr>
                <w:p w14:paraId="0F0295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rPr>
                    <w:t>/</w:t>
                  </w:r>
                </w:p>
              </w:tc>
            </w:tr>
          </w:tbl>
          <w:p w14:paraId="3341B070">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157" w:beforeLines="50" w:beforeAutospacing="0" w:after="0" w:afterAutospacing="0"/>
              <w:ind w:left="0" w:leftChars="0" w:right="0" w:rightChars="0" w:firstLine="2319" w:firstLineChars="1100"/>
              <w:jc w:val="both"/>
              <w:textAlignment w:val="auto"/>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表2-5        能耗指标表</w:t>
            </w:r>
          </w:p>
          <w:tbl>
            <w:tblPr>
              <w:tblStyle w:val="3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1196"/>
              <w:gridCol w:w="1166"/>
              <w:gridCol w:w="1417"/>
              <w:gridCol w:w="1896"/>
              <w:gridCol w:w="1983"/>
            </w:tblGrid>
            <w:tr w14:paraId="669FB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6" w:type="dxa"/>
                  <w:noWrap w:val="0"/>
                  <w:vAlign w:val="center"/>
                </w:tcPr>
                <w:p w14:paraId="4428D9C9">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FF0000"/>
                      <w:sz w:val="21"/>
                      <w:highlight w:val="none"/>
                    </w:rPr>
                  </w:pPr>
                  <w:r>
                    <w:rPr>
                      <w:rFonts w:hint="default"/>
                      <w:b/>
                      <w:bCs/>
                      <w:color w:val="FF0000"/>
                      <w:sz w:val="21"/>
                      <w:highlight w:val="none"/>
                    </w:rPr>
                    <w:t>序号</w:t>
                  </w:r>
                </w:p>
              </w:tc>
              <w:tc>
                <w:tcPr>
                  <w:tcW w:w="1196" w:type="dxa"/>
                  <w:noWrap w:val="0"/>
                  <w:vAlign w:val="center"/>
                </w:tcPr>
                <w:p w14:paraId="45497573">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FF0000"/>
                      <w:sz w:val="21"/>
                      <w:highlight w:val="none"/>
                    </w:rPr>
                  </w:pPr>
                  <w:r>
                    <w:rPr>
                      <w:rFonts w:hint="default"/>
                      <w:b/>
                      <w:bCs/>
                      <w:color w:val="FF0000"/>
                      <w:sz w:val="21"/>
                      <w:highlight w:val="none"/>
                    </w:rPr>
                    <w:t>名称</w:t>
                  </w:r>
                </w:p>
              </w:tc>
              <w:tc>
                <w:tcPr>
                  <w:tcW w:w="1166" w:type="dxa"/>
                  <w:noWrap w:val="0"/>
                  <w:vAlign w:val="center"/>
                </w:tcPr>
                <w:p w14:paraId="738A7943">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FF0000"/>
                      <w:sz w:val="21"/>
                      <w:highlight w:val="none"/>
                    </w:rPr>
                  </w:pPr>
                  <w:r>
                    <w:rPr>
                      <w:rFonts w:hint="default"/>
                      <w:b/>
                      <w:bCs/>
                      <w:color w:val="FF0000"/>
                      <w:sz w:val="21"/>
                      <w:highlight w:val="none"/>
                    </w:rPr>
                    <w:t>单位</w:t>
                  </w:r>
                </w:p>
              </w:tc>
              <w:tc>
                <w:tcPr>
                  <w:tcW w:w="1417" w:type="dxa"/>
                  <w:noWrap w:val="0"/>
                  <w:vAlign w:val="center"/>
                </w:tcPr>
                <w:p w14:paraId="4F697B2A">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FF0000"/>
                      <w:sz w:val="21"/>
                      <w:highlight w:val="none"/>
                    </w:rPr>
                  </w:pPr>
                  <w:r>
                    <w:rPr>
                      <w:rFonts w:hint="default"/>
                      <w:b/>
                      <w:bCs/>
                      <w:color w:val="FF0000"/>
                      <w:sz w:val="21"/>
                      <w:highlight w:val="none"/>
                    </w:rPr>
                    <w:t>年消耗</w:t>
                  </w:r>
                </w:p>
              </w:tc>
              <w:tc>
                <w:tcPr>
                  <w:tcW w:w="1896" w:type="dxa"/>
                  <w:noWrap w:val="0"/>
                  <w:vAlign w:val="center"/>
                </w:tcPr>
                <w:p w14:paraId="64912A76">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FF0000"/>
                      <w:sz w:val="21"/>
                      <w:highlight w:val="none"/>
                    </w:rPr>
                  </w:pPr>
                  <w:r>
                    <w:rPr>
                      <w:rFonts w:hint="default"/>
                      <w:b/>
                      <w:bCs/>
                      <w:color w:val="FF0000"/>
                      <w:sz w:val="21"/>
                      <w:highlight w:val="none"/>
                    </w:rPr>
                    <w:t>折标煤（</w:t>
                  </w:r>
                  <w:r>
                    <w:rPr>
                      <w:rFonts w:hint="default" w:ascii="Times New Roman" w:eastAsia="Times New Roman"/>
                      <w:b/>
                      <w:bCs/>
                      <w:color w:val="FF0000"/>
                      <w:sz w:val="21"/>
                      <w:highlight w:val="none"/>
                    </w:rPr>
                    <w:t>kg</w:t>
                  </w:r>
                  <w:r>
                    <w:rPr>
                      <w:rFonts w:hint="default"/>
                      <w:b/>
                      <w:bCs/>
                      <w:color w:val="FF0000"/>
                      <w:sz w:val="21"/>
                      <w:highlight w:val="none"/>
                    </w:rPr>
                    <w:t>）</w:t>
                  </w:r>
                </w:p>
              </w:tc>
              <w:tc>
                <w:tcPr>
                  <w:tcW w:w="1983" w:type="dxa"/>
                  <w:noWrap w:val="0"/>
                  <w:vAlign w:val="center"/>
                </w:tcPr>
                <w:p w14:paraId="727E4259">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FF0000"/>
                      <w:sz w:val="21"/>
                      <w:highlight w:val="none"/>
                    </w:rPr>
                  </w:pPr>
                  <w:r>
                    <w:rPr>
                      <w:rFonts w:hint="default"/>
                      <w:b/>
                      <w:bCs/>
                      <w:color w:val="FF0000"/>
                      <w:sz w:val="21"/>
                      <w:highlight w:val="none"/>
                    </w:rPr>
                    <w:t>折合系数</w:t>
                  </w:r>
                </w:p>
              </w:tc>
            </w:tr>
            <w:tr w14:paraId="413A3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6" w:type="dxa"/>
                  <w:noWrap w:val="0"/>
                  <w:vAlign w:val="center"/>
                </w:tcPr>
                <w:p w14:paraId="211F043A">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olor w:val="FF0000"/>
                      <w:sz w:val="21"/>
                      <w:highlight w:val="none"/>
                    </w:rPr>
                  </w:pPr>
                  <w:r>
                    <w:rPr>
                      <w:rFonts w:hint="default" w:ascii="Times New Roman"/>
                      <w:color w:val="FF0000"/>
                      <w:w w:val="100"/>
                      <w:sz w:val="21"/>
                      <w:highlight w:val="none"/>
                    </w:rPr>
                    <w:t>1</w:t>
                  </w:r>
                </w:p>
              </w:tc>
              <w:tc>
                <w:tcPr>
                  <w:tcW w:w="1196" w:type="dxa"/>
                  <w:noWrap w:val="0"/>
                  <w:vAlign w:val="center"/>
                </w:tcPr>
                <w:p w14:paraId="2BF4F76A">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FF0000"/>
                      <w:sz w:val="21"/>
                      <w:highlight w:val="none"/>
                      <w:lang w:eastAsia="zh-CN"/>
                    </w:rPr>
                  </w:pPr>
                  <w:r>
                    <w:rPr>
                      <w:rFonts w:hint="default" w:ascii="Times New Roman" w:hAnsi="Times New Roman" w:eastAsia="宋体" w:cs="Times New Roman"/>
                      <w:color w:val="FF0000"/>
                      <w:sz w:val="21"/>
                      <w:highlight w:val="none"/>
                    </w:rPr>
                    <w:t>电</w:t>
                  </w:r>
                </w:p>
              </w:tc>
              <w:tc>
                <w:tcPr>
                  <w:tcW w:w="1166" w:type="dxa"/>
                  <w:noWrap w:val="0"/>
                  <w:vAlign w:val="center"/>
                </w:tcPr>
                <w:p w14:paraId="6F798EF4">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kW·h</w:t>
                  </w:r>
                </w:p>
              </w:tc>
              <w:tc>
                <w:tcPr>
                  <w:tcW w:w="1417" w:type="dxa"/>
                  <w:noWrap w:val="0"/>
                  <w:vAlign w:val="center"/>
                </w:tcPr>
                <w:p w14:paraId="2A8225F1">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highlight w:val="none"/>
                      <w:lang w:val="en-US" w:eastAsia="zh-CN"/>
                    </w:rPr>
                  </w:pPr>
                  <w:r>
                    <w:rPr>
                      <w:rFonts w:hint="eastAsia" w:ascii="Times New Roman" w:hAnsi="Times New Roman" w:eastAsia="宋体" w:cs="Times New Roman"/>
                      <w:color w:val="FF0000"/>
                      <w:sz w:val="21"/>
                      <w:highlight w:val="none"/>
                      <w:lang w:val="en-US" w:eastAsia="zh-CN"/>
                    </w:rPr>
                    <w:t>10650000</w:t>
                  </w:r>
                </w:p>
              </w:tc>
              <w:tc>
                <w:tcPr>
                  <w:tcW w:w="1896" w:type="dxa"/>
                  <w:noWrap w:val="0"/>
                  <w:vAlign w:val="center"/>
                </w:tcPr>
                <w:p w14:paraId="021BA6E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FF0000"/>
                      <w:sz w:val="21"/>
                      <w:highlight w:val="none"/>
                      <w:lang w:val="en-US" w:eastAsia="zh-CN"/>
                    </w:rPr>
                  </w:pPr>
                  <w:r>
                    <w:rPr>
                      <w:rFonts w:hint="eastAsia" w:ascii="Times New Roman" w:hAnsi="Times New Roman" w:cs="Times New Roman"/>
                      <w:color w:val="FF0000"/>
                      <w:sz w:val="21"/>
                      <w:highlight w:val="none"/>
                      <w:lang w:val="en-US" w:eastAsia="zh-CN"/>
                    </w:rPr>
                    <w:t>1308885</w:t>
                  </w:r>
                </w:p>
              </w:tc>
              <w:tc>
                <w:tcPr>
                  <w:tcW w:w="1983" w:type="dxa"/>
                  <w:noWrap w:val="0"/>
                  <w:vAlign w:val="center"/>
                </w:tcPr>
                <w:p w14:paraId="0D9239F7">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olor w:val="FF0000"/>
                      <w:sz w:val="21"/>
                      <w:highlight w:val="none"/>
                    </w:rPr>
                  </w:pPr>
                  <w:r>
                    <w:rPr>
                      <w:rFonts w:hint="default" w:ascii="Times New Roman" w:hAnsi="Times New Roman"/>
                      <w:color w:val="FF0000"/>
                      <w:sz w:val="21"/>
                      <w:highlight w:val="none"/>
                    </w:rPr>
                    <w:t>0.1229 kgce/ kW·h</w:t>
                  </w:r>
                </w:p>
              </w:tc>
            </w:tr>
            <w:tr w14:paraId="4DD0C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6" w:type="dxa"/>
                  <w:noWrap w:val="0"/>
                  <w:vAlign w:val="center"/>
                </w:tcPr>
                <w:p w14:paraId="1EB34329">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olor w:val="FF0000"/>
                      <w:sz w:val="21"/>
                      <w:highlight w:val="none"/>
                    </w:rPr>
                  </w:pPr>
                  <w:r>
                    <w:rPr>
                      <w:rFonts w:hint="default" w:ascii="Times New Roman"/>
                      <w:color w:val="FF0000"/>
                      <w:w w:val="100"/>
                      <w:sz w:val="21"/>
                      <w:highlight w:val="none"/>
                    </w:rPr>
                    <w:t>2</w:t>
                  </w:r>
                </w:p>
              </w:tc>
              <w:tc>
                <w:tcPr>
                  <w:tcW w:w="1196" w:type="dxa"/>
                  <w:noWrap w:val="0"/>
                  <w:vAlign w:val="center"/>
                </w:tcPr>
                <w:p w14:paraId="4A73C0F3">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FF0000"/>
                      <w:sz w:val="21"/>
                      <w:highlight w:val="none"/>
                    </w:rPr>
                  </w:pPr>
                  <w:r>
                    <w:rPr>
                      <w:rFonts w:hint="default"/>
                      <w:color w:val="FF0000"/>
                      <w:sz w:val="21"/>
                      <w:highlight w:val="none"/>
                    </w:rPr>
                    <w:t>新水</w:t>
                  </w:r>
                </w:p>
              </w:tc>
              <w:tc>
                <w:tcPr>
                  <w:tcW w:w="1166" w:type="dxa"/>
                  <w:noWrap w:val="0"/>
                  <w:vAlign w:val="center"/>
                </w:tcPr>
                <w:p w14:paraId="60CE13D0">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olor w:val="FF0000"/>
                      <w:sz w:val="14"/>
                      <w:highlight w:val="none"/>
                    </w:rPr>
                  </w:pPr>
                  <w:r>
                    <w:rPr>
                      <w:rFonts w:hint="default" w:ascii="Times New Roman"/>
                      <w:color w:val="FF0000"/>
                      <w:position w:val="-9"/>
                      <w:sz w:val="21"/>
                      <w:highlight w:val="none"/>
                    </w:rPr>
                    <w:t>m</w:t>
                  </w:r>
                  <w:r>
                    <w:rPr>
                      <w:rFonts w:hint="default" w:ascii="Times New Roman"/>
                      <w:color w:val="FF0000"/>
                      <w:sz w:val="14"/>
                      <w:highlight w:val="none"/>
                    </w:rPr>
                    <w:t>3</w:t>
                  </w:r>
                </w:p>
              </w:tc>
              <w:tc>
                <w:tcPr>
                  <w:tcW w:w="1417" w:type="dxa"/>
                  <w:noWrap w:val="0"/>
                  <w:vAlign w:val="center"/>
                </w:tcPr>
                <w:p w14:paraId="589E335C">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eastAsia="宋体"/>
                      <w:color w:val="FF0000"/>
                      <w:sz w:val="21"/>
                      <w:highlight w:val="none"/>
                      <w:lang w:val="en-US" w:eastAsia="zh-CN"/>
                    </w:rPr>
                  </w:pPr>
                  <w:r>
                    <w:rPr>
                      <w:rFonts w:hint="eastAsia" w:ascii="Times New Roman"/>
                      <w:color w:val="FF0000"/>
                      <w:sz w:val="21"/>
                      <w:highlight w:val="none"/>
                      <w:lang w:val="en-US" w:eastAsia="zh-CN"/>
                    </w:rPr>
                    <w:t>13445.1</w:t>
                  </w:r>
                </w:p>
              </w:tc>
              <w:tc>
                <w:tcPr>
                  <w:tcW w:w="1896" w:type="dxa"/>
                  <w:noWrap w:val="0"/>
                  <w:vAlign w:val="center"/>
                </w:tcPr>
                <w:p w14:paraId="0588D81C">
                  <w:pPr>
                    <w:keepNext w:val="0"/>
                    <w:keepLines w:val="0"/>
                    <w:widowControl/>
                    <w:suppressLineNumbers w:val="0"/>
                    <w:spacing w:before="0" w:beforeAutospacing="0" w:after="0" w:afterAutospacing="0"/>
                    <w:ind w:left="0" w:right="0"/>
                    <w:jc w:val="center"/>
                    <w:textAlignment w:val="top"/>
                    <w:rPr>
                      <w:rFonts w:hint="default" w:ascii="Times New Roman"/>
                      <w:color w:val="FF0000"/>
                      <w:sz w:val="21"/>
                      <w:highlight w:val="none"/>
                      <w:lang w:val="en-US"/>
                    </w:rPr>
                  </w:pPr>
                  <w:r>
                    <w:rPr>
                      <w:rFonts w:hint="eastAsia" w:ascii="Times New Roman" w:hAnsi="Times New Roman" w:eastAsia="宋体" w:cs="Times New Roman"/>
                      <w:i w:val="0"/>
                      <w:iCs w:val="0"/>
                      <w:color w:val="FF0000"/>
                      <w:kern w:val="0"/>
                      <w:sz w:val="21"/>
                      <w:szCs w:val="21"/>
                      <w:highlight w:val="none"/>
                      <w:u w:val="none"/>
                      <w:lang w:val="en-US" w:eastAsia="zh-CN" w:bidi="ar"/>
                    </w:rPr>
                    <w:t>1152.245</w:t>
                  </w:r>
                </w:p>
              </w:tc>
              <w:tc>
                <w:tcPr>
                  <w:tcW w:w="1983" w:type="dxa"/>
                  <w:noWrap w:val="0"/>
                  <w:vAlign w:val="center"/>
                </w:tcPr>
                <w:p w14:paraId="15B00AAC">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olor w:val="FF0000"/>
                      <w:sz w:val="21"/>
                      <w:highlight w:val="none"/>
                    </w:rPr>
                  </w:pPr>
                  <w:r>
                    <w:rPr>
                      <w:rFonts w:hint="default" w:ascii="Times New Roman"/>
                      <w:color w:val="FF0000"/>
                      <w:sz w:val="21"/>
                      <w:highlight w:val="none"/>
                    </w:rPr>
                    <w:t>0.0857 kgce/t</w:t>
                  </w:r>
                </w:p>
              </w:tc>
            </w:tr>
            <w:tr w14:paraId="76985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6" w:type="dxa"/>
                  <w:noWrap w:val="0"/>
                  <w:vAlign w:val="center"/>
                </w:tcPr>
                <w:p w14:paraId="120F307C">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olor w:val="FF0000"/>
                      <w:sz w:val="21"/>
                      <w:highlight w:val="none"/>
                    </w:rPr>
                  </w:pPr>
                  <w:r>
                    <w:rPr>
                      <w:rFonts w:hint="default" w:ascii="Times New Roman"/>
                      <w:color w:val="FF0000"/>
                      <w:w w:val="100"/>
                      <w:sz w:val="21"/>
                      <w:highlight w:val="none"/>
                    </w:rPr>
                    <w:t>3</w:t>
                  </w:r>
                </w:p>
              </w:tc>
              <w:tc>
                <w:tcPr>
                  <w:tcW w:w="1196" w:type="dxa"/>
                  <w:noWrap w:val="0"/>
                  <w:vAlign w:val="center"/>
                </w:tcPr>
                <w:p w14:paraId="56AD43EA">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FF0000"/>
                      <w:sz w:val="21"/>
                      <w:highlight w:val="none"/>
                    </w:rPr>
                  </w:pPr>
                  <w:r>
                    <w:rPr>
                      <w:rFonts w:hint="default"/>
                      <w:color w:val="FF0000"/>
                      <w:sz w:val="21"/>
                      <w:highlight w:val="none"/>
                    </w:rPr>
                    <w:t>氮气</w:t>
                  </w:r>
                </w:p>
              </w:tc>
              <w:tc>
                <w:tcPr>
                  <w:tcW w:w="1166" w:type="dxa"/>
                  <w:noWrap w:val="0"/>
                  <w:vAlign w:val="center"/>
                </w:tcPr>
                <w:p w14:paraId="3ADADC14">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olor w:val="FF0000"/>
                      <w:sz w:val="14"/>
                      <w:highlight w:val="none"/>
                    </w:rPr>
                  </w:pPr>
                  <w:r>
                    <w:rPr>
                      <w:rFonts w:hint="default" w:ascii="Times New Roman"/>
                      <w:color w:val="FF0000"/>
                      <w:position w:val="-9"/>
                      <w:sz w:val="21"/>
                      <w:highlight w:val="none"/>
                    </w:rPr>
                    <w:t>m</w:t>
                  </w:r>
                  <w:r>
                    <w:rPr>
                      <w:rFonts w:hint="default" w:ascii="Times New Roman"/>
                      <w:color w:val="FF0000"/>
                      <w:sz w:val="14"/>
                      <w:highlight w:val="none"/>
                    </w:rPr>
                    <w:t>3</w:t>
                  </w:r>
                </w:p>
              </w:tc>
              <w:tc>
                <w:tcPr>
                  <w:tcW w:w="1417" w:type="dxa"/>
                  <w:noWrap w:val="0"/>
                  <w:vAlign w:val="center"/>
                </w:tcPr>
                <w:p w14:paraId="20189C54">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eastAsia="宋体"/>
                      <w:color w:val="FF0000"/>
                      <w:sz w:val="21"/>
                      <w:highlight w:val="none"/>
                      <w:lang w:val="en-US" w:eastAsia="zh-CN"/>
                    </w:rPr>
                  </w:pPr>
                  <w:r>
                    <w:rPr>
                      <w:rFonts w:hint="eastAsia" w:ascii="Times New Roman"/>
                      <w:color w:val="FF0000"/>
                      <w:sz w:val="21"/>
                      <w:highlight w:val="none"/>
                      <w:lang w:val="en-US" w:eastAsia="zh-CN"/>
                    </w:rPr>
                    <w:t>360000</w:t>
                  </w:r>
                </w:p>
              </w:tc>
              <w:tc>
                <w:tcPr>
                  <w:tcW w:w="1896" w:type="dxa"/>
                  <w:noWrap w:val="0"/>
                  <w:vAlign w:val="center"/>
                </w:tcPr>
                <w:p w14:paraId="62E97CAC">
                  <w:pPr>
                    <w:keepNext w:val="0"/>
                    <w:keepLines w:val="0"/>
                    <w:widowControl/>
                    <w:suppressLineNumbers w:val="0"/>
                    <w:spacing w:before="0" w:beforeAutospacing="0" w:after="0" w:afterAutospacing="0"/>
                    <w:ind w:left="0" w:right="0"/>
                    <w:jc w:val="center"/>
                    <w:textAlignment w:val="top"/>
                    <w:rPr>
                      <w:rFonts w:hint="default" w:ascii="Times New Roman"/>
                      <w:color w:val="FF0000"/>
                      <w:sz w:val="21"/>
                      <w:highlight w:val="none"/>
                      <w:lang w:val="en-US"/>
                    </w:rPr>
                  </w:pPr>
                  <w:r>
                    <w:rPr>
                      <w:rFonts w:hint="eastAsia" w:ascii="Times New Roman" w:hAnsi="Times New Roman" w:eastAsia="宋体" w:cs="Times New Roman"/>
                      <w:i w:val="0"/>
                      <w:iCs w:val="0"/>
                      <w:color w:val="FF0000"/>
                      <w:kern w:val="0"/>
                      <w:sz w:val="21"/>
                      <w:szCs w:val="21"/>
                      <w:highlight w:val="none"/>
                      <w:u w:val="none"/>
                      <w:lang w:val="en-US" w:eastAsia="zh-CN" w:bidi="ar"/>
                    </w:rPr>
                    <w:t>144000</w:t>
                  </w:r>
                </w:p>
              </w:tc>
              <w:tc>
                <w:tcPr>
                  <w:tcW w:w="1983" w:type="dxa"/>
                  <w:noWrap w:val="0"/>
                  <w:vAlign w:val="center"/>
                </w:tcPr>
                <w:p w14:paraId="329B0CD5">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olor w:val="FF0000"/>
                      <w:sz w:val="21"/>
                      <w:highlight w:val="none"/>
                    </w:rPr>
                  </w:pPr>
                  <w:r>
                    <w:rPr>
                      <w:rFonts w:hint="default" w:ascii="Times New Roman"/>
                      <w:color w:val="FF0000"/>
                      <w:sz w:val="21"/>
                      <w:highlight w:val="none"/>
                    </w:rPr>
                    <w:t>0.4000 kgce/m</w:t>
                  </w:r>
                  <w:r>
                    <w:rPr>
                      <w:rFonts w:hint="default" w:ascii="Times New Roman"/>
                      <w:color w:val="FF0000"/>
                      <w:sz w:val="21"/>
                      <w:highlight w:val="none"/>
                      <w:vertAlign w:val="superscript"/>
                    </w:rPr>
                    <w:t>3</w:t>
                  </w:r>
                </w:p>
              </w:tc>
            </w:tr>
            <w:tr w14:paraId="1518F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435" w:type="dxa"/>
                  <w:gridSpan w:val="4"/>
                  <w:noWrap w:val="0"/>
                  <w:vAlign w:val="center"/>
                </w:tcPr>
                <w:p w14:paraId="71A99589">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FF0000"/>
                      <w:sz w:val="21"/>
                      <w:highlight w:val="none"/>
                    </w:rPr>
                  </w:pPr>
                  <w:r>
                    <w:rPr>
                      <w:rFonts w:hint="default"/>
                      <w:color w:val="FF0000"/>
                      <w:sz w:val="21"/>
                      <w:highlight w:val="none"/>
                    </w:rPr>
                    <w:t>综合能耗</w:t>
                  </w:r>
                </w:p>
              </w:tc>
              <w:tc>
                <w:tcPr>
                  <w:tcW w:w="1896" w:type="dxa"/>
                  <w:noWrap w:val="0"/>
                  <w:vAlign w:val="center"/>
                </w:tcPr>
                <w:p w14:paraId="0EEEA162">
                  <w:pPr>
                    <w:keepNext w:val="0"/>
                    <w:keepLines w:val="0"/>
                    <w:widowControl/>
                    <w:suppressLineNumbers w:val="0"/>
                    <w:spacing w:before="0" w:beforeAutospacing="0" w:after="0" w:afterAutospacing="0"/>
                    <w:ind w:left="0" w:right="0"/>
                    <w:jc w:val="center"/>
                    <w:textAlignment w:val="top"/>
                    <w:rPr>
                      <w:rFonts w:hint="default" w:ascii="Times New Roman"/>
                      <w:color w:val="FF0000"/>
                      <w:sz w:val="21"/>
                      <w:highlight w:val="none"/>
                      <w:lang w:val="en-US"/>
                    </w:rPr>
                  </w:pPr>
                  <w:r>
                    <w:rPr>
                      <w:rFonts w:hint="eastAsia" w:ascii="Times New Roman" w:hAnsi="Times New Roman" w:eastAsia="宋体" w:cs="Times New Roman"/>
                      <w:i w:val="0"/>
                      <w:iCs w:val="0"/>
                      <w:color w:val="FF0000"/>
                      <w:kern w:val="0"/>
                      <w:sz w:val="21"/>
                      <w:szCs w:val="21"/>
                      <w:highlight w:val="none"/>
                      <w:u w:val="none"/>
                      <w:lang w:val="en-US" w:eastAsia="zh-CN" w:bidi="ar"/>
                    </w:rPr>
                    <w:t>1454039.245</w:t>
                  </w:r>
                </w:p>
              </w:tc>
              <w:tc>
                <w:tcPr>
                  <w:tcW w:w="1983" w:type="dxa"/>
                  <w:noWrap w:val="0"/>
                  <w:vAlign w:val="center"/>
                </w:tcPr>
                <w:p w14:paraId="69251BBF">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color w:val="FF0000"/>
                      <w:sz w:val="20"/>
                      <w:highlight w:val="none"/>
                    </w:rPr>
                  </w:pPr>
                </w:p>
              </w:tc>
            </w:tr>
          </w:tbl>
          <w:p w14:paraId="4CC49DDD">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right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（2）原辅材料理化性质</w:t>
            </w:r>
          </w:p>
          <w:p w14:paraId="4C04B3E0">
            <w:pPr>
              <w:keepNext w:val="0"/>
              <w:keepLines w:val="0"/>
              <w:numPr>
                <w:ilvl w:val="0"/>
                <w:numId w:val="0"/>
              </w:numPr>
              <w:suppressLineNumbers w:val="0"/>
              <w:tabs>
                <w:tab w:val="left" w:pos="0"/>
              </w:tabs>
              <w:spacing w:before="0" w:beforeAutospacing="0" w:after="0" w:afterAutospacing="0"/>
              <w:ind w:left="0" w:leftChars="0" w:right="0" w:rightChars="0" w:firstLine="1897" w:firstLineChars="900"/>
              <w:jc w:val="both"/>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主要</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原辅材料</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理化性质</w:t>
            </w:r>
          </w:p>
          <w:tbl>
            <w:tblPr>
              <w:tblStyle w:val="36"/>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638"/>
              <w:gridCol w:w="5874"/>
            </w:tblGrid>
            <w:tr w14:paraId="542C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07" w:type="dxa"/>
                  <w:vAlign w:val="center"/>
                </w:tcPr>
                <w:p w14:paraId="15C94E5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638" w:type="dxa"/>
                  <w:vAlign w:val="center"/>
                </w:tcPr>
                <w:p w14:paraId="7143252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原辅料名称</w:t>
                  </w:r>
                </w:p>
              </w:tc>
              <w:tc>
                <w:tcPr>
                  <w:tcW w:w="5874" w:type="dxa"/>
                  <w:vAlign w:val="center"/>
                </w:tcPr>
                <w:p w14:paraId="0EACEA5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理化性质</w:t>
                  </w:r>
                </w:p>
              </w:tc>
            </w:tr>
            <w:tr w14:paraId="7C92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07" w:type="dxa"/>
                  <w:vAlign w:val="center"/>
                </w:tcPr>
                <w:p w14:paraId="7975F917">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638" w:type="dxa"/>
                  <w:vAlign w:val="center"/>
                </w:tcPr>
                <w:p w14:paraId="17F8037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PC塑料</w:t>
                  </w:r>
                </w:p>
              </w:tc>
              <w:tc>
                <w:tcPr>
                  <w:tcW w:w="5874" w:type="dxa"/>
                  <w:vAlign w:val="center"/>
                </w:tcPr>
                <w:p w14:paraId="7D50F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聚碳酸酯(简称PC)，是分子链中含有碳酸酯基的高分子聚合物，聚碳酸酯是一种强韧的热塑性树脂，其名称来源于其内部的CO</w:t>
                  </w:r>
                  <w:r>
                    <w:rPr>
                      <w:rFonts w:hint="default" w:ascii="Times New Roman" w:hAnsi="Times New Roman" w:cs="Times New Roman"/>
                      <w:vertAlign w:val="subscript"/>
                      <w:lang w:val="en-US" w:eastAsia="zh-CN"/>
                    </w:rPr>
                    <w:t>3</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基团。根据酯基的结构可分为脂肪族、芳香族、脂肪族-芳香族等多种类型。密度：1.18-1.22g/cm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，线膨胀率:3.8x10</w:t>
                  </w:r>
                  <w:r>
                    <w:rPr>
                      <w:rFonts w:hint="default" w:ascii="Times New Roman" w:hAnsi="Times New Roman" w:cs="Times New Roman"/>
                      <w:vertAlign w:val="superscript"/>
                      <w:lang w:val="en-US" w:eastAsia="zh-CN"/>
                    </w:rPr>
                    <w:t>-5</w:t>
                  </w:r>
                  <w:r>
                    <w:rPr>
                      <w:rFonts w:hint="default" w:ascii="Times New Roman" w:hAnsi="Times New Roman" w:cs="Times New Roman"/>
                      <w:lang w:val="en-US" w:eastAsia="zh-CN"/>
                    </w:rPr>
                    <w:t>cm/℃，热变形温度:135℃，低温-45℃，聚碳酸酯无色透明，耐热，抗冲击，阻燃B1级，在普通使用温度内都有良好的机械性能。</w:t>
                  </w:r>
                </w:p>
              </w:tc>
            </w:tr>
            <w:tr w14:paraId="514B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07" w:type="dxa"/>
                  <w:vAlign w:val="center"/>
                </w:tcPr>
                <w:p w14:paraId="6002B64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638" w:type="dxa"/>
                  <w:vAlign w:val="center"/>
                </w:tcPr>
                <w:p w14:paraId="6D5CDD25">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ABS塑料</w:t>
                  </w:r>
                </w:p>
              </w:tc>
              <w:tc>
                <w:tcPr>
                  <w:tcW w:w="5874" w:type="dxa"/>
                  <w:vAlign w:val="center"/>
                </w:tcPr>
                <w:p w14:paraId="65C04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10" w:firstLineChars="1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是丙烯腊(A)、丁二烯(B)、苯乙烯(S)三种单体的三元共聚物，三种单体相对含量可任意变化，制成各种树脂。无毒、无味，外观呈象牙色半透明，或透明颗粒或粉状。密度为1.05~1.18g/cm³，收缩率0.4%~0.9%，弹性模量值为0.2Gpa，吸湿性&lt;1%，熔融温度217~237℃，热分解温度&gt;250℃。塑料ABS的热变形温度为93~118℃，制品经退火处理后还可提高10°C左右。ABS在-40°C时仍能表现出一定的韧性，可在-40~100°C的温度范围内使用。</w:t>
                  </w:r>
                </w:p>
              </w:tc>
            </w:tr>
            <w:tr w14:paraId="7142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07" w:type="dxa"/>
                  <w:vAlign w:val="center"/>
                </w:tcPr>
                <w:p w14:paraId="623FFED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1638" w:type="dxa"/>
                  <w:vAlign w:val="center"/>
                </w:tcPr>
                <w:p w14:paraId="65B33F72">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PA塑料</w:t>
                  </w:r>
                </w:p>
              </w:tc>
              <w:tc>
                <w:tcPr>
                  <w:tcW w:w="5874" w:type="dxa"/>
                  <w:vAlign w:val="center"/>
                </w:tcPr>
                <w:p w14:paraId="1A1B5CCC">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szCs w:val="21"/>
                      <w:vertAlign w:val="baseline"/>
                      <w:lang w:val="en-US" w:eastAsia="zh-CN"/>
                    </w:rPr>
                  </w:pPr>
                  <w:r>
                    <w:rPr>
                      <w:rFonts w:hint="default" w:ascii="Times New Roman" w:hAnsi="Times New Roman" w:cs="Times New Roman"/>
                      <w:lang w:val="en-US" w:eastAsia="zh-CN"/>
                    </w:rPr>
                    <w:t>聚酰胺塑料(简称PA)，又称尼龙，是分子主链上含有重复酰胺基团-【NHCO】-的热塑性树脂总称，通常为白色或浅黄色半透明固体。具有无毒、质轻、优良的机械强度、耐磨性及较好的耐腐蚀性，因此广泛应用于代替铜等金属在机械、化工、仪表、汽车等工业中制造轴承、齿轮、泵叶及其他零件。</w:t>
                  </w:r>
                </w:p>
              </w:tc>
            </w:tr>
            <w:tr w14:paraId="1F2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07" w:type="dxa"/>
                  <w:vAlign w:val="center"/>
                </w:tcPr>
                <w:p w14:paraId="47A22A0C">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4</w:t>
                  </w:r>
                </w:p>
              </w:tc>
              <w:tc>
                <w:tcPr>
                  <w:tcW w:w="1638" w:type="dxa"/>
                  <w:vAlign w:val="center"/>
                </w:tcPr>
                <w:p w14:paraId="69CAAEB5">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lang w:val="en-US" w:eastAsia="zh-CN"/>
                    </w:rPr>
                    <w:t>水性清洗剂WB-805</w:t>
                  </w:r>
                </w:p>
              </w:tc>
              <w:tc>
                <w:tcPr>
                  <w:tcW w:w="5874" w:type="dxa"/>
                  <w:vAlign w:val="center"/>
                </w:tcPr>
                <w:p w14:paraId="17A57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cs="Times New Roman"/>
                      <w:color w:val="FF0000"/>
                      <w:lang w:val="en-US" w:eastAsia="zh-CN"/>
                    </w:rPr>
                  </w:pPr>
                  <w:r>
                    <w:rPr>
                      <w:rFonts w:hint="default" w:ascii="Times New Roman" w:hAnsi="Times New Roman" w:eastAsia="宋体" w:cs="Times New Roman"/>
                      <w:color w:val="FF0000"/>
                      <w:sz w:val="21"/>
                      <w:szCs w:val="21"/>
                      <w:lang w:val="en-US" w:eastAsia="zh-CN"/>
                    </w:rPr>
                    <w:t>根据本产品检测报告，本产品为淡~微黄色透明液体，有阴离子界面活性剂（TX-10  20%）、乳化剂（RQ-139C  20%）、稳定剂（柠檬酸钠  10%）、DI水（50%）组成，pH为13左右，为碱性液体。</w:t>
                  </w:r>
                  <w:r>
                    <w:rPr>
                      <w:rFonts w:hint="eastAsia" w:ascii="Times New Roman" w:hAnsi="Times New Roman" w:eastAsia="宋体" w:cs="Times New Roman"/>
                      <w:color w:val="FF0000"/>
                      <w:sz w:val="21"/>
                      <w:szCs w:val="21"/>
                      <w:lang w:val="en-US" w:eastAsia="zh-CN"/>
                    </w:rPr>
                    <w:t>本品</w:t>
                  </w:r>
                  <w:r>
                    <w:rPr>
                      <w:rFonts w:hint="default" w:ascii="Times New Roman" w:hAnsi="Times New Roman" w:eastAsia="宋体" w:cs="Times New Roman"/>
                      <w:color w:val="FF0000"/>
                      <w:sz w:val="21"/>
                      <w:szCs w:val="21"/>
                      <w:lang w:val="en-US" w:eastAsia="zh-CN"/>
                    </w:rPr>
                    <w:t>用于</w:t>
                  </w:r>
                  <w:r>
                    <w:rPr>
                      <w:rFonts w:hint="default" w:ascii="Times New Roman" w:hAnsi="Times New Roman" w:eastAsia="宋体" w:cs="Times New Roman"/>
                      <w:color w:val="FF0000"/>
                      <w:kern w:val="0"/>
                      <w:sz w:val="21"/>
                      <w:szCs w:val="21"/>
                      <w:lang w:val="en-US" w:eastAsia="zh-CN" w:bidi="ar"/>
                    </w:rPr>
                    <w:t>DT4E，锌合金，铁材、模具钢材等金属加工工件的除油剂，使用本品时，佩戴防护手套等保护用品。若不慎沾到皮肤，应用水及肥皂在沾到的地方充分水洗，除去所有污染的衣服；若不慎溅到眼睛，应用大量的清水冲洗眼睛15分钟，必要时就医。存放时应置于阴凉处，避免日光照射。检测报告</w:t>
                  </w:r>
                  <w:r>
                    <w:rPr>
                      <w:rFonts w:hint="eastAsia" w:ascii="Times New Roman" w:hAnsi="Times New Roman" w:eastAsia="宋体" w:cs="Times New Roman"/>
                      <w:color w:val="FF0000"/>
                      <w:kern w:val="0"/>
                      <w:sz w:val="21"/>
                      <w:szCs w:val="21"/>
                      <w:lang w:val="en-US" w:eastAsia="zh-CN" w:bidi="ar"/>
                    </w:rPr>
                    <w:t>及</w:t>
                  </w:r>
                  <w:r>
                    <w:rPr>
                      <w:rFonts w:hint="default" w:ascii="Times New Roman" w:hAnsi="Times New Roman" w:eastAsia="宋体" w:cs="Times New Roman"/>
                      <w:color w:val="FF0000"/>
                      <w:kern w:val="0"/>
                      <w:sz w:val="21"/>
                      <w:szCs w:val="21"/>
                      <w:lang w:val="en-US" w:eastAsia="zh-CN" w:bidi="ar"/>
                    </w:rPr>
                    <w:t>安全技术说明书见附件。</w:t>
                  </w:r>
                </w:p>
              </w:tc>
            </w:tr>
          </w:tbl>
          <w:p w14:paraId="36475294">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助焊剂主要作用为溶解被焊金属母材表面的氧化膜；降低焊料的表面张力、增强润滑性；防止焊接时焊料和被焊基体表面再次被氧化；有利于热量传递到焊接区。</w:t>
            </w:r>
            <w:r>
              <w:rPr>
                <w:rFonts w:hint="eastAsia" w:ascii="Times New Roman" w:hAnsi="Times New Roman" w:eastAsia="宋体" w:cs="Times New Roman"/>
                <w:b w:val="0"/>
                <w:bCs w:val="0"/>
                <w:color w:val="auto"/>
                <w:lang w:val="en-US" w:eastAsia="zh-CN"/>
              </w:rPr>
              <w:t>主要成分见下表：</w:t>
            </w:r>
          </w:p>
          <w:p w14:paraId="0259AB2E">
            <w:pPr>
              <w:pStyle w:val="11"/>
              <w:keepNext w:val="0"/>
              <w:keepLines w:val="0"/>
              <w:suppressLineNumbers w:val="0"/>
              <w:spacing w:before="0" w:beforeAutospacing="0" w:after="0" w:afterAutospacing="0"/>
              <w:ind w:left="0" w:right="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表2-</w:t>
            </w:r>
            <w:r>
              <w:rPr>
                <w:rFonts w:hint="eastAsia" w:cs="Times New Roman"/>
                <w:b/>
                <w:bCs/>
                <w:color w:val="auto"/>
                <w:lang w:val="en-US" w:eastAsia="zh-CN"/>
              </w:rPr>
              <w:t>7</w:t>
            </w:r>
            <w:r>
              <w:rPr>
                <w:rFonts w:hint="eastAsia" w:ascii="Times New Roman" w:hAnsi="Times New Roman" w:cs="Times New Roman"/>
                <w:b/>
                <w:bCs/>
                <w:color w:val="auto"/>
                <w:lang w:val="en-US" w:eastAsia="zh-CN"/>
              </w:rPr>
              <w:t xml:space="preserve">   助焊剂主要成分</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2794"/>
              <w:gridCol w:w="2060"/>
              <w:gridCol w:w="2060"/>
            </w:tblGrid>
            <w:tr w14:paraId="0AFA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69673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序号</w:t>
                  </w:r>
                </w:p>
              </w:tc>
              <w:tc>
                <w:tcPr>
                  <w:tcW w:w="2794" w:type="dxa"/>
                  <w:vAlign w:val="center"/>
                </w:tcPr>
                <w:p w14:paraId="567B8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名称</w:t>
                  </w:r>
                </w:p>
              </w:tc>
              <w:tc>
                <w:tcPr>
                  <w:tcW w:w="2060" w:type="dxa"/>
                  <w:vAlign w:val="center"/>
                </w:tcPr>
                <w:p w14:paraId="490BB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含量（%）</w:t>
                  </w:r>
                </w:p>
              </w:tc>
              <w:tc>
                <w:tcPr>
                  <w:tcW w:w="2060" w:type="dxa"/>
                  <w:vAlign w:val="center"/>
                </w:tcPr>
                <w:p w14:paraId="5050A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本环评取值（%）</w:t>
                  </w:r>
                </w:p>
              </w:tc>
            </w:tr>
            <w:tr w14:paraId="005A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205E2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2794" w:type="dxa"/>
                  <w:vAlign w:val="center"/>
                </w:tcPr>
                <w:p w14:paraId="561CE9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有机酸活性剂</w:t>
                  </w:r>
                </w:p>
              </w:tc>
              <w:tc>
                <w:tcPr>
                  <w:tcW w:w="2060" w:type="dxa"/>
                  <w:vAlign w:val="center"/>
                </w:tcPr>
                <w:p w14:paraId="01D56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1.5~4.5</w:t>
                  </w:r>
                </w:p>
              </w:tc>
              <w:tc>
                <w:tcPr>
                  <w:tcW w:w="2060" w:type="dxa"/>
                  <w:vAlign w:val="center"/>
                </w:tcPr>
                <w:p w14:paraId="3FFC6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3.0</w:t>
                  </w:r>
                </w:p>
              </w:tc>
            </w:tr>
            <w:tr w14:paraId="32E3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515F1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2794" w:type="dxa"/>
                  <w:vAlign w:val="center"/>
                </w:tcPr>
                <w:p w14:paraId="15F9F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松香树脂</w:t>
                  </w:r>
                </w:p>
              </w:tc>
              <w:tc>
                <w:tcPr>
                  <w:tcW w:w="2060" w:type="dxa"/>
                  <w:vAlign w:val="center"/>
                </w:tcPr>
                <w:p w14:paraId="2D518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0.5~8.5</w:t>
                  </w:r>
                </w:p>
              </w:tc>
              <w:tc>
                <w:tcPr>
                  <w:tcW w:w="2060" w:type="dxa"/>
                  <w:vAlign w:val="center"/>
                </w:tcPr>
                <w:p w14:paraId="4CE03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4.5</w:t>
                  </w:r>
                </w:p>
              </w:tc>
            </w:tr>
            <w:tr w14:paraId="175A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5184D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2794" w:type="dxa"/>
                  <w:vAlign w:val="center"/>
                </w:tcPr>
                <w:p w14:paraId="121C7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活性增强剂</w:t>
                  </w:r>
                </w:p>
              </w:tc>
              <w:tc>
                <w:tcPr>
                  <w:tcW w:w="2060" w:type="dxa"/>
                  <w:vAlign w:val="center"/>
                </w:tcPr>
                <w:p w14:paraId="6EED5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0.3~1.5</w:t>
                  </w:r>
                </w:p>
              </w:tc>
              <w:tc>
                <w:tcPr>
                  <w:tcW w:w="2060" w:type="dxa"/>
                  <w:vAlign w:val="center"/>
                </w:tcPr>
                <w:p w14:paraId="6E89A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0.9</w:t>
                  </w:r>
                </w:p>
              </w:tc>
            </w:tr>
            <w:tr w14:paraId="4F16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0C6C9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w:t>
                  </w:r>
                </w:p>
              </w:tc>
              <w:tc>
                <w:tcPr>
                  <w:tcW w:w="2794" w:type="dxa"/>
                  <w:vAlign w:val="center"/>
                </w:tcPr>
                <w:p w14:paraId="5074C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表面活性剂</w:t>
                  </w:r>
                </w:p>
              </w:tc>
              <w:tc>
                <w:tcPr>
                  <w:tcW w:w="2060" w:type="dxa"/>
                  <w:vAlign w:val="center"/>
                </w:tcPr>
                <w:p w14:paraId="40B75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0.2~0.8</w:t>
                  </w:r>
                </w:p>
              </w:tc>
              <w:tc>
                <w:tcPr>
                  <w:tcW w:w="2060" w:type="dxa"/>
                  <w:vAlign w:val="center"/>
                </w:tcPr>
                <w:p w14:paraId="7A8EB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0.5</w:t>
                  </w:r>
                </w:p>
              </w:tc>
            </w:tr>
            <w:tr w14:paraId="130E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41185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w:t>
                  </w:r>
                </w:p>
              </w:tc>
              <w:tc>
                <w:tcPr>
                  <w:tcW w:w="2794" w:type="dxa"/>
                  <w:vAlign w:val="center"/>
                </w:tcPr>
                <w:p w14:paraId="4516A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润湿增强剂</w:t>
                  </w:r>
                </w:p>
              </w:tc>
              <w:tc>
                <w:tcPr>
                  <w:tcW w:w="2060" w:type="dxa"/>
                  <w:vAlign w:val="center"/>
                </w:tcPr>
                <w:p w14:paraId="09CD1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3.0~15.0</w:t>
                  </w:r>
                </w:p>
              </w:tc>
              <w:tc>
                <w:tcPr>
                  <w:tcW w:w="2060" w:type="dxa"/>
                  <w:vAlign w:val="center"/>
                </w:tcPr>
                <w:p w14:paraId="5C0B8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9.0</w:t>
                  </w:r>
                </w:p>
              </w:tc>
            </w:tr>
            <w:tr w14:paraId="7BE1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6" w:type="dxa"/>
                  <w:vAlign w:val="center"/>
                </w:tcPr>
                <w:p w14:paraId="5EB14D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w:t>
                  </w:r>
                </w:p>
              </w:tc>
              <w:tc>
                <w:tcPr>
                  <w:tcW w:w="2794" w:type="dxa"/>
                  <w:vAlign w:val="center"/>
                </w:tcPr>
                <w:p w14:paraId="7CA04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溶剂（醇类）</w:t>
                  </w:r>
                </w:p>
              </w:tc>
              <w:tc>
                <w:tcPr>
                  <w:tcW w:w="2060" w:type="dxa"/>
                  <w:vAlign w:val="center"/>
                </w:tcPr>
                <w:p w14:paraId="63E51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69.7~94.5</w:t>
                  </w:r>
                </w:p>
              </w:tc>
              <w:tc>
                <w:tcPr>
                  <w:tcW w:w="2060" w:type="dxa"/>
                  <w:vAlign w:val="center"/>
                </w:tcPr>
                <w:p w14:paraId="76987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82.1</w:t>
                  </w:r>
                </w:p>
              </w:tc>
            </w:tr>
            <w:tr w14:paraId="1A2F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0" w:type="dxa"/>
                  <w:gridSpan w:val="2"/>
                  <w:vAlign w:val="center"/>
                </w:tcPr>
                <w:p w14:paraId="297A4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合计</w:t>
                  </w:r>
                </w:p>
              </w:tc>
              <w:tc>
                <w:tcPr>
                  <w:tcW w:w="2060" w:type="dxa"/>
                  <w:vAlign w:val="center"/>
                </w:tcPr>
                <w:p w14:paraId="6039FE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100</w:t>
                  </w:r>
                </w:p>
              </w:tc>
              <w:tc>
                <w:tcPr>
                  <w:tcW w:w="2060" w:type="dxa"/>
                  <w:vAlign w:val="center"/>
                </w:tcPr>
                <w:p w14:paraId="3BA9E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100</w:t>
                  </w:r>
                </w:p>
              </w:tc>
            </w:tr>
          </w:tbl>
          <w:p w14:paraId="6E276B3C">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7、</w:t>
            </w:r>
            <w:r>
              <w:rPr>
                <w:rFonts w:hint="default" w:ascii="Times New Roman" w:hAnsi="Times New Roman" w:eastAsia="宋体" w:cs="Times New Roman"/>
                <w:b/>
                <w:bCs/>
                <w:color w:val="auto"/>
                <w:lang w:val="en-US" w:eastAsia="zh-CN"/>
              </w:rPr>
              <w:t>公用工程</w:t>
            </w:r>
          </w:p>
          <w:p w14:paraId="1056E0D1">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60" w:lineRule="auto"/>
              <w:ind w:left="420" w:leftChars="200" w:right="0" w:rightChars="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（1）给水</w:t>
            </w:r>
          </w:p>
          <w:p w14:paraId="0048B49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项目用水包括生产用水</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生活用水</w:t>
            </w:r>
            <w:r>
              <w:rPr>
                <w:rFonts w:hint="eastAsia" w:cs="Times New Roman"/>
                <w:b w:val="0"/>
                <w:bCs w:val="0"/>
                <w:color w:val="auto"/>
                <w:kern w:val="2"/>
                <w:sz w:val="24"/>
                <w:szCs w:val="24"/>
                <w:lang w:val="en-US" w:eastAsia="zh-CN" w:bidi="ar-SA"/>
              </w:rPr>
              <w:t>及绿化用水</w:t>
            </w:r>
            <w:r>
              <w:rPr>
                <w:rFonts w:hint="default" w:ascii="Times New Roman" w:hAnsi="Times New Roman" w:eastAsia="宋体" w:cs="Times New Roman"/>
                <w:b w:val="0"/>
                <w:bCs w:val="0"/>
                <w:color w:val="auto"/>
                <w:kern w:val="2"/>
                <w:sz w:val="24"/>
                <w:szCs w:val="24"/>
                <w:lang w:val="en-US" w:eastAsia="zh-CN" w:bidi="ar-SA"/>
              </w:rPr>
              <w:t>，生产用水包括</w:t>
            </w:r>
            <w:r>
              <w:rPr>
                <w:rFonts w:hint="eastAsia" w:cs="Times New Roman"/>
                <w:b w:val="0"/>
                <w:bCs w:val="0"/>
                <w:color w:val="auto"/>
                <w:kern w:val="2"/>
                <w:sz w:val="24"/>
                <w:szCs w:val="24"/>
                <w:lang w:val="en-US" w:eastAsia="zh-CN" w:bidi="ar-SA"/>
              </w:rPr>
              <w:t>清洗用水及注塑冷却用水。</w:t>
            </w:r>
          </w:p>
          <w:p w14:paraId="6E62F0FA">
            <w:pPr>
              <w:keepNext w:val="0"/>
              <w:keepLines w:val="0"/>
              <w:numPr>
                <w:ilvl w:val="0"/>
                <w:numId w:val="5"/>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生活用水：</w:t>
            </w: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劳动定员500</w:t>
            </w:r>
            <w:r>
              <w:rPr>
                <w:rFonts w:hint="default" w:ascii="Times New Roman" w:hAnsi="Times New Roman" w:cs="Times New Roman"/>
                <w:color w:val="000000" w:themeColor="text1"/>
                <w:sz w:val="24"/>
                <w:szCs w:val="24"/>
                <w:lang w:val="en-US" w:eastAsia="zh-CN"/>
                <w14:textFill>
                  <w14:solidFill>
                    <w14:schemeClr w14:val="tx1"/>
                  </w14:solidFill>
                </w14:textFill>
              </w:rPr>
              <w:t>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，据《陕西省行业用水定额（修订版）》（DB61/T943-2020），用水量</w:t>
            </w:r>
            <w:r>
              <w:rPr>
                <w:rFonts w:hint="eastAsia" w:cs="Times New Roman"/>
                <w:color w:val="000000" w:themeColor="text1"/>
                <w:sz w:val="24"/>
                <w:szCs w:val="24"/>
                <w:lang w:val="en-US" w:eastAsia="zh-CN"/>
                <w14:textFill>
                  <w14:solidFill>
                    <w14:schemeClr w14:val="tx1"/>
                  </w14:solidFill>
                </w14:textFill>
              </w:rPr>
              <w:t>取80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L/人·d，则生活用水量为</w:t>
            </w:r>
            <w:r>
              <w:rPr>
                <w:rFonts w:hint="eastAsia" w:cs="Times New Roman"/>
                <w:color w:val="000000" w:themeColor="text1"/>
                <w:sz w:val="24"/>
                <w:szCs w:val="24"/>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12000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77436280">
            <w:pPr>
              <w:keepNext w:val="0"/>
              <w:keepLines w:val="0"/>
              <w:numPr>
                <w:ilvl w:val="0"/>
                <w:numId w:val="5"/>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清洗用水：项目设1台全自动超声波清洗机，</w:t>
            </w:r>
            <w:r>
              <w:rPr>
                <w:rFonts w:hint="eastAsia" w:cs="Times New Roman"/>
                <w:b w:val="0"/>
                <w:bCs w:val="0"/>
                <w:color w:val="FF0000"/>
                <w:kern w:val="2"/>
                <w:sz w:val="24"/>
                <w:szCs w:val="24"/>
                <w:lang w:val="en-US" w:eastAsia="zh-CN" w:bidi="ar-SA"/>
              </w:rPr>
              <w:t>全自动超声波清洗机为除油清洗烘干一体机。根据建设单位提供资料，超声波清洗机内按清洗槽、清洗槽、沥干槽、防锈槽、烘干槽、烘干槽进行清洗流程设置。清洗槽采用浸入式碱洗，清洗剂为水性清洗剂WB-805，混入纯水使用，比例为1:20。</w:t>
            </w:r>
            <w:r>
              <w:rPr>
                <w:rFonts w:hint="eastAsia" w:cs="Times New Roman"/>
                <w:b w:val="0"/>
                <w:bCs w:val="0"/>
                <w:color w:val="000000" w:themeColor="text1"/>
                <w:kern w:val="2"/>
                <w:sz w:val="24"/>
                <w:szCs w:val="24"/>
                <w:lang w:val="en-US" w:eastAsia="zh-CN" w:bidi="ar-SA"/>
                <w14:textFill>
                  <w14:solidFill>
                    <w14:schemeClr w14:val="tx1"/>
                  </w14:solidFill>
                </w14:textFill>
              </w:rPr>
              <w:t>超声波清洗机用水量为2m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，超声波清洗水约20天更换一次，年生产天数以300d计，则超声波清洗用水年使用量为30m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/a，平均每天的纯水用量为0.1m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。根据企业提供资料，项目纯水设备纯水制备率为60%，则项目清洗所需的新鲜水量为0.17m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vertAlign w:val="baseline"/>
                <w:lang w:val="en-US" w:eastAsia="zh-CN" w:bidi="ar-SA"/>
                <w14:textFill>
                  <w14:solidFill>
                    <w14:schemeClr w14:val="tx1"/>
                  </w14:solidFill>
                </w14:textFill>
              </w:rPr>
              <w:t>/d（51</w:t>
            </w:r>
            <w:r>
              <w:rPr>
                <w:rFonts w:hint="eastAsia" w:cs="Times New Roman"/>
                <w:b w:val="0"/>
                <w:bCs w:val="0"/>
                <w:color w:val="000000" w:themeColor="text1"/>
                <w:kern w:val="2"/>
                <w:sz w:val="24"/>
                <w:szCs w:val="24"/>
                <w:lang w:val="en-US" w:eastAsia="zh-CN" w:bidi="ar-SA"/>
                <w14:textFill>
                  <w14:solidFill>
                    <w14:schemeClr w14:val="tx1"/>
                  </w14:solidFill>
                </w14:textFill>
              </w:rPr>
              <w:t>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/a</w:t>
            </w:r>
            <w:r>
              <w:rPr>
                <w:rFonts w:hint="eastAsia" w:cs="Times New Roman"/>
                <w:b w:val="0"/>
                <w:bCs w:val="0"/>
                <w:color w:val="000000" w:themeColor="text1"/>
                <w:kern w:val="2"/>
                <w:sz w:val="24"/>
                <w:szCs w:val="24"/>
                <w:vertAlign w:val="baseline"/>
                <w:lang w:val="en-US" w:eastAsia="zh-CN" w:bidi="ar-SA"/>
                <w14:textFill>
                  <w14:solidFill>
                    <w14:schemeClr w14:val="tx1"/>
                  </w14:solidFill>
                </w14:textFill>
              </w:rPr>
              <w:t>）。</w:t>
            </w:r>
          </w:p>
          <w:p w14:paraId="5F0A4778">
            <w:pPr>
              <w:keepNext w:val="0"/>
              <w:keepLines w:val="0"/>
              <w:numPr>
                <w:ilvl w:val="0"/>
                <w:numId w:val="5"/>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注塑冷却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用水：</w:t>
            </w:r>
            <w:r>
              <w:rPr>
                <w:rFonts w:hint="eastAsia" w:cs="Times New Roman"/>
                <w:b w:val="0"/>
                <w:bCs w:val="0"/>
                <w:color w:val="000000" w:themeColor="text1"/>
                <w:kern w:val="2"/>
                <w:sz w:val="24"/>
                <w:szCs w:val="24"/>
                <w:lang w:val="en-US" w:eastAsia="zh-CN" w:bidi="ar-SA"/>
                <w14:textFill>
                  <w14:solidFill>
                    <w14:schemeClr w14:val="tx1"/>
                  </w14:solidFill>
                </w14:textFill>
              </w:rPr>
              <w:t>类比同类型企业，注塑工段冷却水的补充量为循环水量的3%，本项目循环冷却水约30m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/d，则，注塑冷却水的补充量为0.9m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/d（270</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m³/a</w:t>
            </w:r>
            <w:r>
              <w:rPr>
                <w:rFonts w:hint="eastAsia" w:cs="Times New Roman"/>
                <w:b w:val="0"/>
                <w:bCs w:val="0"/>
                <w:color w:val="000000" w:themeColor="text1"/>
                <w:kern w:val="2"/>
                <w:sz w:val="24"/>
                <w:szCs w:val="24"/>
                <w:lang w:val="en-US" w:eastAsia="zh-CN" w:bidi="ar-SA"/>
                <w14:textFill>
                  <w14:solidFill>
                    <w14:schemeClr w14:val="tx1"/>
                  </w14:solidFill>
                </w14:textFill>
              </w:rPr>
              <w:t>）。</w:t>
            </w:r>
          </w:p>
          <w:p w14:paraId="17DB1EF5">
            <w:pPr>
              <w:keepNext w:val="0"/>
              <w:keepLines w:val="0"/>
              <w:suppressLineNumbers w:val="0"/>
              <w:adjustRightInd w:val="0"/>
              <w:snapToGrid w:val="0"/>
              <w:spacing w:before="0" w:beforeAutospacing="0" w:after="0" w:afterAutospacing="0" w:line="360" w:lineRule="auto"/>
              <w:ind w:left="0" w:right="0" w:firstLine="480" w:firstLineChars="200"/>
              <w:jc w:val="left"/>
              <w:outlineLvl w:val="0"/>
              <w:rPr>
                <w:rFonts w:hint="default" w:ascii="Times New Roman" w:hAnsi="Times New Roman" w:eastAsia="宋体" w:cs="Times New Roman"/>
                <w:b w:val="0"/>
                <w:bCs w:val="0"/>
                <w:color w:val="0000FF"/>
                <w:kern w:val="2"/>
                <w:sz w:val="24"/>
                <w:szCs w:val="24"/>
                <w:lang w:val="en-US" w:eastAsia="zh-CN" w:bidi="ar-SA"/>
              </w:rPr>
            </w:pPr>
            <w:r>
              <w:rPr>
                <w:rFonts w:hint="eastAsia" w:cs="Times New Roman"/>
                <w:b w:val="0"/>
                <w:bCs w:val="0"/>
                <w:color w:val="000000" w:themeColor="text1"/>
                <w:kern w:val="2"/>
                <w:sz w:val="24"/>
                <w:szCs w:val="24"/>
                <w:lang w:val="en-US" w:eastAsia="zh-CN" w:bidi="ar-SA"/>
                <w14:textFill>
                  <w14:solidFill>
                    <w14:schemeClr w14:val="tx1"/>
                  </w14:solidFill>
                </w14:textFill>
              </w:rPr>
              <w:t>D.绿化用水：厂区绿化面积约3783.43m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cs="Times New Roman"/>
                <w:b w:val="0"/>
                <w:bCs w:val="0"/>
                <w:color w:val="000000" w:themeColor="text1"/>
                <w:kern w:val="2"/>
                <w:sz w:val="24"/>
                <w:szCs w:val="24"/>
                <w:vertAlign w:val="baseline"/>
                <w:lang w:val="en-US" w:eastAsia="zh-CN" w:bidi="ar-SA"/>
                <w14:textFill>
                  <w14:solidFill>
                    <w14:schemeClr w14:val="tx1"/>
                  </w14:solidFill>
                </w14:textFill>
              </w:rPr>
              <w:t>，</w:t>
            </w:r>
            <w:r>
              <w:rPr>
                <w:rFonts w:hint="eastAsia"/>
                <w:color w:val="000000" w:themeColor="text1"/>
                <w:sz w:val="24"/>
                <w14:textFill>
                  <w14:solidFill>
                    <w14:schemeClr w14:val="tx1"/>
                  </w14:solidFill>
                </w14:textFill>
              </w:rPr>
              <w:t>参照陕西省《行业用水定额》（DB61/T943-2020），绿化用水按3.3</w:t>
            </w:r>
            <w:r>
              <w:rPr>
                <w:rFonts w:hint="eastAsia"/>
                <w:color w:val="000000" w:themeColor="text1"/>
                <w:sz w:val="24"/>
                <w:szCs w:val="22"/>
                <w14:textFill>
                  <w14:solidFill>
                    <w14:schemeClr w14:val="tx1"/>
                  </w14:solidFill>
                </w14:textFill>
              </w:rPr>
              <w:t>L/m</w:t>
            </w:r>
            <w:r>
              <w:rPr>
                <w:rFonts w:hint="eastAsia"/>
                <w:color w:val="000000" w:themeColor="text1"/>
                <w:sz w:val="24"/>
                <w:szCs w:val="22"/>
                <w:vertAlign w:val="superscript"/>
                <w14:textFill>
                  <w14:solidFill>
                    <w14:schemeClr w14:val="tx1"/>
                  </w14:solidFill>
                </w14:textFill>
              </w:rPr>
              <w:t>2</w:t>
            </w:r>
            <w:r>
              <w:rPr>
                <w:rFonts w:hint="eastAsia"/>
                <w:color w:val="000000" w:themeColor="text1"/>
                <w:sz w:val="24"/>
                <w:szCs w:val="22"/>
                <w14:textFill>
                  <w14:solidFill>
                    <w14:schemeClr w14:val="tx1"/>
                  </w14:solidFill>
                </w14:textFill>
              </w:rPr>
              <w:t>·d计，年绿化洒水次数按</w:t>
            </w:r>
            <w:r>
              <w:rPr>
                <w:rFonts w:hint="eastAsia"/>
                <w:color w:val="000000" w:themeColor="text1"/>
                <w:sz w:val="24"/>
                <w:szCs w:val="22"/>
                <w:lang w:val="en-US" w:eastAsia="zh-CN"/>
                <w14:textFill>
                  <w14:solidFill>
                    <w14:schemeClr w14:val="tx1"/>
                  </w14:solidFill>
                </w14:textFill>
              </w:rPr>
              <w:t>90</w:t>
            </w:r>
            <w:r>
              <w:rPr>
                <w:rFonts w:hint="eastAsia"/>
                <w:color w:val="000000" w:themeColor="text1"/>
                <w:sz w:val="24"/>
                <w:szCs w:val="22"/>
                <w14:textFill>
                  <w14:solidFill>
                    <w14:schemeClr w14:val="tx1"/>
                  </w14:solidFill>
                </w14:textFill>
              </w:rPr>
              <w:t>d计，则绿化用水量为</w:t>
            </w:r>
            <w:r>
              <w:rPr>
                <w:rFonts w:hint="eastAsia"/>
                <w:color w:val="000000" w:themeColor="text1"/>
                <w:sz w:val="24"/>
                <w:szCs w:val="22"/>
                <w:lang w:val="en-US" w:eastAsia="zh-CN"/>
                <w14:textFill>
                  <w14:solidFill>
                    <w14:schemeClr w14:val="tx1"/>
                  </w14:solidFill>
                </w14:textFill>
              </w:rPr>
              <w:t>12.49</w:t>
            </w:r>
            <w:r>
              <w:rPr>
                <w:rFonts w:hint="eastAsia"/>
                <w:color w:val="000000" w:themeColor="text1"/>
                <w:sz w:val="24"/>
                <w:szCs w:val="22"/>
                <w14:textFill>
                  <w14:solidFill>
                    <w14:schemeClr w14:val="tx1"/>
                  </w14:solidFill>
                </w14:textFill>
              </w:rPr>
              <w:t>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 xml:space="preserve"> /d（</w:t>
            </w:r>
            <w:r>
              <w:rPr>
                <w:rFonts w:hint="eastAsia"/>
                <w:color w:val="000000" w:themeColor="text1"/>
                <w:sz w:val="24"/>
                <w:szCs w:val="22"/>
                <w:lang w:val="en-US" w:eastAsia="zh-CN"/>
                <w14:textFill>
                  <w14:solidFill>
                    <w14:schemeClr w14:val="tx1"/>
                  </w14:solidFill>
                </w14:textFill>
              </w:rPr>
              <w:t>1124.1</w:t>
            </w:r>
            <w:r>
              <w:rPr>
                <w:rFonts w:hint="eastAsia"/>
                <w:color w:val="000000" w:themeColor="text1"/>
                <w:sz w:val="24"/>
                <w:szCs w:val="22"/>
                <w14:textFill>
                  <w14:solidFill>
                    <w14:schemeClr w14:val="tx1"/>
                  </w14:solidFill>
                </w14:textFill>
              </w:rPr>
              <w:t>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/a）。</w:t>
            </w:r>
          </w:p>
          <w:p w14:paraId="4FED6E7D">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0"/>
                <w:sz w:val="24"/>
                <w:szCs w:val="24"/>
                <w:highlight w:val="none"/>
                <w:lang w:eastAsia="zh-CN" w:bidi="ar-SA"/>
              </w:rPr>
            </w:pPr>
            <w:r>
              <w:rPr>
                <w:rFonts w:hint="eastAsia" w:ascii="Times New Roman" w:hAnsi="Times New Roman" w:eastAsia="宋体" w:cs="Times New Roman"/>
                <w:b/>
                <w:bCs/>
                <w:color w:val="auto"/>
                <w:kern w:val="0"/>
                <w:sz w:val="24"/>
                <w:szCs w:val="24"/>
                <w:lang w:val="en-US" w:eastAsia="zh-CN" w:bidi="ar-SA"/>
              </w:rPr>
              <w:t>（2）</w:t>
            </w:r>
            <w:r>
              <w:rPr>
                <w:rFonts w:hint="default" w:ascii="Times New Roman" w:hAnsi="Times New Roman" w:eastAsia="宋体" w:cs="Times New Roman"/>
                <w:b/>
                <w:bCs/>
                <w:color w:val="auto"/>
                <w:kern w:val="0"/>
                <w:sz w:val="24"/>
                <w:szCs w:val="24"/>
                <w:highlight w:val="none"/>
                <w:lang w:eastAsia="zh-CN" w:bidi="ar-SA"/>
              </w:rPr>
              <w:t>排水</w:t>
            </w:r>
          </w:p>
          <w:p w14:paraId="1104CD4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项目废水主要为生活污水、</w:t>
            </w:r>
            <w:r>
              <w:rPr>
                <w:rFonts w:hint="eastAsia" w:cs="Times New Roman"/>
                <w:color w:val="auto"/>
                <w:sz w:val="24"/>
                <w:szCs w:val="24"/>
                <w:highlight w:val="none"/>
                <w:lang w:val="en-US" w:eastAsia="zh-CN"/>
              </w:rPr>
              <w:t>清洗</w:t>
            </w:r>
            <w:r>
              <w:rPr>
                <w:rFonts w:hint="default" w:ascii="Times New Roman" w:hAnsi="Times New Roman" w:cs="Times New Roman"/>
                <w:color w:val="auto"/>
                <w:sz w:val="24"/>
                <w:szCs w:val="24"/>
                <w:highlight w:val="none"/>
                <w:lang w:val="en-US" w:eastAsia="zh-CN"/>
              </w:rPr>
              <w:t>废水</w:t>
            </w:r>
            <w:r>
              <w:rPr>
                <w:rFonts w:hint="eastAsia" w:cs="Times New Roman"/>
                <w:color w:val="auto"/>
                <w:sz w:val="24"/>
                <w:szCs w:val="24"/>
                <w:highlight w:val="none"/>
                <w:lang w:val="en-US" w:eastAsia="zh-CN"/>
              </w:rPr>
              <w:t>及浓水</w:t>
            </w:r>
            <w:r>
              <w:rPr>
                <w:rFonts w:hint="default" w:ascii="Times New Roman" w:hAnsi="Times New Roman" w:cs="Times New Roman"/>
                <w:color w:val="auto"/>
                <w:sz w:val="24"/>
                <w:szCs w:val="24"/>
                <w:highlight w:val="none"/>
                <w:lang w:val="en-US" w:eastAsia="zh-CN"/>
              </w:rPr>
              <w:t>。</w:t>
            </w:r>
          </w:p>
          <w:p w14:paraId="3837F409">
            <w:pPr>
              <w:keepNext w:val="0"/>
              <w:keepLines w:val="0"/>
              <w:pageBreakBefore w:val="0"/>
              <w:widowControl w:val="0"/>
              <w:numPr>
                <w:ilvl w:val="0"/>
                <w:numId w:val="6"/>
              </w:numPr>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生活污水产生量按用水量的80%计，项目生活污水产生量为</w:t>
            </w:r>
            <w:r>
              <w:rPr>
                <w:rFonts w:hint="eastAsia" w:cs="Times New Roman"/>
                <w:color w:val="auto"/>
                <w:sz w:val="24"/>
                <w:szCs w:val="24"/>
                <w:highlight w:val="none"/>
                <w:lang w:val="en-US" w:eastAsia="zh-CN"/>
              </w:rPr>
              <w:t>32</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9600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经化粪池处理后排入市政污水管网，</w:t>
            </w:r>
            <w:r>
              <w:rPr>
                <w:rFonts w:hint="eastAsia" w:cs="Times New Roman"/>
                <w:color w:val="FF0000"/>
                <w:sz w:val="24"/>
                <w:szCs w:val="24"/>
                <w:lang w:val="en-US" w:eastAsia="zh-CN"/>
              </w:rPr>
              <w:t>进入安康市建民污水处理厂处理后排放</w:t>
            </w:r>
            <w:r>
              <w:rPr>
                <w:rFonts w:hint="default" w:ascii="Times New Roman" w:hAnsi="Times New Roman" w:cs="Times New Roman"/>
                <w:color w:val="FF0000"/>
                <w:sz w:val="24"/>
                <w:szCs w:val="24"/>
                <w:highlight w:val="none"/>
                <w:lang w:val="en-US" w:eastAsia="zh-CN"/>
              </w:rPr>
              <w:t>。</w:t>
            </w:r>
          </w:p>
          <w:p w14:paraId="08AED02C">
            <w:pPr>
              <w:keepNext w:val="0"/>
              <w:keepLines w:val="0"/>
              <w:pageBreakBefore w:val="0"/>
              <w:widowControl w:val="0"/>
              <w:numPr>
                <w:ilvl w:val="0"/>
                <w:numId w:val="6"/>
              </w:numPr>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清洗废水的产生量按用水量的90%计，项目清洗废水产生量为0.09</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b w:val="0"/>
                <w:bCs w:val="0"/>
                <w:color w:val="000000" w:themeColor="text1"/>
                <w:kern w:val="2"/>
                <w:sz w:val="24"/>
                <w:szCs w:val="24"/>
                <w:lang w:val="en-US" w:eastAsia="zh-CN" w:bidi="ar-SA"/>
                <w14:textFill>
                  <w14:solidFill>
                    <w14:schemeClr w14:val="tx1"/>
                  </w14:solidFill>
                </w14:textFill>
              </w:rPr>
              <w:t>清洗废水主要污染因子为PH、COD、SS、石油类，统一收集后经厂区污水处理站统一处理，处理后排入市政管网，</w:t>
            </w:r>
            <w:r>
              <w:rPr>
                <w:rFonts w:hint="eastAsia" w:cs="Times New Roman"/>
                <w:color w:val="FF0000"/>
                <w:sz w:val="24"/>
                <w:szCs w:val="24"/>
                <w:lang w:val="en-US" w:eastAsia="zh-CN"/>
              </w:rPr>
              <w:t>进入安康市建民污水处理厂处理后排放</w:t>
            </w:r>
            <w:r>
              <w:rPr>
                <w:rFonts w:hint="default" w:ascii="Times New Roman" w:hAnsi="Times New Roman" w:cs="Times New Roman"/>
                <w:color w:val="FF0000"/>
                <w:sz w:val="24"/>
                <w:szCs w:val="24"/>
                <w:highlight w:val="none"/>
                <w:lang w:val="en-US" w:eastAsia="zh-CN"/>
              </w:rPr>
              <w:t>。</w:t>
            </w:r>
            <w:r>
              <w:rPr>
                <w:rFonts w:hint="eastAsia" w:cs="Times New Roman"/>
                <w:b w:val="0"/>
                <w:bCs w:val="0"/>
                <w:color w:val="000000" w:themeColor="text1"/>
                <w:kern w:val="2"/>
                <w:sz w:val="24"/>
                <w:szCs w:val="24"/>
                <w:lang w:val="en-US" w:eastAsia="zh-CN" w:bidi="ar-SA"/>
                <w14:textFill>
                  <w14:solidFill>
                    <w14:schemeClr w14:val="tx1"/>
                  </w14:solidFill>
                </w14:textFill>
              </w:rPr>
              <w:t>污水处理站设计处理能力为2m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/d，采用“沉淀+中和+隔油+沉淀”工艺进行处理</w:t>
            </w:r>
            <w:r>
              <w:rPr>
                <w:rFonts w:hint="eastAsia" w:cs="Times New Roman"/>
                <w:b w:val="0"/>
                <w:bCs w:val="0"/>
                <w:color w:val="0000FF"/>
                <w:kern w:val="2"/>
                <w:sz w:val="24"/>
                <w:szCs w:val="24"/>
                <w:lang w:val="en-US" w:eastAsia="zh-CN" w:bidi="ar-SA"/>
              </w:rPr>
              <w:t>。</w:t>
            </w:r>
          </w:p>
          <w:p w14:paraId="5591ADE6">
            <w:pPr>
              <w:keepNext w:val="0"/>
              <w:keepLines w:val="0"/>
              <w:pageBreakBefore w:val="0"/>
              <w:widowControl w:val="0"/>
              <w:numPr>
                <w:ilvl w:val="0"/>
                <w:numId w:val="6"/>
              </w:numPr>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浓水，纯水制备过程中会产生一定的浓水，根据企业资料，</w:t>
            </w:r>
            <w:r>
              <w:rPr>
                <w:rFonts w:hint="eastAsia" w:cs="Times New Roman"/>
                <w:b w:val="0"/>
                <w:bCs w:val="0"/>
                <w:color w:val="000000" w:themeColor="text1"/>
                <w:kern w:val="2"/>
                <w:sz w:val="24"/>
                <w:szCs w:val="24"/>
                <w:lang w:val="en-US" w:eastAsia="zh-CN" w:bidi="ar-SA"/>
                <w14:textFill>
                  <w14:solidFill>
                    <w14:schemeClr w14:val="tx1"/>
                  </w14:solidFill>
                </w14:textFill>
              </w:rPr>
              <w:t>项目纯水设备纯水制备率为60%，则浓水</w:t>
            </w:r>
            <w:r>
              <w:rPr>
                <w:rFonts w:hint="eastAsia" w:cs="Times New Roman"/>
                <w:color w:val="000000" w:themeColor="text1"/>
                <w:sz w:val="24"/>
                <w:szCs w:val="24"/>
                <w:highlight w:val="none"/>
                <w:lang w:val="en-US" w:eastAsia="zh-CN"/>
                <w14:textFill>
                  <w14:solidFill>
                    <w14:schemeClr w14:val="tx1"/>
                  </w14:solidFill>
                </w14:textFill>
              </w:rPr>
              <w:t>的产生量为制备纯水所用新鲜水量的40%，项目纯水制备所用的新鲜水量为0.17</w:t>
            </w:r>
            <w:r>
              <w:rPr>
                <w:rFonts w:hint="eastAsia" w:cs="Times New Roman"/>
                <w:b w:val="0"/>
                <w:bCs w:val="0"/>
                <w:color w:val="000000" w:themeColor="text1"/>
                <w:kern w:val="2"/>
                <w:sz w:val="24"/>
                <w:szCs w:val="24"/>
                <w:lang w:val="en-US" w:eastAsia="zh-CN" w:bidi="ar-SA"/>
                <w14:textFill>
                  <w14:solidFill>
                    <w14:schemeClr w14:val="tx1"/>
                  </w14:solidFill>
                </w14:textFill>
              </w:rPr>
              <w:t>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vertAlign w:val="baseline"/>
                <w:lang w:val="en-US" w:eastAsia="zh-CN" w:bidi="ar-SA"/>
                <w14:textFill>
                  <w14:solidFill>
                    <w14:schemeClr w14:val="tx1"/>
                  </w14:solidFill>
                </w14:textFill>
              </w:rPr>
              <w:t>/d，则浓水量为0.07</w:t>
            </w:r>
            <w:r>
              <w:rPr>
                <w:rFonts w:hint="eastAsia" w:cs="Times New Roman"/>
                <w:b w:val="0"/>
                <w:bCs w:val="0"/>
                <w:color w:val="000000" w:themeColor="text1"/>
                <w:kern w:val="2"/>
                <w:sz w:val="24"/>
                <w:szCs w:val="24"/>
                <w:lang w:val="en-US" w:eastAsia="zh-CN" w:bidi="ar-SA"/>
                <w14:textFill>
                  <w14:solidFill>
                    <w14:schemeClr w14:val="tx1"/>
                  </w14:solidFill>
                </w14:textFill>
              </w:rPr>
              <w:t>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vertAlign w:val="baseline"/>
                <w:lang w:val="en-US" w:eastAsia="zh-CN" w:bidi="ar-SA"/>
                <w14:textFill>
                  <w14:solidFill>
                    <w14:schemeClr w14:val="tx1"/>
                  </w14:solidFill>
                </w14:textFill>
              </w:rPr>
              <w:t>/d（21</w:t>
            </w:r>
            <w:r>
              <w:rPr>
                <w:rFonts w:hint="eastAsia" w:cs="Times New Roman"/>
                <w:b w:val="0"/>
                <w:bCs w:val="0"/>
                <w:color w:val="000000" w:themeColor="text1"/>
                <w:kern w:val="2"/>
                <w:sz w:val="24"/>
                <w:szCs w:val="24"/>
                <w:lang w:val="en-US" w:eastAsia="zh-CN" w:bidi="ar-SA"/>
                <w14:textFill>
                  <w14:solidFill>
                    <w14:schemeClr w14:val="tx1"/>
                  </w14:solidFill>
                </w14:textFill>
              </w:rPr>
              <w:t>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vertAlign w:val="baseline"/>
                <w:lang w:val="en-US" w:eastAsia="zh-CN" w:bidi="ar-SA"/>
                <w14:textFill>
                  <w14:solidFill>
                    <w14:schemeClr w14:val="tx1"/>
                  </w14:solidFill>
                </w14:textFill>
              </w:rPr>
              <w:t>/a）。经污水管网进入市政污水管网。</w:t>
            </w:r>
          </w:p>
          <w:p w14:paraId="63F89F0A">
            <w:pPr>
              <w:keepNext w:val="0"/>
              <w:keepLines w:val="0"/>
              <w:numPr>
                <w:ilvl w:val="0"/>
                <w:numId w:val="0"/>
              </w:numPr>
              <w:suppressLineNumbers w:val="0"/>
              <w:tabs>
                <w:tab w:val="left" w:pos="0"/>
              </w:tabs>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表2-8</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项目水平衡表</w:t>
            </w:r>
          </w:p>
          <w:tbl>
            <w:tblPr>
              <w:tblStyle w:val="35"/>
              <w:tblW w:w="8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699"/>
              <w:gridCol w:w="1017"/>
              <w:gridCol w:w="1046"/>
              <w:gridCol w:w="1017"/>
              <w:gridCol w:w="1051"/>
              <w:gridCol w:w="2030"/>
            </w:tblGrid>
            <w:tr w14:paraId="09F3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84" w:type="pct"/>
                  <w:vMerge w:val="restart"/>
                  <w:vAlign w:val="center"/>
                </w:tcPr>
                <w:p w14:paraId="300A549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019" w:type="pct"/>
                  <w:vMerge w:val="restart"/>
                  <w:vAlign w:val="center"/>
                </w:tcPr>
                <w:p w14:paraId="0EC4C41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用水分类</w:t>
                  </w:r>
                </w:p>
              </w:tc>
              <w:tc>
                <w:tcPr>
                  <w:tcW w:w="1237" w:type="pct"/>
                  <w:gridSpan w:val="2"/>
                  <w:vAlign w:val="center"/>
                </w:tcPr>
                <w:p w14:paraId="7527738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用水量</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vertAlign w:val="superscript"/>
                      <w:lang w:val="en-US" w:eastAsia="zh-CN"/>
                    </w:rPr>
                    <w:t>3</w:t>
                  </w:r>
                  <w:r>
                    <w:rPr>
                      <w:rFonts w:hint="default" w:ascii="Times New Roman" w:hAnsi="Times New Roman" w:cs="Times New Roman"/>
                      <w:b/>
                      <w:bCs/>
                      <w:color w:val="auto"/>
                      <w:szCs w:val="21"/>
                    </w:rPr>
                    <w:t>/</w:t>
                  </w:r>
                  <w:r>
                    <w:rPr>
                      <w:rFonts w:hint="eastAsia" w:cs="Times New Roman"/>
                      <w:b/>
                      <w:bCs/>
                      <w:color w:val="auto"/>
                      <w:szCs w:val="21"/>
                      <w:lang w:val="en-US" w:eastAsia="zh-CN"/>
                    </w:rPr>
                    <w:t>d</w:t>
                  </w:r>
                </w:p>
              </w:tc>
              <w:tc>
                <w:tcPr>
                  <w:tcW w:w="610" w:type="pct"/>
                  <w:vMerge w:val="restart"/>
                  <w:vAlign w:val="center"/>
                </w:tcPr>
                <w:p w14:paraId="6036000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损耗量</w:t>
                  </w:r>
                </w:p>
                <w:p w14:paraId="3BC5EFB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vertAlign w:val="superscript"/>
                      <w:lang w:val="en-US" w:eastAsia="zh-CN"/>
                    </w:rPr>
                    <w:t>3</w:t>
                  </w:r>
                  <w:r>
                    <w:rPr>
                      <w:rFonts w:hint="default" w:ascii="Times New Roman" w:hAnsi="Times New Roman" w:cs="Times New Roman"/>
                      <w:b/>
                      <w:bCs/>
                      <w:color w:val="auto"/>
                      <w:szCs w:val="21"/>
                    </w:rPr>
                    <w:t>/</w:t>
                  </w:r>
                  <w:r>
                    <w:rPr>
                      <w:rFonts w:hint="eastAsia" w:cs="Times New Roman"/>
                      <w:b/>
                      <w:bCs/>
                      <w:color w:val="auto"/>
                      <w:szCs w:val="21"/>
                      <w:lang w:val="en-US" w:eastAsia="zh-CN"/>
                    </w:rPr>
                    <w:t>d</w:t>
                  </w:r>
                </w:p>
              </w:tc>
              <w:tc>
                <w:tcPr>
                  <w:tcW w:w="630" w:type="pct"/>
                  <w:vMerge w:val="restart"/>
                  <w:vAlign w:val="center"/>
                </w:tcPr>
                <w:p w14:paraId="73BAB65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排水量</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vertAlign w:val="superscript"/>
                      <w:lang w:val="en-US" w:eastAsia="zh-CN"/>
                    </w:rPr>
                    <w:t>3</w:t>
                  </w:r>
                  <w:r>
                    <w:rPr>
                      <w:rFonts w:hint="default" w:ascii="Times New Roman" w:hAnsi="Times New Roman" w:cs="Times New Roman"/>
                      <w:b/>
                      <w:bCs/>
                      <w:color w:val="auto"/>
                      <w:szCs w:val="21"/>
                    </w:rPr>
                    <w:t>/</w:t>
                  </w:r>
                  <w:r>
                    <w:rPr>
                      <w:rFonts w:hint="eastAsia" w:cs="Times New Roman"/>
                      <w:b/>
                      <w:bCs/>
                      <w:color w:val="auto"/>
                      <w:szCs w:val="21"/>
                      <w:lang w:val="en-US" w:eastAsia="zh-CN"/>
                    </w:rPr>
                    <w:t>d</w:t>
                  </w:r>
                </w:p>
              </w:tc>
              <w:tc>
                <w:tcPr>
                  <w:tcW w:w="1217" w:type="pct"/>
                  <w:vMerge w:val="restart"/>
                  <w:vAlign w:val="center"/>
                </w:tcPr>
                <w:p w14:paraId="3A9D60E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排水去向</w:t>
                  </w:r>
                </w:p>
              </w:tc>
            </w:tr>
            <w:tr w14:paraId="544F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84" w:type="pct"/>
                  <w:vMerge w:val="continue"/>
                  <w:vAlign w:val="center"/>
                </w:tcPr>
                <w:p w14:paraId="024B52B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19" w:type="pct"/>
                  <w:vMerge w:val="continue"/>
                  <w:vAlign w:val="center"/>
                </w:tcPr>
                <w:p w14:paraId="1E1D0B5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610" w:type="pct"/>
                  <w:vAlign w:val="center"/>
                </w:tcPr>
                <w:p w14:paraId="5B49670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新鲜水</w:t>
                  </w:r>
                </w:p>
              </w:tc>
              <w:tc>
                <w:tcPr>
                  <w:tcW w:w="627" w:type="pct"/>
                  <w:vAlign w:val="center"/>
                </w:tcPr>
                <w:p w14:paraId="094B865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循环水</w:t>
                  </w:r>
                </w:p>
              </w:tc>
              <w:tc>
                <w:tcPr>
                  <w:tcW w:w="610" w:type="pct"/>
                  <w:vMerge w:val="continue"/>
                  <w:vAlign w:val="center"/>
                </w:tcPr>
                <w:p w14:paraId="453B359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630" w:type="pct"/>
                  <w:vMerge w:val="continue"/>
                  <w:vAlign w:val="center"/>
                </w:tcPr>
                <w:p w14:paraId="6554036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217" w:type="pct"/>
                  <w:vMerge w:val="continue"/>
                  <w:vAlign w:val="center"/>
                </w:tcPr>
                <w:p w14:paraId="2D61D19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522B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Align w:val="center"/>
                </w:tcPr>
                <w:p w14:paraId="198BBBB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19" w:type="pct"/>
                  <w:vAlign w:val="center"/>
                </w:tcPr>
                <w:p w14:paraId="4BC7454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生活用水</w:t>
                  </w:r>
                </w:p>
              </w:tc>
              <w:tc>
                <w:tcPr>
                  <w:tcW w:w="610" w:type="pct"/>
                  <w:vAlign w:val="center"/>
                </w:tcPr>
                <w:p w14:paraId="1A3E27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40</w:t>
                  </w:r>
                </w:p>
              </w:tc>
              <w:tc>
                <w:tcPr>
                  <w:tcW w:w="627" w:type="pct"/>
                  <w:vAlign w:val="center"/>
                </w:tcPr>
                <w:p w14:paraId="50F0D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0" w:type="pct"/>
                  <w:vAlign w:val="center"/>
                </w:tcPr>
                <w:p w14:paraId="581C12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w:t>
                  </w:r>
                </w:p>
              </w:tc>
              <w:tc>
                <w:tcPr>
                  <w:tcW w:w="630" w:type="pct"/>
                  <w:vAlign w:val="center"/>
                </w:tcPr>
                <w:p w14:paraId="7DB7C8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32</w:t>
                  </w:r>
                </w:p>
              </w:tc>
              <w:tc>
                <w:tcPr>
                  <w:tcW w:w="1217" w:type="pct"/>
                  <w:vAlign w:val="center"/>
                </w:tcPr>
                <w:p w14:paraId="57B88E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化粪池</w:t>
                  </w:r>
                </w:p>
              </w:tc>
            </w:tr>
            <w:tr w14:paraId="3B6E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84" w:type="pct"/>
                  <w:vAlign w:val="center"/>
                </w:tcPr>
                <w:p w14:paraId="6025E8D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019" w:type="pct"/>
                  <w:vAlign w:val="center"/>
                </w:tcPr>
                <w:p w14:paraId="632B4C7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highlight w:val="none"/>
                      <w:lang w:val="en-US" w:eastAsia="zh-CN"/>
                    </w:rPr>
                    <w:t>清洗</w:t>
                  </w:r>
                  <w:r>
                    <w:rPr>
                      <w:rFonts w:hint="default" w:ascii="Times New Roman" w:hAnsi="Times New Roman" w:cs="Times New Roman"/>
                      <w:color w:val="auto"/>
                      <w:szCs w:val="21"/>
                      <w:highlight w:val="none"/>
                    </w:rPr>
                    <w:t>用水</w:t>
                  </w:r>
                </w:p>
              </w:tc>
              <w:tc>
                <w:tcPr>
                  <w:tcW w:w="610" w:type="pct"/>
                  <w:vAlign w:val="center"/>
                </w:tcPr>
                <w:p w14:paraId="1C79A3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0.17</w:t>
                  </w:r>
                </w:p>
              </w:tc>
              <w:tc>
                <w:tcPr>
                  <w:tcW w:w="627" w:type="pct"/>
                  <w:vAlign w:val="center"/>
                </w:tcPr>
                <w:p w14:paraId="507200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610" w:type="pct"/>
                  <w:vAlign w:val="center"/>
                </w:tcPr>
                <w:p w14:paraId="74A6A8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630" w:type="pct"/>
                  <w:vAlign w:val="center"/>
                </w:tcPr>
                <w:p w14:paraId="79195B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0.16</w:t>
                  </w:r>
                </w:p>
              </w:tc>
              <w:tc>
                <w:tcPr>
                  <w:tcW w:w="1217" w:type="pct"/>
                  <w:vAlign w:val="center"/>
                </w:tcPr>
                <w:p w14:paraId="78B8FB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2t，每20天更换一次，污水处理站</w:t>
                  </w:r>
                </w:p>
              </w:tc>
            </w:tr>
            <w:tr w14:paraId="23F2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Align w:val="center"/>
                </w:tcPr>
                <w:p w14:paraId="2ABA7A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p>
              </w:tc>
              <w:tc>
                <w:tcPr>
                  <w:tcW w:w="1019" w:type="pct"/>
                  <w:vAlign w:val="center"/>
                </w:tcPr>
                <w:p w14:paraId="4E5525D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注塑冷却</w:t>
                  </w:r>
                  <w:r>
                    <w:rPr>
                      <w:rFonts w:hint="default" w:ascii="Times New Roman" w:hAnsi="Times New Roman" w:cs="Times New Roman"/>
                      <w:color w:val="auto"/>
                      <w:szCs w:val="21"/>
                    </w:rPr>
                    <w:t>用水</w:t>
                  </w:r>
                </w:p>
              </w:tc>
              <w:tc>
                <w:tcPr>
                  <w:tcW w:w="610" w:type="pct"/>
                  <w:vAlign w:val="center"/>
                </w:tcPr>
                <w:p w14:paraId="07ACFF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0.9</w:t>
                  </w:r>
                </w:p>
              </w:tc>
              <w:tc>
                <w:tcPr>
                  <w:tcW w:w="627" w:type="pct"/>
                  <w:vAlign w:val="center"/>
                </w:tcPr>
                <w:p w14:paraId="721889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29.1</w:t>
                  </w:r>
                </w:p>
              </w:tc>
              <w:tc>
                <w:tcPr>
                  <w:tcW w:w="610" w:type="pct"/>
                  <w:vAlign w:val="center"/>
                </w:tcPr>
                <w:p w14:paraId="4FE169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0.9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30" w:type="pct"/>
                  <w:vAlign w:val="center"/>
                </w:tcPr>
                <w:p w14:paraId="53D99F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217" w:type="pct"/>
                  <w:vAlign w:val="center"/>
                </w:tcPr>
                <w:p w14:paraId="1D6BD0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25B7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Align w:val="center"/>
                </w:tcPr>
                <w:p w14:paraId="10FE10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p>
              </w:tc>
              <w:tc>
                <w:tcPr>
                  <w:tcW w:w="1019" w:type="pct"/>
                  <w:vAlign w:val="center"/>
                </w:tcPr>
                <w:p w14:paraId="322E0DA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绿化用水</w:t>
                  </w:r>
                </w:p>
              </w:tc>
              <w:tc>
                <w:tcPr>
                  <w:tcW w:w="610" w:type="pct"/>
                  <w:vAlign w:val="center"/>
                </w:tcPr>
                <w:p w14:paraId="17BB3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12.49</w:t>
                  </w:r>
                </w:p>
              </w:tc>
              <w:tc>
                <w:tcPr>
                  <w:tcW w:w="627" w:type="pct"/>
                  <w:vAlign w:val="center"/>
                </w:tcPr>
                <w:p w14:paraId="6A0D9F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w:t>
                  </w:r>
                </w:p>
              </w:tc>
              <w:tc>
                <w:tcPr>
                  <w:tcW w:w="610" w:type="pct"/>
                  <w:vAlign w:val="center"/>
                </w:tcPr>
                <w:p w14:paraId="58060B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12.49</w:t>
                  </w:r>
                </w:p>
              </w:tc>
              <w:tc>
                <w:tcPr>
                  <w:tcW w:w="630" w:type="pct"/>
                  <w:vAlign w:val="center"/>
                </w:tcPr>
                <w:p w14:paraId="649EC0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17" w:type="pct"/>
                  <w:vAlign w:val="center"/>
                </w:tcPr>
                <w:p w14:paraId="5D2E5A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植被吸收/蒸发</w:t>
                  </w:r>
                </w:p>
              </w:tc>
            </w:tr>
            <w:tr w14:paraId="7162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3" w:type="pct"/>
                  <w:gridSpan w:val="2"/>
                  <w:vAlign w:val="center"/>
                </w:tcPr>
                <w:p w14:paraId="57E70E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合计</w:t>
                  </w:r>
                </w:p>
              </w:tc>
              <w:tc>
                <w:tcPr>
                  <w:tcW w:w="610" w:type="pct"/>
                  <w:vAlign w:val="center"/>
                </w:tcPr>
                <w:p w14:paraId="399180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53.56</w:t>
                  </w:r>
                </w:p>
              </w:tc>
              <w:tc>
                <w:tcPr>
                  <w:tcW w:w="627" w:type="pct"/>
                  <w:vAlign w:val="center"/>
                </w:tcPr>
                <w:p w14:paraId="403542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eastAsia" w:cs="Times New Roman"/>
                      <w:i w:val="0"/>
                      <w:iCs w:val="0"/>
                      <w:color w:val="000000"/>
                      <w:kern w:val="0"/>
                      <w:sz w:val="21"/>
                      <w:szCs w:val="21"/>
                      <w:u w:val="none"/>
                      <w:lang w:val="en-US" w:eastAsia="zh-CN" w:bidi="ar"/>
                    </w:rPr>
                    <w:t>29.1</w:t>
                  </w:r>
                </w:p>
              </w:tc>
              <w:tc>
                <w:tcPr>
                  <w:tcW w:w="610" w:type="pct"/>
                  <w:vAlign w:val="center"/>
                </w:tcPr>
                <w:p w14:paraId="704388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21.4</w:t>
                  </w:r>
                </w:p>
              </w:tc>
              <w:tc>
                <w:tcPr>
                  <w:tcW w:w="630" w:type="pct"/>
                  <w:vAlign w:val="center"/>
                </w:tcPr>
                <w:p w14:paraId="451009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000000"/>
                      <w:kern w:val="0"/>
                      <w:sz w:val="21"/>
                      <w:szCs w:val="21"/>
                      <w:u w:val="none"/>
                      <w:lang w:val="en-US" w:eastAsia="zh-CN" w:bidi="ar"/>
                    </w:rPr>
                    <w:t>32.16</w:t>
                  </w:r>
                </w:p>
              </w:tc>
              <w:tc>
                <w:tcPr>
                  <w:tcW w:w="1217" w:type="pct"/>
                  <w:vAlign w:val="center"/>
                </w:tcPr>
                <w:p w14:paraId="17A252E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2C3B2948">
            <w:pPr>
              <w:keepNext w:val="0"/>
              <w:keepLines w:val="0"/>
              <w:suppressLineNumbers w:val="0"/>
              <w:bidi w:val="0"/>
              <w:spacing w:before="0" w:beforeAutospacing="0" w:after="0" w:afterAutospacing="0"/>
              <w:ind w:left="0" w:right="0"/>
              <w:rPr>
                <w:rFonts w:hint="eastAsia"/>
                <w:lang w:val="en-US" w:eastAsia="zh-CN"/>
              </w:rPr>
            </w:pPr>
          </w:p>
          <w:p w14:paraId="270F0F1E">
            <w:pPr>
              <w:pStyle w:val="9"/>
              <w:keepNext w:val="0"/>
              <w:keepLines w:val="0"/>
              <w:pageBreakBefore w:val="0"/>
              <w:widowControl w:val="0"/>
              <w:suppressLineNumbers w:val="0"/>
              <w:kinsoku/>
              <w:wordWrap/>
              <w:overflowPunct/>
              <w:topLinePunct w:val="0"/>
              <w:bidi w:val="0"/>
              <w:snapToGrid/>
              <w:spacing w:before="0" w:beforeAutospacing="0" w:after="0" w:afterAutospacing="0"/>
              <w:ind w:left="0" w:right="0"/>
              <w:textAlignment w:val="auto"/>
              <w:rPr>
                <w:rFonts w:hint="default" w:ascii="Times New Roman" w:hAnsi="Times New Roman" w:cs="Times New Roman"/>
              </w:rPr>
            </w:pPr>
            <w:r>
              <w:rPr>
                <w:rFonts w:hint="default"/>
                <w:sz w:val="24"/>
              </w:rPr>
              <mc:AlternateContent>
                <mc:Choice Requires="wpc">
                  <w:drawing>
                    <wp:inline distT="0" distB="0" distL="114300" distR="114300">
                      <wp:extent cx="5293995" cy="3074035"/>
                      <wp:effectExtent l="0" t="0" r="1905" b="0"/>
                      <wp:docPr id="56" name="画布 56"/>
                      <wp:cNvGraphicFramePr/>
                      <a:graphic xmlns:a="http://schemas.openxmlformats.org/drawingml/2006/main">
                        <a:graphicData uri="http://schemas.microsoft.com/office/word/2010/wordprocessingCanvas">
                          <wpc:wpc>
                            <wpc:bg>
                              <a:noFill/>
                            </wpc:bg>
                            <wpc:whole>
                              <a:ln>
                                <a:noFill/>
                              </a:ln>
                            </wpc:whole>
                            <wps:wsp>
                              <wps:cNvPr id="33" name="矩形 33"/>
                              <wps:cNvSpPr/>
                              <wps:spPr>
                                <a:xfrm>
                                  <a:off x="79375" y="1295400"/>
                                  <a:ext cx="588010" cy="250825"/>
                                </a:xfrm>
                                <a:prstGeom prst="rect">
                                  <a:avLst/>
                                </a:prstGeom>
                                <a:noFill/>
                                <a:ln w="15875" cap="flat" cmpd="sng" algn="ctr">
                                  <a:solidFill>
                                    <a:srgbClr val="000000"/>
                                  </a:solidFill>
                                  <a:prstDash val="solid"/>
                                  <a:miter lim="800000"/>
                                </a:ln>
                                <a:effectLst/>
                              </wps:spPr>
                              <wps:txbx>
                                <w:txbxContent>
                                  <w:p w14:paraId="2058CA81">
                                    <w:pPr>
                                      <w:jc w:val="center"/>
                                      <w:rPr>
                                        <w:rFonts w:hint="eastAsia"/>
                                        <w:color w:val="000000"/>
                                      </w:rPr>
                                    </w:pPr>
                                    <w:r>
                                      <w:rPr>
                                        <w:rFonts w:hint="eastAsia"/>
                                        <w:color w:val="000000"/>
                                      </w:rPr>
                                      <w:t>新鲜水</w:t>
                                    </w:r>
                                  </w:p>
                                </w:txbxContent>
                              </wps:txbx>
                              <wps:bodyPr rot="0" spcFirstLastPara="0" vertOverflow="overflow" horzOverflow="overflow" vert="horz" wrap="square" lIns="0" tIns="0" rIns="0" bIns="0" numCol="1" spcCol="0" rtlCol="0" fromWordArt="0" anchor="ctr" anchorCtr="0" forceAA="0" compatLnSpc="1">
                                <a:noAutofit/>
                              </wps:bodyPr>
                            </wps:wsp>
                            <wps:wsp>
                              <wps:cNvPr id="103" name="矩形 103"/>
                              <wps:cNvSpPr/>
                              <wps:spPr>
                                <a:xfrm>
                                  <a:off x="2708910" y="775970"/>
                                  <a:ext cx="624205" cy="351155"/>
                                </a:xfrm>
                                <a:prstGeom prst="rect">
                                  <a:avLst/>
                                </a:prstGeom>
                                <a:noFill/>
                                <a:ln w="15875" cap="flat" cmpd="sng" algn="ctr">
                                  <a:solidFill>
                                    <a:srgbClr val="000000"/>
                                  </a:solidFill>
                                  <a:prstDash val="solid"/>
                                  <a:miter lim="800000"/>
                                </a:ln>
                                <a:effectLst/>
                              </wps:spPr>
                              <wps:txbx>
                                <w:txbxContent>
                                  <w:p w14:paraId="6ACC350E">
                                    <w:pPr>
                                      <w:jc w:val="center"/>
                                    </w:pPr>
                                    <w:r>
                                      <w:rPr>
                                        <w:rFonts w:hint="eastAsia"/>
                                        <w:lang w:val="en-US" w:eastAsia="zh-CN"/>
                                      </w:rPr>
                                      <w:t>清洗用水</w:t>
                                    </w:r>
                                  </w:p>
                                </w:txbxContent>
                              </wps:txbx>
                              <wps:bodyPr rot="0" spcFirstLastPara="0" vertOverflow="overflow" horzOverflow="overflow" vert="horz" wrap="square" lIns="0" tIns="0" rIns="0" bIns="0" numCol="1" spcCol="0" rtlCol="0" fromWordArt="0" anchor="ctr" anchorCtr="0" forceAA="0" compatLnSpc="1">
                                <a:noAutofit/>
                              </wps:bodyPr>
                            </wps:wsp>
                            <wps:wsp>
                              <wps:cNvPr id="104" name="矩形 104"/>
                              <wps:cNvSpPr/>
                              <wps:spPr>
                                <a:xfrm>
                                  <a:off x="1704975" y="245110"/>
                                  <a:ext cx="838200" cy="288925"/>
                                </a:xfrm>
                                <a:prstGeom prst="rect">
                                  <a:avLst/>
                                </a:prstGeom>
                                <a:noFill/>
                                <a:ln w="15875" cap="flat" cmpd="sng" algn="ctr">
                                  <a:solidFill>
                                    <a:srgbClr val="000000"/>
                                  </a:solidFill>
                                  <a:prstDash val="solid"/>
                                  <a:miter lim="800000"/>
                                </a:ln>
                                <a:effectLst/>
                              </wps:spPr>
                              <wps:txbx>
                                <w:txbxContent>
                                  <w:p w14:paraId="51F23B71">
                                    <w:pPr>
                                      <w:jc w:val="center"/>
                                      <w:rPr>
                                        <w:rFonts w:hint="eastAsia"/>
                                        <w:color w:val="000000"/>
                                      </w:rPr>
                                    </w:pPr>
                                    <w:r>
                                      <w:rPr>
                                        <w:rFonts w:hint="eastAsia"/>
                                        <w:color w:val="000000"/>
                                        <w:lang w:val="en-US" w:eastAsia="zh-CN"/>
                                      </w:rPr>
                                      <w:t>生活</w:t>
                                    </w:r>
                                    <w:r>
                                      <w:rPr>
                                        <w:rFonts w:hint="eastAsia"/>
                                        <w:color w:val="000000"/>
                                      </w:rPr>
                                      <w:t>用水</w:t>
                                    </w:r>
                                  </w:p>
                                </w:txbxContent>
                              </wps:txbx>
                              <wps:bodyPr rot="0" spcFirstLastPara="0" vertOverflow="overflow" horzOverflow="overflow" vert="horz" wrap="square" lIns="0" tIns="0" rIns="0" bIns="0" numCol="1" spcCol="0" rtlCol="0" fromWordArt="0" anchor="ctr" anchorCtr="0" forceAA="0" compatLnSpc="1">
                                <a:noAutofit/>
                              </wps:bodyPr>
                            </wps:wsp>
                            <wps:wsp>
                              <wps:cNvPr id="105" name="矩形 105"/>
                              <wps:cNvSpPr/>
                              <wps:spPr>
                                <a:xfrm>
                                  <a:off x="1654175" y="1901190"/>
                                  <a:ext cx="1177925" cy="288925"/>
                                </a:xfrm>
                                <a:prstGeom prst="rect">
                                  <a:avLst/>
                                </a:prstGeom>
                                <a:noFill/>
                                <a:ln w="15875" cap="flat" cmpd="sng" algn="ctr">
                                  <a:solidFill>
                                    <a:srgbClr val="000000"/>
                                  </a:solidFill>
                                  <a:prstDash val="solid"/>
                                  <a:miter lim="800000"/>
                                </a:ln>
                                <a:effectLst/>
                              </wps:spPr>
                              <wps:txbx>
                                <w:txbxContent>
                                  <w:p w14:paraId="708434EE">
                                    <w:pPr>
                                      <w:jc w:val="center"/>
                                      <w:rPr>
                                        <w:rFonts w:hint="eastAsia"/>
                                        <w:color w:val="000000"/>
                                      </w:rPr>
                                    </w:pPr>
                                    <w:r>
                                      <w:rPr>
                                        <w:rFonts w:hint="eastAsia"/>
                                        <w:color w:val="000000"/>
                                        <w:lang w:val="en-US" w:eastAsia="zh-CN"/>
                                      </w:rPr>
                                      <w:t>注塑冷却水</w:t>
                                    </w:r>
                                  </w:p>
                                </w:txbxContent>
                              </wps:txbx>
                              <wps:bodyPr rot="0" spcFirstLastPara="0" vertOverflow="overflow" horzOverflow="overflow" vert="horz" wrap="square" lIns="0" tIns="0" rIns="0" bIns="0" numCol="1" spcCol="0" rtlCol="0" fromWordArt="0" anchor="ctr" anchorCtr="0" forceAA="0" compatLnSpc="1">
                                <a:noAutofit/>
                              </wps:bodyPr>
                            </wps:wsp>
                            <wps:wsp>
                              <wps:cNvPr id="34" name="直接箭头连接符 34"/>
                              <wps:cNvCnPr/>
                              <wps:spPr>
                                <a:xfrm>
                                  <a:off x="694055" y="1452245"/>
                                  <a:ext cx="468000" cy="1270"/>
                                </a:xfrm>
                                <a:prstGeom prst="straightConnector1">
                                  <a:avLst/>
                                </a:prstGeom>
                                <a:ln w="15875" cap="flat" cmpd="sng">
                                  <a:solidFill>
                                    <a:srgbClr val="000000"/>
                                  </a:solidFill>
                                  <a:prstDash val="solid"/>
                                  <a:miter/>
                                  <a:headEnd type="none" w="med" len="med"/>
                                  <a:tailEnd type="arrow" w="med" len="med"/>
                                </a:ln>
                              </wps:spPr>
                              <wps:bodyPr/>
                            </wps:wsp>
                            <wps:wsp>
                              <wps:cNvPr id="121" name="矩形 121"/>
                              <wps:cNvSpPr/>
                              <wps:spPr>
                                <a:xfrm>
                                  <a:off x="1272540" y="109220"/>
                                  <a:ext cx="346075" cy="216535"/>
                                </a:xfrm>
                                <a:prstGeom prst="rect">
                                  <a:avLst/>
                                </a:prstGeom>
                                <a:noFill/>
                                <a:ln w="12700" cap="flat" cmpd="sng" algn="ctr">
                                  <a:noFill/>
                                  <a:prstDash val="solid"/>
                                  <a:miter lim="800000"/>
                                </a:ln>
                                <a:effectLst/>
                              </wps:spPr>
                              <wps:txbx>
                                <w:txbxContent>
                                  <w:p w14:paraId="32F2DF70">
                                    <w:pPr>
                                      <w:jc w:val="center"/>
                                    </w:pPr>
                                    <w:r>
                                      <w:rPr>
                                        <w:rFonts w:hint="eastAsia"/>
                                        <w:color w:val="000000"/>
                                        <w:lang w:val="en-US" w:eastAsia="zh-CN"/>
                                      </w:rPr>
                                      <w:t>40</w:t>
                                    </w:r>
                                    <w:r>
                                      <w:rPr>
                                        <w:rFonts w:hint="eastAsia"/>
                                        <w:color w:val="000000"/>
                                      </w:rPr>
                                      <w:t>.00</w:t>
                                    </w:r>
                                  </w:p>
                                </w:txbxContent>
                              </wps:txbx>
                              <wps:bodyPr rot="0" spcFirstLastPara="0" vertOverflow="overflow" horzOverflow="overflow" vert="horz" wrap="square" lIns="0" tIns="0" rIns="0" bIns="0" numCol="1" spcCol="0" rtlCol="0" fromWordArt="0" anchor="ctr" anchorCtr="0" forceAA="0" compatLnSpc="1">
                                <a:noAutofit/>
                              </wps:bodyPr>
                            </wps:wsp>
                            <wps:wsp>
                              <wps:cNvPr id="123" name="矩形 123"/>
                              <wps:cNvSpPr/>
                              <wps:spPr>
                                <a:xfrm>
                                  <a:off x="1167765" y="771525"/>
                                  <a:ext cx="419735" cy="259080"/>
                                </a:xfrm>
                                <a:prstGeom prst="rect">
                                  <a:avLst/>
                                </a:prstGeom>
                                <a:noFill/>
                                <a:ln w="12700" cap="flat" cmpd="sng" algn="ctr">
                                  <a:noFill/>
                                  <a:prstDash val="solid"/>
                                  <a:miter lim="800000"/>
                                </a:ln>
                                <a:effectLst/>
                              </wps:spPr>
                              <wps:txbx>
                                <w:txbxContent>
                                  <w:p w14:paraId="1F99C4C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0.17</w:t>
                                    </w:r>
                                  </w:p>
                                </w:txbxContent>
                              </wps:txbx>
                              <wps:bodyPr rot="0" spcFirstLastPara="0" vertOverflow="overflow" horzOverflow="overflow" vert="horz" wrap="square" lIns="0" tIns="0" rIns="0" bIns="0" numCol="1" spcCol="0" rtlCol="0" fromWordArt="0" anchor="ctr" anchorCtr="0" forceAA="0" compatLnSpc="1">
                                <a:noAutofit/>
                              </wps:bodyPr>
                            </wps:wsp>
                            <wps:wsp>
                              <wps:cNvPr id="124" name="矩形 124"/>
                              <wps:cNvSpPr/>
                              <wps:spPr>
                                <a:xfrm>
                                  <a:off x="1181100" y="1724660"/>
                                  <a:ext cx="346075" cy="216535"/>
                                </a:xfrm>
                                <a:prstGeom prst="rect">
                                  <a:avLst/>
                                </a:prstGeom>
                                <a:noFill/>
                                <a:ln w="12700" cap="flat" cmpd="sng" algn="ctr">
                                  <a:noFill/>
                                  <a:prstDash val="solid"/>
                                  <a:miter lim="800000"/>
                                </a:ln>
                                <a:effectLst/>
                              </wps:spPr>
                              <wps:txbx>
                                <w:txbxContent>
                                  <w:p w14:paraId="7C7EF33A">
                                    <w:pPr>
                                      <w:jc w:val="center"/>
                                      <w:rPr>
                                        <w:rFonts w:hint="default" w:eastAsia="宋体"/>
                                        <w:lang w:val="en-US" w:eastAsia="zh-CN"/>
                                      </w:rPr>
                                    </w:pPr>
                                    <w:r>
                                      <w:rPr>
                                        <w:rFonts w:hint="eastAsia"/>
                                        <w:lang w:val="en-US" w:eastAsia="zh-CN"/>
                                      </w:rPr>
                                      <w:t>0.90</w:t>
                                    </w:r>
                                  </w:p>
                                </w:txbxContent>
                              </wps:txbx>
                              <wps:bodyPr rot="0" spcFirstLastPara="0" vertOverflow="overflow" horzOverflow="overflow" vert="horz" wrap="square" lIns="0" tIns="0" rIns="0" bIns="0" numCol="1" spcCol="0" rtlCol="0" fromWordArt="0" anchor="ctr" anchorCtr="0" forceAA="0" compatLnSpc="1">
                                <a:noAutofit/>
                              </wps:bodyPr>
                            </wps:wsp>
                            <wps:wsp>
                              <wps:cNvPr id="36" name="矩形 36"/>
                              <wps:cNvSpPr/>
                              <wps:spPr>
                                <a:xfrm>
                                  <a:off x="722630" y="1126490"/>
                                  <a:ext cx="387985" cy="216535"/>
                                </a:xfrm>
                                <a:prstGeom prst="rect">
                                  <a:avLst/>
                                </a:prstGeom>
                                <a:noFill/>
                                <a:ln w="12700">
                                  <a:noFill/>
                                </a:ln>
                              </wps:spPr>
                              <wps:txbx>
                                <w:txbxContent>
                                  <w:p w14:paraId="340222B4">
                                    <w:pPr>
                                      <w:rPr>
                                        <w:rFonts w:hint="default" w:eastAsia="宋体"/>
                                        <w:color w:val="000000"/>
                                        <w:lang w:val="en-US" w:eastAsia="zh-CN"/>
                                      </w:rPr>
                                    </w:pPr>
                                    <w:r>
                                      <w:rPr>
                                        <w:rFonts w:hint="eastAsia"/>
                                        <w:color w:val="000000"/>
                                        <w:lang w:val="en-US" w:eastAsia="zh-CN"/>
                                      </w:rPr>
                                      <w:t>53.56</w:t>
                                    </w:r>
                                  </w:p>
                                </w:txbxContent>
                              </wps:txbx>
                              <wps:bodyPr lIns="0" tIns="0" rIns="0" bIns="0" anchor="ctr" anchorCtr="0" upright="1"/>
                            </wps:wsp>
                            <wps:wsp>
                              <wps:cNvPr id="126" name="任意多边形 126"/>
                              <wps:cNvSpPr>
                                <a:spLocks noChangeAspect="1"/>
                              </wps:cNvSpPr>
                              <wps:spPr>
                                <a:xfrm>
                                  <a:off x="2228851" y="64135"/>
                                  <a:ext cx="373380" cy="18669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127" name="任意多边形 127"/>
                              <wps:cNvSpPr>
                                <a:spLocks noChangeAspect="1"/>
                              </wps:cNvSpPr>
                              <wps:spPr>
                                <a:xfrm>
                                  <a:off x="3026410" y="594995"/>
                                  <a:ext cx="330200" cy="16510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129" name="矩形 129"/>
                              <wps:cNvSpPr/>
                              <wps:spPr>
                                <a:xfrm>
                                  <a:off x="2597151" y="0"/>
                                  <a:ext cx="346075" cy="216535"/>
                                </a:xfrm>
                                <a:prstGeom prst="rect">
                                  <a:avLst/>
                                </a:prstGeom>
                                <a:noFill/>
                                <a:ln w="12700" cap="flat" cmpd="sng" algn="ctr">
                                  <a:noFill/>
                                  <a:prstDash val="solid"/>
                                  <a:miter lim="800000"/>
                                </a:ln>
                                <a:effectLst/>
                              </wps:spPr>
                              <wps:txbx>
                                <w:txbxContent>
                                  <w:p w14:paraId="005B22E8">
                                    <w:r>
                                      <w:rPr>
                                        <w:rFonts w:hint="eastAsia"/>
                                        <w:lang w:val="en-US" w:eastAsia="zh-CN"/>
                                      </w:rPr>
                                      <w:t>8</w:t>
                                    </w:r>
                                    <w:r>
                                      <w:rPr>
                                        <w:rFonts w:hint="eastAsia"/>
                                      </w:rPr>
                                      <w:t>.00</w:t>
                                    </w:r>
                                  </w:p>
                                </w:txbxContent>
                              </wps:txbx>
                              <wps:bodyPr rot="0" spcFirstLastPara="0" vertOverflow="overflow" horzOverflow="overflow" vert="horz" wrap="square" lIns="0" tIns="0" rIns="0" bIns="0" numCol="1" spcCol="0" rtlCol="0" fromWordArt="0" anchor="ctr" anchorCtr="0" forceAA="0" compatLnSpc="1">
                                <a:noAutofit/>
                              </wps:bodyPr>
                            </wps:wsp>
                            <wps:wsp>
                              <wps:cNvPr id="130" name="矩形 130"/>
                              <wps:cNvSpPr/>
                              <wps:spPr>
                                <a:xfrm>
                                  <a:off x="3319780" y="509270"/>
                                  <a:ext cx="346075" cy="216535"/>
                                </a:xfrm>
                                <a:prstGeom prst="rect">
                                  <a:avLst/>
                                </a:prstGeom>
                                <a:noFill/>
                                <a:ln w="12700" cap="flat" cmpd="sng" algn="ctr">
                                  <a:noFill/>
                                  <a:prstDash val="solid"/>
                                  <a:miter lim="800000"/>
                                </a:ln>
                                <a:effectLst/>
                              </wps:spPr>
                              <wps:txbx>
                                <w:txbxContent>
                                  <w:p w14:paraId="3DBC63E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xbxContent>
                              </wps:txbx>
                              <wps:bodyPr rot="0" spcFirstLastPara="0" vertOverflow="overflow" horzOverflow="overflow" vert="horz" wrap="square" lIns="0" tIns="0" rIns="0" bIns="0" numCol="1" spcCol="0" rtlCol="0" fromWordArt="0" anchor="ctr" anchorCtr="0" forceAA="0" compatLnSpc="1">
                                <a:noAutofit/>
                              </wps:bodyPr>
                            </wps:wsp>
                            <wps:wsp>
                              <wps:cNvPr id="131" name="矩形 131"/>
                              <wps:cNvSpPr/>
                              <wps:spPr>
                                <a:xfrm>
                                  <a:off x="2904490" y="1584325"/>
                                  <a:ext cx="346075" cy="216535"/>
                                </a:xfrm>
                                <a:prstGeom prst="rect">
                                  <a:avLst/>
                                </a:prstGeom>
                                <a:noFill/>
                                <a:ln w="12700" cap="flat" cmpd="sng" algn="ctr">
                                  <a:noFill/>
                                  <a:prstDash val="solid"/>
                                  <a:miter lim="800000"/>
                                </a:ln>
                                <a:effectLst/>
                              </wps:spPr>
                              <wps:txbx>
                                <w:txbxContent>
                                  <w:p w14:paraId="58A91F6D">
                                    <w:pPr>
                                      <w:jc w:val="center"/>
                                      <w:rPr>
                                        <w:rFonts w:hint="default" w:eastAsia="宋体"/>
                                        <w:lang w:val="en-US" w:eastAsia="zh-CN"/>
                                      </w:rPr>
                                    </w:pPr>
                                    <w:r>
                                      <w:rPr>
                                        <w:rFonts w:hint="eastAsia"/>
                                        <w:lang w:val="en-US" w:eastAsia="zh-CN"/>
                                      </w:rPr>
                                      <w:t>0.90</w:t>
                                    </w:r>
                                  </w:p>
                                </w:txbxContent>
                              </wps:txbx>
                              <wps:bodyPr rot="0" spcFirstLastPara="0" vertOverflow="overflow" horzOverflow="overflow" vert="horz" wrap="square" lIns="0" tIns="0" rIns="0" bIns="0" numCol="1" spcCol="0" rtlCol="0" fromWordArt="0" anchor="ctr" anchorCtr="0" forceAA="0" compatLnSpc="1">
                                <a:noAutofit/>
                              </wps:bodyPr>
                            </wps:wsp>
                            <wps:wsp>
                              <wps:cNvPr id="38" name="矩形 38"/>
                              <wps:cNvSpPr/>
                              <wps:spPr>
                                <a:xfrm>
                                  <a:off x="3871595" y="760095"/>
                                  <a:ext cx="513080" cy="387985"/>
                                </a:xfrm>
                                <a:prstGeom prst="rect">
                                  <a:avLst/>
                                </a:prstGeom>
                                <a:noFill/>
                                <a:ln w="15875" cap="flat" cmpd="sng" algn="ctr">
                                  <a:solidFill>
                                    <a:srgbClr val="000000"/>
                                  </a:solidFill>
                                  <a:prstDash val="solid"/>
                                  <a:miter lim="800000"/>
                                </a:ln>
                                <a:effectLst/>
                              </wps:spPr>
                              <wps:txbx>
                                <w:txbxContent>
                                  <w:p w14:paraId="7B7140AD">
                                    <w:pPr>
                                      <w:jc w:val="center"/>
                                      <w:rPr>
                                        <w:rFonts w:hint="default" w:eastAsia="宋体"/>
                                        <w:lang w:val="en-US" w:eastAsia="zh-CN"/>
                                      </w:rPr>
                                    </w:pPr>
                                    <w:r>
                                      <w:rPr>
                                        <w:rFonts w:hint="eastAsia"/>
                                        <w:szCs w:val="21"/>
                                        <w:lang w:val="en-US" w:eastAsia="zh-CN"/>
                                      </w:rPr>
                                      <w:t>废水处理站</w:t>
                                    </w:r>
                                  </w:p>
                                </w:txbxContent>
                              </wps:txbx>
                              <wps:bodyPr rot="0" spcFirstLastPara="0" vertOverflow="overflow" horzOverflow="overflow" vert="horz" wrap="square" lIns="0" tIns="0" rIns="0" bIns="0" numCol="1" spcCol="0" rtlCol="0" fromWordArt="0" anchor="ctr" anchorCtr="0" forceAA="0" compatLnSpc="1">
                                <a:noAutofit/>
                              </wps:bodyPr>
                            </wps:wsp>
                            <wps:wsp>
                              <wps:cNvPr id="40" name="矩形 40"/>
                              <wps:cNvSpPr/>
                              <wps:spPr>
                                <a:xfrm>
                                  <a:off x="1740535" y="2283460"/>
                                  <a:ext cx="346075" cy="216535"/>
                                </a:xfrm>
                                <a:prstGeom prst="rect">
                                  <a:avLst/>
                                </a:prstGeom>
                                <a:noFill/>
                                <a:ln w="12700" cap="flat" cmpd="sng" algn="ctr">
                                  <a:noFill/>
                                  <a:prstDash val="solid"/>
                                  <a:miter lim="800000"/>
                                </a:ln>
                                <a:effectLst/>
                              </wps:spPr>
                              <wps:txbx>
                                <w:txbxContent>
                                  <w:p w14:paraId="33EBEBC0">
                                    <w:pPr>
                                      <w:jc w:val="center"/>
                                      <w:rPr>
                                        <w:rFonts w:hint="default" w:eastAsia="宋体"/>
                                        <w:lang w:val="en-US" w:eastAsia="zh-CN"/>
                                      </w:rPr>
                                    </w:pPr>
                                    <w:r>
                                      <w:rPr>
                                        <w:rFonts w:hint="eastAsia"/>
                                        <w:lang w:val="en-US" w:eastAsia="zh-CN"/>
                                      </w:rPr>
                                      <w:t>29.1</w:t>
                                    </w:r>
                                  </w:p>
                                </w:txbxContent>
                              </wps:txbx>
                              <wps:bodyPr rot="0" spcFirstLastPara="0" vertOverflow="overflow" horzOverflow="overflow" vert="horz" wrap="square" lIns="0" tIns="0" rIns="0" bIns="0" numCol="1" spcCol="0" rtlCol="0" fromWordArt="0" anchor="ctr" anchorCtr="0" forceAA="0" compatLnSpc="1">
                                <a:noAutofit/>
                              </wps:bodyPr>
                            </wps:wsp>
                            <wps:wsp>
                              <wps:cNvPr id="41" name="矩形 41"/>
                              <wps:cNvSpPr/>
                              <wps:spPr>
                                <a:xfrm>
                                  <a:off x="4333240" y="701040"/>
                                  <a:ext cx="461645" cy="227330"/>
                                </a:xfrm>
                                <a:prstGeom prst="rect">
                                  <a:avLst/>
                                </a:prstGeom>
                                <a:noFill/>
                                <a:ln w="12700" cap="flat" cmpd="sng" algn="ctr">
                                  <a:noFill/>
                                  <a:prstDash val="solid"/>
                                  <a:miter lim="800000"/>
                                </a:ln>
                                <a:effectLst/>
                              </wps:spPr>
                              <wps:txbx>
                                <w:txbxContent>
                                  <w:p w14:paraId="5256BF2D">
                                    <w:pPr>
                                      <w:jc w:val="center"/>
                                      <w:rPr>
                                        <w:rFonts w:hint="default" w:eastAsia="宋体"/>
                                        <w:lang w:val="en-US" w:eastAsia="zh-CN"/>
                                      </w:rPr>
                                    </w:pPr>
                                    <w:r>
                                      <w:rPr>
                                        <w:rFonts w:hint="eastAsia"/>
                                        <w:lang w:val="en-US" w:eastAsia="zh-CN"/>
                                      </w:rPr>
                                      <w:t>0.09</w:t>
                                    </w:r>
                                  </w:p>
                                </w:txbxContent>
                              </wps:txbx>
                              <wps:bodyPr rot="0" spcFirstLastPara="0" vertOverflow="overflow" horzOverflow="overflow" vert="horz" wrap="square" lIns="0" tIns="0" rIns="0" bIns="0" numCol="1" spcCol="0" rtlCol="0" fromWordArt="0" anchor="ctr" anchorCtr="0" forceAA="0" compatLnSpc="1">
                                <a:noAutofit/>
                              </wps:bodyPr>
                            </wps:wsp>
                            <wps:wsp>
                              <wps:cNvPr id="42" name="矩形 42"/>
                              <wps:cNvSpPr/>
                              <wps:spPr>
                                <a:xfrm>
                                  <a:off x="2997200" y="139700"/>
                                  <a:ext cx="346075" cy="216535"/>
                                </a:xfrm>
                                <a:prstGeom prst="rect">
                                  <a:avLst/>
                                </a:prstGeom>
                                <a:noFill/>
                                <a:ln w="12700" cap="flat" cmpd="sng" algn="ctr">
                                  <a:noFill/>
                                  <a:prstDash val="solid"/>
                                  <a:miter lim="800000"/>
                                </a:ln>
                                <a:effectLst/>
                              </wps:spPr>
                              <wps:txbx>
                                <w:txbxContent>
                                  <w:p w14:paraId="09ECDD99">
                                    <w:pPr>
                                      <w:jc w:val="center"/>
                                      <w:rPr>
                                        <w:rFonts w:hint="default" w:eastAsia="宋体"/>
                                        <w:lang w:val="en-US" w:eastAsia="zh-CN"/>
                                      </w:rPr>
                                    </w:pPr>
                                    <w:r>
                                      <w:rPr>
                                        <w:rFonts w:hint="eastAsia"/>
                                        <w:lang w:val="en-US" w:eastAsia="zh-CN"/>
                                      </w:rPr>
                                      <w:t>32.00</w:t>
                                    </w:r>
                                  </w:p>
                                </w:txbxContent>
                              </wps:txbx>
                              <wps:bodyPr rot="0" spcFirstLastPara="0" vertOverflow="overflow" horzOverflow="overflow" vert="horz" wrap="square" lIns="0" tIns="0" rIns="0" bIns="0" numCol="1" spcCol="0" rtlCol="0" fromWordArt="0" anchor="ctr" anchorCtr="0" forceAA="0" compatLnSpc="1">
                                <a:noAutofit/>
                              </wps:bodyPr>
                            </wps:wsp>
                            <wps:wsp>
                              <wps:cNvPr id="45" name="任意多边形 45"/>
                              <wps:cNvSpPr>
                                <a:spLocks noChangeAspect="1"/>
                              </wps:cNvSpPr>
                              <wps:spPr>
                                <a:xfrm>
                                  <a:off x="2559050" y="1710690"/>
                                  <a:ext cx="330200" cy="16510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46" name="矩形 46"/>
                              <wps:cNvSpPr/>
                              <wps:spPr>
                                <a:xfrm>
                                  <a:off x="2581910" y="2369820"/>
                                  <a:ext cx="398145" cy="247650"/>
                                </a:xfrm>
                                <a:prstGeom prst="rect">
                                  <a:avLst/>
                                </a:prstGeom>
                                <a:noFill/>
                                <a:ln w="12700" cap="flat" cmpd="sng" algn="ctr">
                                  <a:noFill/>
                                  <a:prstDash val="solid"/>
                                  <a:miter lim="800000"/>
                                </a:ln>
                                <a:effectLst/>
                              </wps:spPr>
                              <wps:txbx>
                                <w:txbxContent>
                                  <w:p w14:paraId="35A71472">
                                    <w:pPr>
                                      <w:jc w:val="center"/>
                                      <w:rPr>
                                        <w:rFonts w:hint="default" w:eastAsia="宋体"/>
                                        <w:lang w:val="en-US" w:eastAsia="zh-CN"/>
                                      </w:rPr>
                                    </w:pPr>
                                    <w:r>
                                      <w:rPr>
                                        <w:rFonts w:hint="eastAsia"/>
                                        <w:lang w:val="en-US" w:eastAsia="zh-CN"/>
                                      </w:rPr>
                                      <w:t>12.49</w:t>
                                    </w:r>
                                  </w:p>
                                </w:txbxContent>
                              </wps:txbx>
                              <wps:bodyPr rot="0" spcFirstLastPara="0" vertOverflow="overflow" horzOverflow="overflow" vert="horz" wrap="square" lIns="0" tIns="0" rIns="0" bIns="0" numCol="1" spcCol="0" rtlCol="0" fromWordArt="0" anchor="ctr" anchorCtr="0" forceAA="0" compatLnSpc="1">
                                <a:noAutofit/>
                              </wps:bodyPr>
                            </wps:wsp>
                            <wps:wsp>
                              <wps:cNvPr id="48" name="矩形 48"/>
                              <wps:cNvSpPr/>
                              <wps:spPr>
                                <a:xfrm>
                                  <a:off x="1190625" y="2505710"/>
                                  <a:ext cx="346075" cy="216535"/>
                                </a:xfrm>
                                <a:prstGeom prst="rect">
                                  <a:avLst/>
                                </a:prstGeom>
                                <a:noFill/>
                                <a:ln w="12700" cap="flat" cmpd="sng" algn="ctr">
                                  <a:noFill/>
                                  <a:prstDash val="solid"/>
                                  <a:miter lim="800000"/>
                                </a:ln>
                                <a:effectLst/>
                              </wps:spPr>
                              <wps:txbx>
                                <w:txbxContent>
                                  <w:p w14:paraId="261BA94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12.49</w:t>
                                    </w:r>
                                  </w:p>
                                </w:txbxContent>
                              </wps:txbx>
                              <wps:bodyPr rot="0" spcFirstLastPara="0" vertOverflow="overflow" horzOverflow="overflow" vert="horz" wrap="square" lIns="0" tIns="0" rIns="0" bIns="0" numCol="1" spcCol="0" rtlCol="0" fromWordArt="0" anchor="ctr" anchorCtr="0" forceAA="0" compatLnSpc="1">
                                <a:noAutofit/>
                              </wps:bodyPr>
                            </wps:wsp>
                            <wpg:wgp>
                              <wpg:cNvPr id="52" name="组合 52"/>
                              <wpg:cNvGrpSpPr/>
                              <wpg:grpSpPr>
                                <a:xfrm>
                                  <a:off x="1391285" y="2155825"/>
                                  <a:ext cx="991870" cy="150495"/>
                                  <a:chOff x="4618" y="6981"/>
                                  <a:chExt cx="1562" cy="237"/>
                                </a:xfrm>
                              </wpg:grpSpPr>
                              <wps:wsp>
                                <wps:cNvPr id="50" name="直接连接符 50"/>
                                <wps:cNvCnPr/>
                                <wps:spPr>
                                  <a:xfrm flipH="1">
                                    <a:off x="6147" y="7048"/>
                                    <a:ext cx="0" cy="170"/>
                                  </a:xfrm>
                                  <a:prstGeom prst="line">
                                    <a:avLst/>
                                  </a:prstGeom>
                                  <a:ln w="15875" cap="flat" cmpd="sng">
                                    <a:solidFill>
                                      <a:srgbClr val="000000"/>
                                    </a:solidFill>
                                    <a:prstDash val="dash"/>
                                    <a:miter/>
                                    <a:headEnd type="none" w="med" len="med"/>
                                    <a:tailEnd type="none" w="med" len="med"/>
                                  </a:ln>
                                </wps:spPr>
                                <wps:bodyPr upright="1"/>
                              </wps:wsp>
                              <wps:wsp>
                                <wps:cNvPr id="51" name="直接箭头连接符 51"/>
                                <wps:cNvCnPr/>
                                <wps:spPr>
                                  <a:xfrm flipH="1">
                                    <a:off x="4650" y="7198"/>
                                    <a:ext cx="1530" cy="0"/>
                                  </a:xfrm>
                                  <a:prstGeom prst="straightConnector1">
                                    <a:avLst/>
                                  </a:prstGeom>
                                  <a:ln w="15875" cap="flat" cmpd="sng">
                                    <a:solidFill>
                                      <a:srgbClr val="000000"/>
                                    </a:solidFill>
                                    <a:prstDash val="dash"/>
                                    <a:miter/>
                                    <a:headEnd type="none" w="med" len="med"/>
                                    <a:tailEnd type="none" w="med" len="med"/>
                                  </a:ln>
                                </wps:spPr>
                                <wps:bodyPr/>
                              </wps:wsp>
                              <wps:wsp>
                                <wps:cNvPr id="63" name="直接连接符 63"/>
                                <wps:cNvCnPr/>
                                <wps:spPr>
                                  <a:xfrm flipH="1">
                                    <a:off x="4632" y="6998"/>
                                    <a:ext cx="0" cy="170"/>
                                  </a:xfrm>
                                  <a:prstGeom prst="line">
                                    <a:avLst/>
                                  </a:prstGeom>
                                  <a:ln w="15875" cap="flat" cmpd="sng">
                                    <a:solidFill>
                                      <a:srgbClr val="000000"/>
                                    </a:solidFill>
                                    <a:prstDash val="dash"/>
                                    <a:miter/>
                                    <a:headEnd type="none" w="med" len="med"/>
                                    <a:tailEnd type="none" w="med" len="med"/>
                                  </a:ln>
                                </wps:spPr>
                                <wps:bodyPr upright="1"/>
                              </wps:wsp>
                              <wps:wsp>
                                <wps:cNvPr id="64" name="直接箭头连接符 64"/>
                                <wps:cNvCnPr/>
                                <wps:spPr>
                                  <a:xfrm flipH="1">
                                    <a:off x="4618" y="6981"/>
                                    <a:ext cx="397" cy="0"/>
                                  </a:xfrm>
                                  <a:prstGeom prst="straightConnector1">
                                    <a:avLst/>
                                  </a:prstGeom>
                                  <a:ln w="15875" cap="flat" cmpd="sng">
                                    <a:solidFill>
                                      <a:srgbClr val="000000"/>
                                    </a:solidFill>
                                    <a:prstDash val="dash"/>
                                    <a:miter/>
                                    <a:headEnd type="triangle" w="med" len="med"/>
                                    <a:tailEnd type="none" w="med" len="med"/>
                                  </a:ln>
                                </wps:spPr>
                                <wps:bodyPr/>
                              </wps:wsp>
                            </wpg:wgp>
                            <wps:wsp>
                              <wps:cNvPr id="54" name="矩形 54"/>
                              <wps:cNvSpPr/>
                              <wps:spPr>
                                <a:xfrm>
                                  <a:off x="1671955" y="2667635"/>
                                  <a:ext cx="765175" cy="288925"/>
                                </a:xfrm>
                                <a:prstGeom prst="rect">
                                  <a:avLst/>
                                </a:prstGeom>
                                <a:noFill/>
                                <a:ln w="15875" cap="flat" cmpd="sng" algn="ctr">
                                  <a:solidFill>
                                    <a:srgbClr val="000000"/>
                                  </a:solidFill>
                                  <a:prstDash val="solid"/>
                                  <a:miter lim="800000"/>
                                </a:ln>
                                <a:effectLst/>
                              </wps:spPr>
                              <wps:txbx>
                                <w:txbxContent>
                                  <w:p w14:paraId="0662BE57">
                                    <w:pPr>
                                      <w:rPr>
                                        <w:rFonts w:hint="eastAsia" w:eastAsia="宋体"/>
                                        <w:lang w:val="en-US" w:eastAsia="zh-CN"/>
                                      </w:rPr>
                                    </w:pPr>
                                    <w:r>
                                      <w:rPr>
                                        <w:rFonts w:hint="eastAsia"/>
                                        <w:color w:val="000000"/>
                                        <w:lang w:val="en-US" w:eastAsia="zh-CN"/>
                                      </w:rPr>
                                      <w:t>绿化用水</w:t>
                                    </w:r>
                                  </w:p>
                                </w:txbxContent>
                              </wps:txbx>
                              <wps:bodyPr rot="0" spcFirstLastPara="0" vertOverflow="overflow" horzOverflow="overflow" vert="horz" wrap="square" lIns="0" tIns="0" rIns="0" bIns="0" numCol="1" spcCol="0" rtlCol="0" fromWordArt="0" anchor="ctr" anchorCtr="0" forceAA="0" compatLnSpc="1">
                                <a:noAutofit/>
                              </wps:bodyPr>
                            </wps:wsp>
                            <wps:wsp>
                              <wps:cNvPr id="55" name="直接箭头连接符 55"/>
                              <wps:cNvCnPr/>
                              <wps:spPr>
                                <a:xfrm>
                                  <a:off x="2574925" y="375920"/>
                                  <a:ext cx="756285" cy="0"/>
                                </a:xfrm>
                                <a:prstGeom prst="straightConnector1">
                                  <a:avLst/>
                                </a:prstGeom>
                                <a:noFill/>
                                <a:ln w="15875" cap="flat" cmpd="sng" algn="ctr">
                                  <a:solidFill>
                                    <a:srgbClr val="000000"/>
                                  </a:solidFill>
                                  <a:prstDash val="solid"/>
                                  <a:miter lim="800000"/>
                                  <a:tailEnd type="arrow"/>
                                </a:ln>
                                <a:effectLst/>
                              </wps:spPr>
                              <wps:bodyPr/>
                            </wps:wsp>
                            <wpg:wgp>
                              <wpg:cNvPr id="9" name="组合 9"/>
                              <wpg:cNvGrpSpPr/>
                              <wpg:grpSpPr>
                                <a:xfrm>
                                  <a:off x="1152525" y="398780"/>
                                  <a:ext cx="535940" cy="2411730"/>
                                  <a:chOff x="2351" y="604"/>
                                  <a:chExt cx="844" cy="3798"/>
                                </a:xfrm>
                              </wpg:grpSpPr>
                              <wps:wsp>
                                <wps:cNvPr id="35" name="直接箭头连接符 35"/>
                                <wps:cNvCnPr/>
                                <wps:spPr>
                                  <a:xfrm flipH="1">
                                    <a:off x="2366" y="604"/>
                                    <a:ext cx="0" cy="3798"/>
                                  </a:xfrm>
                                  <a:prstGeom prst="straightConnector1">
                                    <a:avLst/>
                                  </a:prstGeom>
                                  <a:ln w="15875" cap="flat" cmpd="sng">
                                    <a:solidFill>
                                      <a:srgbClr val="000000"/>
                                    </a:solidFill>
                                    <a:prstDash val="solid"/>
                                    <a:miter/>
                                    <a:headEnd type="none" w="med" len="med"/>
                                    <a:tailEnd type="none" w="med" len="med"/>
                                  </a:ln>
                                </wps:spPr>
                                <wps:bodyPr/>
                              </wps:wsp>
                              <wps:wsp>
                                <wps:cNvPr id="108" name="直接箭头连接符 108"/>
                                <wps:cNvCnPr/>
                                <wps:spPr>
                                  <a:xfrm>
                                    <a:off x="2387" y="628"/>
                                    <a:ext cx="796" cy="0"/>
                                  </a:xfrm>
                                  <a:prstGeom prst="straightConnector1">
                                    <a:avLst/>
                                  </a:prstGeom>
                                  <a:noFill/>
                                  <a:ln w="15875" cap="flat" cmpd="sng" algn="ctr">
                                    <a:solidFill>
                                      <a:srgbClr val="000000"/>
                                    </a:solidFill>
                                    <a:prstDash val="solid"/>
                                    <a:miter lim="800000"/>
                                    <a:tailEnd type="arrow"/>
                                  </a:ln>
                                  <a:effectLst/>
                                </wps:spPr>
                                <wps:bodyPr/>
                              </wps:wsp>
                              <wps:wsp>
                                <wps:cNvPr id="113" name="直接箭头连接符 113"/>
                                <wps:cNvCnPr/>
                                <wps:spPr>
                                  <a:xfrm>
                                    <a:off x="2399" y="1715"/>
                                    <a:ext cx="796" cy="0"/>
                                  </a:xfrm>
                                  <a:prstGeom prst="straightConnector1">
                                    <a:avLst/>
                                  </a:prstGeom>
                                  <a:noFill/>
                                  <a:ln w="15875" cap="flat" cmpd="sng" algn="ctr">
                                    <a:solidFill>
                                      <a:srgbClr val="000000"/>
                                    </a:solidFill>
                                    <a:prstDash val="solid"/>
                                    <a:miter lim="800000"/>
                                    <a:tailEnd type="arrow"/>
                                  </a:ln>
                                  <a:effectLst/>
                                </wps:spPr>
                                <wps:bodyPr/>
                              </wps:wsp>
                              <wps:wsp>
                                <wps:cNvPr id="53" name="直接箭头连接符 53"/>
                                <wps:cNvCnPr/>
                                <wps:spPr>
                                  <a:xfrm>
                                    <a:off x="2351" y="3179"/>
                                    <a:ext cx="796" cy="0"/>
                                  </a:xfrm>
                                  <a:prstGeom prst="straightConnector1">
                                    <a:avLst/>
                                  </a:prstGeom>
                                  <a:noFill/>
                                  <a:ln w="15875" cap="flat" cmpd="sng" algn="ctr">
                                    <a:solidFill>
                                      <a:srgbClr val="000000"/>
                                    </a:solidFill>
                                    <a:prstDash val="solid"/>
                                    <a:miter lim="800000"/>
                                    <a:tailEnd type="arrow"/>
                                  </a:ln>
                                  <a:effectLst/>
                                </wps:spPr>
                                <wps:bodyPr/>
                              </wps:wsp>
                              <wps:wsp>
                                <wps:cNvPr id="57" name="直接箭头连接符 57"/>
                                <wps:cNvCnPr/>
                                <wps:spPr>
                                  <a:xfrm>
                                    <a:off x="2392" y="4401"/>
                                    <a:ext cx="796" cy="0"/>
                                  </a:xfrm>
                                  <a:prstGeom prst="straightConnector1">
                                    <a:avLst/>
                                  </a:prstGeom>
                                  <a:noFill/>
                                  <a:ln w="15875" cap="flat" cmpd="sng" algn="ctr">
                                    <a:solidFill>
                                      <a:srgbClr val="000000"/>
                                    </a:solidFill>
                                    <a:prstDash val="solid"/>
                                    <a:miter lim="800000"/>
                                    <a:tailEnd type="arrow"/>
                                  </a:ln>
                                  <a:effectLst/>
                                </wps:spPr>
                                <wps:bodyPr/>
                              </wps:wsp>
                            </wpg:wgp>
                            <wps:wsp>
                              <wps:cNvPr id="58" name="直接箭头连接符 58"/>
                              <wps:cNvCnPr/>
                              <wps:spPr>
                                <a:xfrm>
                                  <a:off x="4138930" y="356235"/>
                                  <a:ext cx="612140" cy="0"/>
                                </a:xfrm>
                                <a:prstGeom prst="straightConnector1">
                                  <a:avLst/>
                                </a:prstGeom>
                                <a:noFill/>
                                <a:ln w="15875" cap="flat" cmpd="sng" algn="ctr">
                                  <a:solidFill>
                                    <a:srgbClr val="000000"/>
                                  </a:solidFill>
                                  <a:prstDash val="solid"/>
                                  <a:miter lim="800000"/>
                                  <a:tailEnd type="arrow"/>
                                </a:ln>
                                <a:effectLst/>
                              </wps:spPr>
                              <wps:bodyPr/>
                            </wps:wsp>
                            <wps:wsp>
                              <wps:cNvPr id="59" name="矩形 59"/>
                              <wps:cNvSpPr/>
                              <wps:spPr>
                                <a:xfrm>
                                  <a:off x="4815840" y="236855"/>
                                  <a:ext cx="437515" cy="1290955"/>
                                </a:xfrm>
                                <a:prstGeom prst="rect">
                                  <a:avLst/>
                                </a:prstGeom>
                                <a:noFill/>
                                <a:ln w="15875" cap="flat" cmpd="sng" algn="ctr">
                                  <a:solidFill>
                                    <a:srgbClr val="000000"/>
                                  </a:solidFill>
                                  <a:prstDash val="solid"/>
                                  <a:miter lim="800000"/>
                                </a:ln>
                                <a:effectLst/>
                              </wps:spPr>
                              <wps:txbx>
                                <w:txbxContent>
                                  <w:p w14:paraId="0C6C9422">
                                    <w:pPr>
                                      <w:jc w:val="center"/>
                                      <w:rPr>
                                        <w:rFonts w:hint="eastAsia" w:eastAsia="宋体"/>
                                        <w:lang w:val="en-US" w:eastAsia="zh-CN"/>
                                      </w:rPr>
                                    </w:pPr>
                                    <w:r>
                                      <w:rPr>
                                        <w:rFonts w:hint="eastAsia"/>
                                        <w:szCs w:val="21"/>
                                        <w:lang w:val="en-US" w:eastAsia="zh-CN"/>
                                      </w:rPr>
                                      <w:t>市政污水管网</w:t>
                                    </w:r>
                                  </w:p>
                                </w:txbxContent>
                              </wps:txbx>
                              <wps:bodyPr rot="0" spcFirstLastPara="0" vertOverflow="overflow" horzOverflow="overflow" vert="horz" wrap="square" lIns="0" tIns="0" rIns="0" bIns="0" numCol="1" spcCol="0" rtlCol="0" fromWordArt="0" anchor="ctr" anchorCtr="0" forceAA="0" compatLnSpc="1">
                                <a:noAutofit/>
                              </wps:bodyPr>
                            </wps:wsp>
                            <wps:wsp>
                              <wps:cNvPr id="60" name="直接箭头连接符 60"/>
                              <wps:cNvCnPr/>
                              <wps:spPr>
                                <a:xfrm>
                                  <a:off x="3376930" y="1005205"/>
                                  <a:ext cx="504190" cy="0"/>
                                </a:xfrm>
                                <a:prstGeom prst="straightConnector1">
                                  <a:avLst/>
                                </a:prstGeom>
                                <a:noFill/>
                                <a:ln w="15875" cap="flat" cmpd="sng" algn="ctr">
                                  <a:solidFill>
                                    <a:srgbClr val="000000"/>
                                  </a:solidFill>
                                  <a:prstDash val="solid"/>
                                  <a:miter lim="800000"/>
                                  <a:tailEnd type="arrow"/>
                                </a:ln>
                                <a:effectLst/>
                              </wps:spPr>
                              <wps:bodyPr/>
                            </wps:wsp>
                            <wps:wsp>
                              <wps:cNvPr id="61" name="矩形 61"/>
                              <wps:cNvSpPr/>
                              <wps:spPr>
                                <a:xfrm>
                                  <a:off x="3361690" y="712470"/>
                                  <a:ext cx="450850" cy="236855"/>
                                </a:xfrm>
                                <a:prstGeom prst="rect">
                                  <a:avLst/>
                                </a:prstGeom>
                                <a:noFill/>
                                <a:ln w="12700" cap="flat" cmpd="sng" algn="ctr">
                                  <a:noFill/>
                                  <a:prstDash val="solid"/>
                                  <a:miter lim="800000"/>
                                </a:ln>
                                <a:effectLst/>
                              </wps:spPr>
                              <wps:txbx>
                                <w:txbxContent>
                                  <w:p w14:paraId="5F8AC43E">
                                    <w:pPr>
                                      <w:jc w:val="center"/>
                                      <w:rPr>
                                        <w:rFonts w:hint="default" w:eastAsia="宋体"/>
                                        <w:lang w:val="en-US" w:eastAsia="zh-CN"/>
                                      </w:rPr>
                                    </w:pPr>
                                    <w:r>
                                      <w:rPr>
                                        <w:rFonts w:hint="eastAsia"/>
                                        <w:lang w:val="en-US" w:eastAsia="zh-CN"/>
                                      </w:rPr>
                                      <w:t>0.09</w:t>
                                    </w:r>
                                  </w:p>
                                </w:txbxContent>
                              </wps:txbx>
                              <wps:bodyPr rot="0" spcFirstLastPara="0" vertOverflow="overflow" horzOverflow="overflow" vert="horz" wrap="square" lIns="0" tIns="0" rIns="0" bIns="0" numCol="1" spcCol="0" rtlCol="0" fromWordArt="0" anchor="ctr" anchorCtr="0" forceAA="0" compatLnSpc="1">
                                <a:noAutofit/>
                              </wps:bodyPr>
                            </wps:wsp>
                            <wps:wsp>
                              <wps:cNvPr id="62" name="任意多边形 62"/>
                              <wps:cNvSpPr>
                                <a:spLocks noChangeAspect="1"/>
                              </wps:cNvSpPr>
                              <wps:spPr>
                                <a:xfrm>
                                  <a:off x="2316480" y="2493645"/>
                                  <a:ext cx="330200" cy="165100"/>
                                </a:xfrm>
                                <a:custGeom>
                                  <a:avLst/>
                                  <a:gdLst/>
                                  <a:ahLst/>
                                  <a:cxnLst/>
                                  <a:pathLst>
                                    <a:path w="638" h="337">
                                      <a:moveTo>
                                        <a:pt x="0" y="337"/>
                                      </a:moveTo>
                                      <a:cubicBezTo>
                                        <a:pt x="126" y="186"/>
                                        <a:pt x="252" y="36"/>
                                        <a:pt x="306" y="18"/>
                                      </a:cubicBezTo>
                                      <a:cubicBezTo>
                                        <a:pt x="360" y="0"/>
                                        <a:pt x="272" y="228"/>
                                        <a:pt x="327" y="228"/>
                                      </a:cubicBezTo>
                                      <a:cubicBezTo>
                                        <a:pt x="382" y="228"/>
                                        <a:pt x="510" y="123"/>
                                        <a:pt x="638" y="18"/>
                                      </a:cubicBezTo>
                                    </a:path>
                                  </a:pathLst>
                                </a:custGeom>
                                <a:noFill/>
                                <a:ln w="15875" cap="flat" cmpd="sng">
                                  <a:solidFill>
                                    <a:srgbClr val="5A5A5A"/>
                                  </a:solidFill>
                                  <a:prstDash val="sysDot"/>
                                  <a:headEnd type="none" w="med" len="med"/>
                                  <a:tailEnd type="triangle" w="med" len="med"/>
                                </a:ln>
                                <a:effectLst/>
                              </wps:spPr>
                              <wps:bodyPr upright="1"/>
                            </wps:wsp>
                            <wps:wsp>
                              <wps:cNvPr id="3" name="矩形 3"/>
                              <wps:cNvSpPr/>
                              <wps:spPr>
                                <a:xfrm>
                                  <a:off x="3335020" y="247015"/>
                                  <a:ext cx="732155" cy="243840"/>
                                </a:xfrm>
                                <a:prstGeom prst="rect">
                                  <a:avLst/>
                                </a:prstGeom>
                                <a:noFill/>
                                <a:ln w="15875" cap="flat" cmpd="sng" algn="ctr">
                                  <a:solidFill>
                                    <a:srgbClr val="000000"/>
                                  </a:solidFill>
                                  <a:prstDash val="solid"/>
                                  <a:miter lim="800000"/>
                                </a:ln>
                                <a:effectLst/>
                              </wps:spPr>
                              <wps:txbx>
                                <w:txbxContent>
                                  <w:p w14:paraId="4277B59A">
                                    <w:pPr>
                                      <w:jc w:val="center"/>
                                      <w:rPr>
                                        <w:rFonts w:hint="default"/>
                                        <w:lang w:val="en-US" w:eastAsia="zh-CN"/>
                                      </w:rPr>
                                    </w:pPr>
                                    <w:r>
                                      <w:rPr>
                                        <w:rFonts w:hint="eastAsia"/>
                                        <w:lang w:val="en-US" w:eastAsia="zh-CN"/>
                                      </w:rPr>
                                      <w:t>化粪池</w:t>
                                    </w:r>
                                  </w:p>
                                </w:txbxContent>
                              </wps:txbx>
                              <wps:bodyPr rot="0" spcFirstLastPara="0" vertOverflow="overflow" horzOverflow="overflow" vert="horz" wrap="square" lIns="0" tIns="0" rIns="0" bIns="0" numCol="1" spcCol="0" rtlCol="0" fromWordArt="0" anchor="ctr" anchorCtr="0" forceAA="0" compatLnSpc="1">
                                <a:noAutofit/>
                              </wps:bodyPr>
                            </wps:wsp>
                            <wps:wsp>
                              <wps:cNvPr id="4" name="矩形 4"/>
                              <wps:cNvSpPr/>
                              <wps:spPr>
                                <a:xfrm>
                                  <a:off x="4116070" y="102870"/>
                                  <a:ext cx="461645" cy="227330"/>
                                </a:xfrm>
                                <a:prstGeom prst="rect">
                                  <a:avLst/>
                                </a:prstGeom>
                                <a:noFill/>
                                <a:ln w="12700" cap="flat" cmpd="sng" algn="ctr">
                                  <a:noFill/>
                                  <a:prstDash val="solid"/>
                                  <a:miter lim="800000"/>
                                </a:ln>
                                <a:effectLst/>
                              </wps:spPr>
                              <wps:txbx>
                                <w:txbxContent>
                                  <w:p w14:paraId="20D3EF81">
                                    <w:pPr>
                                      <w:jc w:val="center"/>
                                      <w:rPr>
                                        <w:rFonts w:hint="default" w:eastAsia="宋体"/>
                                        <w:lang w:val="en-US" w:eastAsia="zh-CN"/>
                                      </w:rPr>
                                    </w:pPr>
                                    <w:r>
                                      <w:rPr>
                                        <w:rFonts w:hint="eastAsia"/>
                                        <w:lang w:val="en-US" w:eastAsia="zh-CN"/>
                                      </w:rPr>
                                      <w:t>32.00</w:t>
                                    </w:r>
                                  </w:p>
                                </w:txbxContent>
                              </wps:txbx>
                              <wps:bodyPr rot="0" spcFirstLastPara="0" vertOverflow="overflow" horzOverflow="overflow" vert="horz" wrap="square" lIns="0" tIns="0" rIns="0" bIns="0" numCol="1" spcCol="0" rtlCol="0" fromWordArt="0" anchor="ctr" anchorCtr="0" forceAA="0" compatLnSpc="1">
                                <a:noAutofit/>
                              </wps:bodyPr>
                            </wps:wsp>
                            <wps:wsp>
                              <wps:cNvPr id="5" name="直接箭头连接符 5"/>
                              <wps:cNvCnPr/>
                              <wps:spPr>
                                <a:xfrm>
                                  <a:off x="4426585" y="959485"/>
                                  <a:ext cx="431800" cy="0"/>
                                </a:xfrm>
                                <a:prstGeom prst="straightConnector1">
                                  <a:avLst/>
                                </a:prstGeom>
                                <a:noFill/>
                                <a:ln w="15875" cap="flat" cmpd="sng" algn="ctr">
                                  <a:solidFill>
                                    <a:srgbClr val="000000"/>
                                  </a:solidFill>
                                  <a:prstDash val="solid"/>
                                  <a:miter lim="800000"/>
                                  <a:tailEnd type="arrow"/>
                                </a:ln>
                                <a:effectLst/>
                              </wps:spPr>
                              <wps:bodyPr/>
                            </wps:wsp>
                            <wpg:wgp>
                              <wpg:cNvPr id="16" name="组合 16"/>
                              <wpg:cNvGrpSpPr/>
                              <wpg:grpSpPr>
                                <a:xfrm>
                                  <a:off x="1899285" y="1237615"/>
                                  <a:ext cx="2879090" cy="251460"/>
                                  <a:chOff x="2991" y="1949"/>
                                  <a:chExt cx="4534" cy="396"/>
                                </a:xfrm>
                              </wpg:grpSpPr>
                              <wps:wsp>
                                <wps:cNvPr id="47" name="直接箭头连接符 47"/>
                                <wps:cNvCnPr/>
                                <wps:spPr>
                                  <a:xfrm>
                                    <a:off x="2991" y="2325"/>
                                    <a:ext cx="4535" cy="0"/>
                                  </a:xfrm>
                                  <a:prstGeom prst="straightConnector1">
                                    <a:avLst/>
                                  </a:prstGeom>
                                  <a:noFill/>
                                  <a:ln w="15875" cap="flat" cmpd="sng" algn="ctr">
                                    <a:solidFill>
                                      <a:srgbClr val="000000"/>
                                    </a:solidFill>
                                    <a:prstDash val="solid"/>
                                    <a:miter lim="800000"/>
                                    <a:tailEnd type="arrow"/>
                                  </a:ln>
                                  <a:effectLst/>
                                </wps:spPr>
                                <wps:bodyPr/>
                              </wps:wsp>
                              <wps:wsp>
                                <wps:cNvPr id="6" name="直接连接符 6"/>
                                <wps:cNvCnPr/>
                                <wps:spPr>
                                  <a:xfrm>
                                    <a:off x="2999" y="1949"/>
                                    <a:ext cx="0" cy="39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wgp>
                            <wps:wsp>
                              <wps:cNvPr id="7" name="矩形 7"/>
                              <wps:cNvSpPr/>
                              <wps:spPr>
                                <a:xfrm>
                                  <a:off x="1666875" y="770255"/>
                                  <a:ext cx="583565" cy="478790"/>
                                </a:xfrm>
                                <a:prstGeom prst="rect">
                                  <a:avLst/>
                                </a:prstGeom>
                                <a:noFill/>
                                <a:ln w="15875" cap="flat" cmpd="sng" algn="ctr">
                                  <a:solidFill>
                                    <a:srgbClr val="000000"/>
                                  </a:solidFill>
                                  <a:prstDash val="solid"/>
                                  <a:miter lim="800000"/>
                                </a:ln>
                                <a:effectLst/>
                              </wps:spPr>
                              <wps:txbx>
                                <w:txbxContent>
                                  <w:p w14:paraId="12E45E49">
                                    <w:pPr>
                                      <w:jc w:val="center"/>
                                      <w:rPr>
                                        <w:rFonts w:hint="default" w:eastAsia="宋体"/>
                                        <w:color w:val="000000"/>
                                        <w:lang w:val="en-US" w:eastAsia="zh-CN"/>
                                      </w:rPr>
                                    </w:pPr>
                                    <w:r>
                                      <w:rPr>
                                        <w:rFonts w:hint="eastAsia"/>
                                        <w:color w:val="000000"/>
                                        <w:lang w:val="en-US" w:eastAsia="zh-CN"/>
                                      </w:rPr>
                                      <w:t>纯</w:t>
                                    </w:r>
                                    <w:r>
                                      <w:rPr>
                                        <w:rFonts w:hint="eastAsia"/>
                                        <w:color w:val="000000"/>
                                      </w:rPr>
                                      <w:t>水</w:t>
                                    </w:r>
                                    <w:r>
                                      <w:rPr>
                                        <w:rFonts w:hint="eastAsia"/>
                                        <w:color w:val="000000"/>
                                        <w:lang w:val="en-US" w:eastAsia="zh-CN"/>
                                      </w:rPr>
                                      <w:t>制备设备</w:t>
                                    </w:r>
                                  </w:p>
                                </w:txbxContent>
                              </wps:txbx>
                              <wps:bodyPr rot="0" spcFirstLastPara="0" vertOverflow="overflow" horzOverflow="overflow" vert="horz" wrap="square" lIns="0" tIns="0" rIns="0" bIns="0" numCol="1" spcCol="0" rtlCol="0" fromWordArt="0" anchor="ctr" anchorCtr="0" forceAA="0" compatLnSpc="1">
                                <a:noAutofit/>
                              </wps:bodyPr>
                            </wps:wsp>
                            <wps:wsp>
                              <wps:cNvPr id="13" name="直接箭头连接符 13"/>
                              <wps:cNvCnPr/>
                              <wps:spPr>
                                <a:xfrm>
                                  <a:off x="2249805" y="959485"/>
                                  <a:ext cx="467995" cy="0"/>
                                </a:xfrm>
                                <a:prstGeom prst="straightConnector1">
                                  <a:avLst/>
                                </a:prstGeom>
                                <a:noFill/>
                                <a:ln w="15875" cap="flat" cmpd="sng" algn="ctr">
                                  <a:solidFill>
                                    <a:srgbClr val="000000"/>
                                  </a:solidFill>
                                  <a:prstDash val="solid"/>
                                  <a:miter lim="800000"/>
                                  <a:tailEnd type="arrow"/>
                                </a:ln>
                                <a:effectLst/>
                              </wps:spPr>
                              <wps:bodyPr/>
                            </wps:wsp>
                            <wps:wsp>
                              <wps:cNvPr id="15" name="矩形 15"/>
                              <wps:cNvSpPr/>
                              <wps:spPr>
                                <a:xfrm>
                                  <a:off x="2250440" y="641985"/>
                                  <a:ext cx="419735" cy="259080"/>
                                </a:xfrm>
                                <a:prstGeom prst="rect">
                                  <a:avLst/>
                                </a:prstGeom>
                                <a:noFill/>
                                <a:ln w="12700" cap="flat" cmpd="sng" algn="ctr">
                                  <a:noFill/>
                                  <a:prstDash val="solid"/>
                                  <a:miter lim="800000"/>
                                </a:ln>
                                <a:effectLst/>
                              </wps:spPr>
                              <wps:txbx>
                                <w:txbxContent>
                                  <w:p w14:paraId="0A787C2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xbxContent>
                              </wps:txbx>
                              <wps:bodyPr rot="0" spcFirstLastPara="0" vertOverflow="overflow" horzOverflow="overflow" vert="horz" wrap="square" lIns="0" tIns="0" rIns="0" bIns="0" numCol="1" spcCol="0" rtlCol="0" fromWordArt="0" anchor="ctr" anchorCtr="0" forceAA="0" compatLnSpc="1">
                                <a:noAutofit/>
                              </wps:bodyPr>
                            </wps:wsp>
                            <wps:wsp>
                              <wps:cNvPr id="17" name="矩形 17"/>
                              <wps:cNvSpPr/>
                              <wps:spPr>
                                <a:xfrm>
                                  <a:off x="2372360" y="1229995"/>
                                  <a:ext cx="852170" cy="222250"/>
                                </a:xfrm>
                                <a:prstGeom prst="rect">
                                  <a:avLst/>
                                </a:prstGeom>
                                <a:noFill/>
                                <a:ln w="12700" cap="flat" cmpd="sng" algn="ctr">
                                  <a:noFill/>
                                  <a:prstDash val="solid"/>
                                  <a:miter lim="800000"/>
                                </a:ln>
                                <a:effectLst/>
                              </wps:spPr>
                              <wps:txbx>
                                <w:txbxContent>
                                  <w:p w14:paraId="76DDA2F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浓水0.07</w:t>
                                    </w:r>
                                  </w:p>
                                </w:txbxContent>
                              </wps:txbx>
                              <wps:bodyPr rot="0" spcFirstLastPara="0" vertOverflow="overflow" horzOverflow="overflow" vert="horz" wrap="square" lIns="0" tIns="0" rIns="0" bIns="0" numCol="1" spcCol="0" rtlCol="0" fromWordArt="0" anchor="ctr" anchorCtr="0" forceAA="0" compatLnSpc="1">
                                <a:noAutofit/>
                              </wps:bodyPr>
                            </wps:wsp>
                          </wpc:wpc>
                        </a:graphicData>
                      </a:graphic>
                    </wp:inline>
                  </w:drawing>
                </mc:Choice>
                <mc:Fallback>
                  <w:pict>
                    <v:group id="_x0000_s1026" o:spid="_x0000_s1026" o:spt="203" style="height:242.05pt;width:416.85pt;" coordsize="5293995,3074035" editas="canvas" o:gfxdata="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">
                      <o:lock v:ext="edit" aspectratio="f"/>
                      <v:shape id="_x0000_s1026" o:spid="_x0000_s1026" style="position:absolute;left:0;top:0;height:3074035;width:5293995;" filled="f" stroked="f" coordsize="21600,21600" o:gfxdata="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">
                        <v:fill on="f" focussize="0,0"/>
                        <v:stroke on="f"/>
                        <v:imagedata o:title=""/>
                        <o:lock v:ext="edit" aspectratio="f"/>
                      </v:shape>
                      <v:rect id="_x0000_s1026" o:spid="_x0000_s1026" o:spt="1" style="position:absolute;left:79375;top:1295400;height:250825;width:588010;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9U6Mz1gAAAAUBAAAPAAAAAAAAAAEAIAAAACIAAABkcnMv&#10;ZG93bnJldi54bWxQSwECFAAUAAAACACHTuJAT0wNKncCAADfBAAADgAAAAAAAAABACAAAAAlAQAA&#10;ZHJzL2Uyb0RvYy54bWxQSwUGAAAAAAYABgBZAQAADgYAAAAA&#10;">
                        <v:fill on="f" focussize="0,0"/>
                        <v:stroke weight="1.25pt" color="#000000" miterlimit="8" joinstyle="miter"/>
                        <v:imagedata o:title=""/>
                        <o:lock v:ext="edit" aspectratio="f"/>
                        <v:textbox inset="0mm,0mm,0mm,0mm">
                          <w:txbxContent>
                            <w:p w14:paraId="2058CA81">
                              <w:pPr>
                                <w:jc w:val="center"/>
                                <w:rPr>
                                  <w:rFonts w:hint="eastAsia"/>
                                  <w:color w:val="000000"/>
                                </w:rPr>
                              </w:pPr>
                              <w:r>
                                <w:rPr>
                                  <w:rFonts w:hint="eastAsia"/>
                                  <w:color w:val="000000"/>
                                </w:rPr>
                                <w:t>新鲜水</w:t>
                              </w:r>
                            </w:p>
                          </w:txbxContent>
                        </v:textbox>
                      </v:rect>
                      <v:rect id="_x0000_s1026" o:spid="_x0000_s1026" o:spt="1" style="position:absolute;left:2708910;top:775970;height:351155;width:62420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9U6Mz1gAAAAUBAAAPAAAAAAAAAAEAIAAAACIAAABk&#10;cnMvZG93bnJldi54bWxQSwECFAAUAAAACACHTuJAe6XOi3oCAADiBAAADgAAAAAAAAABACAAAAAl&#10;AQAAZHJzL2Uyb0RvYy54bWxQSwUGAAAAAAYABgBZAQAAEQYAAAAA&#10;">
                        <v:fill on="f" focussize="0,0"/>
                        <v:stroke weight="1.25pt" color="#000000" miterlimit="8" joinstyle="miter"/>
                        <v:imagedata o:title=""/>
                        <o:lock v:ext="edit" aspectratio="f"/>
                        <v:textbox inset="0mm,0mm,0mm,0mm">
                          <w:txbxContent>
                            <w:p w14:paraId="6ACC350E">
                              <w:pPr>
                                <w:jc w:val="center"/>
                              </w:pPr>
                              <w:r>
                                <w:rPr>
                                  <w:rFonts w:hint="eastAsia"/>
                                  <w:lang w:val="en-US" w:eastAsia="zh-CN"/>
                                </w:rPr>
                                <w:t>清洗用水</w:t>
                              </w:r>
                            </w:p>
                          </w:txbxContent>
                        </v:textbox>
                      </v:rect>
                      <v:rect id="_x0000_s1026" o:spid="_x0000_s1026" o:spt="1" style="position:absolute;left:1704975;top:245110;height:288925;width:838200;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9U6Mz1gAAAAUBAAAPAAAAAAAAAAEAIAAAACIAAABkcnMv&#10;ZG93bnJldi54bWxQSwECFAAUAAAACACHTuJAaTuAD3cCAADiBAAADgAAAAAAAAABACAAAAAlAQAA&#10;ZHJzL2Uyb0RvYy54bWxQSwUGAAAAAAYABgBZAQAADgYAAAAA&#10;">
                        <v:fill on="f" focussize="0,0"/>
                        <v:stroke weight="1.25pt" color="#000000" miterlimit="8" joinstyle="miter"/>
                        <v:imagedata o:title=""/>
                        <o:lock v:ext="edit" aspectratio="f"/>
                        <v:textbox inset="0mm,0mm,0mm,0mm">
                          <w:txbxContent>
                            <w:p w14:paraId="51F23B71">
                              <w:pPr>
                                <w:jc w:val="center"/>
                                <w:rPr>
                                  <w:rFonts w:hint="eastAsia"/>
                                  <w:color w:val="000000"/>
                                </w:rPr>
                              </w:pPr>
                              <w:r>
                                <w:rPr>
                                  <w:rFonts w:hint="eastAsia"/>
                                  <w:color w:val="000000"/>
                                  <w:lang w:val="en-US" w:eastAsia="zh-CN"/>
                                </w:rPr>
                                <w:t>生活</w:t>
                              </w:r>
                              <w:r>
                                <w:rPr>
                                  <w:rFonts w:hint="eastAsia"/>
                                  <w:color w:val="000000"/>
                                </w:rPr>
                                <w:t>用水</w:t>
                              </w:r>
                            </w:p>
                          </w:txbxContent>
                        </v:textbox>
                      </v:rect>
                      <v:rect id="_x0000_s1026" o:spid="_x0000_s1026" o:spt="1" style="position:absolute;left:1654175;top:1901190;height:288925;width:117792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VOjM9YAAAAFAQAADwAAAAAAAAABACAAAAAiAAAAZHJzL2Rv&#10;d25yZXYueG1sUEsBAhQAFAAAAAgAh07iQFMhBCp1AgAA5AQAAA4AAAAAAAAAAQAgAAAAJQEAAGRy&#10;cy9lMm9Eb2MueG1sUEsFBgAAAAAGAAYAWQEAAAwGAAAAAA==&#10;">
                        <v:fill on="f" focussize="0,0"/>
                        <v:stroke weight="1.25pt" color="#000000" miterlimit="8" joinstyle="miter"/>
                        <v:imagedata o:title=""/>
                        <o:lock v:ext="edit" aspectratio="f"/>
                        <v:textbox inset="0mm,0mm,0mm,0mm">
                          <w:txbxContent>
                            <w:p w14:paraId="708434EE">
                              <w:pPr>
                                <w:jc w:val="center"/>
                                <w:rPr>
                                  <w:rFonts w:hint="eastAsia"/>
                                  <w:color w:val="000000"/>
                                </w:rPr>
                              </w:pPr>
                              <w:r>
                                <w:rPr>
                                  <w:rFonts w:hint="eastAsia"/>
                                  <w:color w:val="000000"/>
                                  <w:lang w:val="en-US" w:eastAsia="zh-CN"/>
                                </w:rPr>
                                <w:t>注塑冷却水</w:t>
                              </w:r>
                            </w:p>
                          </w:txbxContent>
                        </v:textbox>
                      </v:rect>
                      <v:shape id="_x0000_s1026" o:spid="_x0000_s1026" o:spt="32" type="#_x0000_t32" style="position:absolute;left:694055;top:1452245;height:1270;width:46800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1IoTWAAAABQEAAA8A&#10;AAAAAAAAAQAgAAAAIgAAAGRycy9kb3ducmV2LnhtbFBLAQIUABQAAAAIAIdO4kCMp9VWGQIAAAcE&#10;AAAOAAAAAAAAAAEAIAAAACUBAABkcnMvZTJvRG9jLnhtbFBLBQYAAAAABgAGAFkBAACwBQAAAAA=&#10;">
                        <v:fill on="f" focussize="0,0"/>
                        <v:stroke weight="1.25pt" color="#000000" joinstyle="miter" endarrow="open"/>
                        <v:imagedata o:title=""/>
                        <o:lock v:ext="edit" aspectratio="f"/>
                      </v:shape>
                      <v:rect id="_x0000_s1026" o:spid="_x0000_s1026" o:spt="1" style="position:absolute;left:1272540;top:10922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uf8tYAAAAFAQAADwAAAAAAAAABACAAAAAiAAAAZHJzL2Rvd25yZXYueG1sUEsBAhQA&#10;FAAAAAgAh07iQJZZUbtmAgAAuQQAAA4AAAAAAAAAAQAgAAAAJQEAAGRycy9lMm9Eb2MueG1sUEsF&#10;BgAAAAAGAAYAWQEAAP0FAAAAAA==&#10;">
                        <v:fill on="f" focussize="0,0"/>
                        <v:stroke on="f" weight="1pt" miterlimit="8" joinstyle="miter"/>
                        <v:imagedata o:title=""/>
                        <o:lock v:ext="edit" aspectratio="f"/>
                        <v:textbox inset="0mm,0mm,0mm,0mm">
                          <w:txbxContent>
                            <w:p w14:paraId="32F2DF70">
                              <w:pPr>
                                <w:jc w:val="center"/>
                              </w:pPr>
                              <w:r>
                                <w:rPr>
                                  <w:rFonts w:hint="eastAsia"/>
                                  <w:color w:val="000000"/>
                                  <w:lang w:val="en-US" w:eastAsia="zh-CN"/>
                                </w:rPr>
                                <w:t>40</w:t>
                              </w:r>
                              <w:r>
                                <w:rPr>
                                  <w:rFonts w:hint="eastAsia"/>
                                  <w:color w:val="000000"/>
                                </w:rPr>
                                <w:t>.00</w:t>
                              </w:r>
                            </w:p>
                          </w:txbxContent>
                        </v:textbox>
                      </v:rect>
                      <v:rect id="_x0000_s1026" o:spid="_x0000_s1026" o:spt="1" style="position:absolute;left:1167765;top:771525;height:259080;width:41973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65/y1gAAAAUBAAAPAAAAAAAAAAEAIAAAACIAAABkcnMvZG93bnJldi54bWxQ&#10;SwECFAAUAAAACACHTuJAmt1k5WsCAAC5BAAADgAAAAAAAAABACAAAAAlAQAAZHJzL2Uyb0RvYy54&#10;bWxQSwUGAAAAAAYABgBZAQAAAgYAAAAA&#10;">
                        <v:fill on="f" focussize="0,0"/>
                        <v:stroke on="f" weight="1pt" miterlimit="8" joinstyle="miter"/>
                        <v:imagedata o:title=""/>
                        <o:lock v:ext="edit" aspectratio="f"/>
                        <v:textbox inset="0mm,0mm,0mm,0mm">
                          <w:txbxContent>
                            <w:p w14:paraId="1F99C4C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0.17</w:t>
                              </w:r>
                            </w:p>
                          </w:txbxContent>
                        </v:textbox>
                      </v:rect>
                      <v:rect id="_x0000_s1026" o:spid="_x0000_s1026" o:spt="1" style="position:absolute;left:1181100;top:172466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b65/y1gAAAAUBAAAPAAAAAAAAAAEAIAAAACIAAABkcnMvZG93bnJldi54bWxQSwEC&#10;FAAUAAAACACHTuJAgyuOKmgCAAC6BAAADgAAAAAAAAABACAAAAAlAQAAZHJzL2Uyb0RvYy54bWxQ&#10;SwUGAAAAAAYABgBZAQAA/wUAAAAA&#10;">
                        <v:fill on="f" focussize="0,0"/>
                        <v:stroke on="f" weight="1pt" miterlimit="8" joinstyle="miter"/>
                        <v:imagedata o:title=""/>
                        <o:lock v:ext="edit" aspectratio="f"/>
                        <v:textbox inset="0mm,0mm,0mm,0mm">
                          <w:txbxContent>
                            <w:p w14:paraId="7C7EF33A">
                              <w:pPr>
                                <w:jc w:val="center"/>
                                <w:rPr>
                                  <w:rFonts w:hint="default" w:eastAsia="宋体"/>
                                  <w:lang w:val="en-US" w:eastAsia="zh-CN"/>
                                </w:rPr>
                              </w:pPr>
                              <w:r>
                                <w:rPr>
                                  <w:rFonts w:hint="eastAsia"/>
                                  <w:lang w:val="en-US" w:eastAsia="zh-CN"/>
                                </w:rPr>
                                <w:t>0.90</w:t>
                              </w:r>
                            </w:p>
                          </w:txbxContent>
                        </v:textbox>
                      </v:rect>
                      <v:rect id="_x0000_s1026" o:spid="_x0000_s1026" o:spt="1" style="position:absolute;left:722630;top:1126490;height:216535;width:38798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65/y1gAAAAUBAAAPAAAAAAAAAAEAIAAA&#10;ACIAAABkcnMvZG93bnJldi54bWxQSwECFAAUAAAACACHTuJAX3QsKNUBAACWAwAADgAAAAAAAAAB&#10;ACAAAAAlAQAAZHJzL2Uyb0RvYy54bWxQSwUGAAAAAAYABgBZAQAAbAUAAAAA&#10;">
                        <v:fill on="f" focussize="0,0"/>
                        <v:stroke on="f" weight="1pt"/>
                        <v:imagedata o:title=""/>
                        <o:lock v:ext="edit" aspectratio="f"/>
                        <v:textbox inset="0mm,0mm,0mm,0mm">
                          <w:txbxContent>
                            <w:p w14:paraId="340222B4">
                              <w:pPr>
                                <w:rPr>
                                  <w:rFonts w:hint="default" w:eastAsia="宋体"/>
                                  <w:color w:val="000000"/>
                                  <w:lang w:val="en-US" w:eastAsia="zh-CN"/>
                                </w:rPr>
                              </w:pPr>
                              <w:r>
                                <w:rPr>
                                  <w:rFonts w:hint="eastAsia"/>
                                  <w:color w:val="000000"/>
                                  <w:lang w:val="en-US" w:eastAsia="zh-CN"/>
                                </w:rPr>
                                <w:t>53.56</w:t>
                              </w:r>
                            </w:p>
                          </w:txbxContent>
                        </v:textbox>
                      </v:rect>
                      <v:shape id="_x0000_s1026" o:spid="_x0000_s1026" o:spt="100" style="position:absolute;left:2228851;top:64135;height:186690;width:37338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yocHtcAAAAFAQAADwAAAAAAAAABACAA&#10;AAAiAAAAZHJzL2Rvd25yZXYueG1sUEsBAhQAFAAAAAgAh07iQDG9kJq5AgAA1wUAAA4AAAAAAAAA&#10;AQAgAAAAJgEAAGRycy9lMm9Eb2MueG1sUEsFBgAAAAAGAAYAWQEAAFEGAAAAAA==&#10;" path="m0,337c126,186,252,36,306,18c360,0,272,228,327,228c382,228,510,123,638,18e">
                        <v:fill on="f" focussize="0,0"/>
                        <v:stroke weight="1.25pt" color="#5A5A5A" joinstyle="round" dashstyle="1 1" endarrow="block"/>
                        <v:imagedata o:title=""/>
                        <o:lock v:ext="edit" aspectratio="t"/>
                      </v:shape>
                      <v:shape id="_x0000_s1026" o:spid="_x0000_s1026" o:spt="100" style="position:absolute;left:3026410;top:594995;height:165100;width:33020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bKhwe1wAAAAUBAAAPAAAAAAAAAAEAIAAA&#10;ACIAAABkcnMvZG93bnJldi54bWxQSwECFAAUAAAACACHTuJAWrvmt7gCAADYBQAADgAAAAAAAAAB&#10;ACAAAAAmAQAAZHJzL2Uyb0RvYy54bWxQSwUGAAAAAAYABgBZAQAAUAYAAAAA&#10;" path="m0,337c126,186,252,36,306,18c360,0,272,228,327,228c382,228,510,123,638,18e">
                        <v:fill on="f" focussize="0,0"/>
                        <v:stroke weight="1.25pt" color="#5A5A5A" joinstyle="round" dashstyle="1 1" endarrow="block"/>
                        <v:imagedata o:title=""/>
                        <o:lock v:ext="edit" aspectratio="t"/>
                      </v:shape>
                      <v:rect id="_x0000_s1026" o:spid="_x0000_s1026" o:spt="1" style="position:absolute;left:2597151;top: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65/y1gAAAAUBAAAPAAAAAAAAAAEAIAAAACIAAABkcnMvZG93bnJldi54bWxQSwECFAAU&#10;AAAACACHTuJA7nO8KWUCAAC0BAAADgAAAAAAAAABACAAAAAlAQAAZHJzL2Uyb0RvYy54bWxQSwUG&#10;AAAAAAYABgBZAQAA/AUAAAAA&#10;">
                        <v:fill on="f" focussize="0,0"/>
                        <v:stroke on="f" weight="1pt" miterlimit="8" joinstyle="miter"/>
                        <v:imagedata o:title=""/>
                        <o:lock v:ext="edit" aspectratio="f"/>
                        <v:textbox inset="0mm,0mm,0mm,0mm">
                          <w:txbxContent>
                            <w:p w14:paraId="005B22E8">
                              <w:r>
                                <w:rPr>
                                  <w:rFonts w:hint="eastAsia"/>
                                  <w:lang w:val="en-US" w:eastAsia="zh-CN"/>
                                </w:rPr>
                                <w:t>8</w:t>
                              </w:r>
                              <w:r>
                                <w:rPr>
                                  <w:rFonts w:hint="eastAsia"/>
                                </w:rPr>
                                <w:t>.00</w:t>
                              </w:r>
                            </w:p>
                          </w:txbxContent>
                        </v:textbox>
                      </v:rect>
                      <v:rect id="_x0000_s1026" o:spid="_x0000_s1026" o:spt="1" style="position:absolute;left:3319780;top:50927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b65/y1gAAAAUBAAAPAAAAAAAAAAEAIAAAACIAAABkcnMvZG93bnJldi54bWxQSwEC&#10;FAAUAAAACACHTuJADxftgWgCAAC5BAAADgAAAAAAAAABACAAAAAlAQAAZHJzL2Uyb0RvYy54bWxQ&#10;SwUGAAAAAAYABgBZAQAA/wUAAAAA&#10;">
                        <v:fill on="f" focussize="0,0"/>
                        <v:stroke on="f" weight="1pt" miterlimit="8" joinstyle="miter"/>
                        <v:imagedata o:title=""/>
                        <o:lock v:ext="edit" aspectratio="f"/>
                        <v:textbox inset="0mm,0mm,0mm,0mm">
                          <w:txbxContent>
                            <w:p w14:paraId="3DBC63E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xbxContent>
                        </v:textbox>
                      </v:rect>
                      <v:rect id="_x0000_s1026" o:spid="_x0000_s1026" o:spt="1" style="position:absolute;left:2904490;top:1584325;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65/y1gAAAAUBAAAPAAAAAAAAAAEAIAAAACIAAABkcnMvZG93bnJldi54bWxQ&#10;SwECFAAUAAAACACHTuJAT0xmN2sCAAC6BAAADgAAAAAAAAABACAAAAAlAQAAZHJzL2Uyb0RvYy54&#10;bWxQSwUGAAAAAAYABgBZAQAAAgYAAAAA&#10;">
                        <v:fill on="f" focussize="0,0"/>
                        <v:stroke on="f" weight="1pt" miterlimit="8" joinstyle="miter"/>
                        <v:imagedata o:title=""/>
                        <o:lock v:ext="edit" aspectratio="f"/>
                        <v:textbox inset="0mm,0mm,0mm,0mm">
                          <w:txbxContent>
                            <w:p w14:paraId="58A91F6D">
                              <w:pPr>
                                <w:jc w:val="center"/>
                                <w:rPr>
                                  <w:rFonts w:hint="default" w:eastAsia="宋体"/>
                                  <w:lang w:val="en-US" w:eastAsia="zh-CN"/>
                                </w:rPr>
                              </w:pPr>
                              <w:r>
                                <w:rPr>
                                  <w:rFonts w:hint="eastAsia"/>
                                  <w:lang w:val="en-US" w:eastAsia="zh-CN"/>
                                </w:rPr>
                                <w:t>0.90</w:t>
                              </w:r>
                            </w:p>
                          </w:txbxContent>
                        </v:textbox>
                      </v:rect>
                      <v:rect id="_x0000_s1026" o:spid="_x0000_s1026" o:spt="1" style="position:absolute;left:3871595;top:760095;height:387985;width:513080;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VOjM9YAAAAFAQAADwAAAAAAAAABACAAAAAiAAAAZHJzL2Rv&#10;d25yZXYueG1sUEsBAhQAFAAAAAgAh07iQMYNbEx1AgAA4AQAAA4AAAAAAAAAAQAgAAAAJQEAAGRy&#10;cy9lMm9Eb2MueG1sUEsFBgAAAAAGAAYAWQEAAAwGAAAAAA==&#10;">
                        <v:fill on="f" focussize="0,0"/>
                        <v:stroke weight="1.25pt" color="#000000" miterlimit="8" joinstyle="miter"/>
                        <v:imagedata o:title=""/>
                        <o:lock v:ext="edit" aspectratio="f"/>
                        <v:textbox inset="0mm,0mm,0mm,0mm">
                          <w:txbxContent>
                            <w:p w14:paraId="7B7140AD">
                              <w:pPr>
                                <w:jc w:val="center"/>
                                <w:rPr>
                                  <w:rFonts w:hint="default" w:eastAsia="宋体"/>
                                  <w:lang w:val="en-US" w:eastAsia="zh-CN"/>
                                </w:rPr>
                              </w:pPr>
                              <w:r>
                                <w:rPr>
                                  <w:rFonts w:hint="eastAsia"/>
                                  <w:szCs w:val="21"/>
                                  <w:lang w:val="en-US" w:eastAsia="zh-CN"/>
                                </w:rPr>
                                <w:t>废水处理站</w:t>
                              </w:r>
                            </w:p>
                          </w:txbxContent>
                        </v:textbox>
                      </v:rect>
                      <v:rect id="_x0000_s1026" o:spid="_x0000_s1026" o:spt="1" style="position:absolute;left:1740535;top:228346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uf8tYAAAAFAQAADwAAAAAAAAABACAAAAAiAAAAZHJzL2Rvd25yZXYueG1sUEsBAhQA&#10;FAAAAAgAh07iQCCLSqZmAgAAuAQAAA4AAAAAAAAAAQAgAAAAJQEAAGRycy9lMm9Eb2MueG1sUEsF&#10;BgAAAAAGAAYAWQEAAP0FAAAAAA==&#10;">
                        <v:fill on="f" focussize="0,0"/>
                        <v:stroke on="f" weight="1pt" miterlimit="8" joinstyle="miter"/>
                        <v:imagedata o:title=""/>
                        <o:lock v:ext="edit" aspectratio="f"/>
                        <v:textbox inset="0mm,0mm,0mm,0mm">
                          <w:txbxContent>
                            <w:p w14:paraId="33EBEBC0">
                              <w:pPr>
                                <w:jc w:val="center"/>
                                <w:rPr>
                                  <w:rFonts w:hint="default" w:eastAsia="宋体"/>
                                  <w:lang w:val="en-US" w:eastAsia="zh-CN"/>
                                </w:rPr>
                              </w:pPr>
                              <w:r>
                                <w:rPr>
                                  <w:rFonts w:hint="eastAsia"/>
                                  <w:lang w:val="en-US" w:eastAsia="zh-CN"/>
                                </w:rPr>
                                <w:t>29.1</w:t>
                              </w:r>
                            </w:p>
                          </w:txbxContent>
                        </v:textbox>
                      </v:rect>
                      <v:rect id="_x0000_s1026" o:spid="_x0000_s1026" o:spt="1" style="position:absolute;left:4333240;top:701040;height:227330;width:46164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65/y1gAAAAUBAAAPAAAAAAAAAAEAIAAAACIAAABkcnMvZG93bnJldi54bWxQSwECFAAU&#10;AAAACACHTuJAgDQDRWUCAAC3BAAADgAAAAAAAAABACAAAAAlAQAAZHJzL2Uyb0RvYy54bWxQSwUG&#10;AAAAAAYABgBZAQAA/AUAAAAA&#10;">
                        <v:fill on="f" focussize="0,0"/>
                        <v:stroke on="f" weight="1pt" miterlimit="8" joinstyle="miter"/>
                        <v:imagedata o:title=""/>
                        <o:lock v:ext="edit" aspectratio="f"/>
                        <v:textbox inset="0mm,0mm,0mm,0mm">
                          <w:txbxContent>
                            <w:p w14:paraId="5256BF2D">
                              <w:pPr>
                                <w:jc w:val="center"/>
                                <w:rPr>
                                  <w:rFonts w:hint="default" w:eastAsia="宋体"/>
                                  <w:lang w:val="en-US" w:eastAsia="zh-CN"/>
                                </w:rPr>
                              </w:pPr>
                              <w:r>
                                <w:rPr>
                                  <w:rFonts w:hint="eastAsia"/>
                                  <w:lang w:val="en-US" w:eastAsia="zh-CN"/>
                                </w:rPr>
                                <w:t>0.09</w:t>
                              </w:r>
                            </w:p>
                          </w:txbxContent>
                        </v:textbox>
                      </v:rect>
                      <v:rect id="_x0000_s1026" o:spid="_x0000_s1026" o:spt="1" style="position:absolute;left:2997200;top:13970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vrn/LWAAAABQEAAA8AAAAAAAAAAQAgAAAAIgAAAGRycy9kb3ducmV2LnhtbFBLAQIUABQA&#10;AAAIAIdO4kDIZNJAZAIAALcEAAAOAAAAAAAAAAEAIAAAACUBAABkcnMvZTJvRG9jLnhtbFBLBQYA&#10;AAAABgAGAFkBAAD7BQAAAAA=&#10;">
                        <v:fill on="f" focussize="0,0"/>
                        <v:stroke on="f" weight="1pt" miterlimit="8" joinstyle="miter"/>
                        <v:imagedata o:title=""/>
                        <o:lock v:ext="edit" aspectratio="f"/>
                        <v:textbox inset="0mm,0mm,0mm,0mm">
                          <w:txbxContent>
                            <w:p w14:paraId="09ECDD99">
                              <w:pPr>
                                <w:jc w:val="center"/>
                                <w:rPr>
                                  <w:rFonts w:hint="default" w:eastAsia="宋体"/>
                                  <w:lang w:val="en-US" w:eastAsia="zh-CN"/>
                                </w:rPr>
                              </w:pPr>
                              <w:r>
                                <w:rPr>
                                  <w:rFonts w:hint="eastAsia"/>
                                  <w:lang w:val="en-US" w:eastAsia="zh-CN"/>
                                </w:rPr>
                                <w:t>32.00</w:t>
                              </w:r>
                            </w:p>
                          </w:txbxContent>
                        </v:textbox>
                      </v:rect>
                      <v:shape id="_x0000_s1026" o:spid="_x0000_s1026" o:spt="100" style="position:absolute;left:2559050;top:1710690;height:165100;width:33020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bKhwe1wAAAAUBAAAPAAAAAAAAAAEAIAAA&#10;ACIAAABkcnMvZG93bnJldi54bWxQSwECFAAUAAAACACHTuJAY8dAI7gCAADXBQAADgAAAAAAAAAB&#10;ACAAAAAmAQAAZHJzL2Uyb0RvYy54bWxQSwUGAAAAAAYABgBZAQAAUAYAAAAA&#10;" path="m0,337c126,186,252,36,306,18c360,0,272,228,327,228c382,228,510,123,638,18e">
                        <v:fill on="f" focussize="0,0"/>
                        <v:stroke weight="1.25pt" color="#5A5A5A" joinstyle="round" dashstyle="1 1" endarrow="block"/>
                        <v:imagedata o:title=""/>
                        <o:lock v:ext="edit" aspectratio="t"/>
                      </v:shape>
                      <v:rect id="_x0000_s1026" o:spid="_x0000_s1026" o:spt="1" style="position:absolute;left:2581910;top:2369820;height:247650;width:39814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vrn/LWAAAABQEAAA8AAAAAAAAAAQAgAAAAIgAAAGRycy9kb3ducmV2LnhtbFBL&#10;AQIUABQAAAAIAIdO4kBfIlruagIAALgEAAAOAAAAAAAAAAEAIAAAACUBAABkcnMvZTJvRG9jLnht&#10;bFBLBQYAAAAABgAGAFkBAAABBgAAAAA=&#10;">
                        <v:fill on="f" focussize="0,0"/>
                        <v:stroke on="f" weight="1pt" miterlimit="8" joinstyle="miter"/>
                        <v:imagedata o:title=""/>
                        <o:lock v:ext="edit" aspectratio="f"/>
                        <v:textbox inset="0mm,0mm,0mm,0mm">
                          <w:txbxContent>
                            <w:p w14:paraId="35A71472">
                              <w:pPr>
                                <w:jc w:val="center"/>
                                <w:rPr>
                                  <w:rFonts w:hint="default" w:eastAsia="宋体"/>
                                  <w:lang w:val="en-US" w:eastAsia="zh-CN"/>
                                </w:rPr>
                              </w:pPr>
                              <w:r>
                                <w:rPr>
                                  <w:rFonts w:hint="eastAsia"/>
                                  <w:lang w:val="en-US" w:eastAsia="zh-CN"/>
                                </w:rPr>
                                <w:t>12.49</w:t>
                              </w:r>
                            </w:p>
                          </w:txbxContent>
                        </v:textbox>
                      </v:rect>
                      <v:rect id="_x0000_s1026" o:spid="_x0000_s1026" o:spt="1" style="position:absolute;left:1190625;top:2505710;height:216535;width:34607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uf8tYAAAAFAQAADwAAAAAAAAABACAAAAAiAAAAZHJzL2Rvd25yZXYueG1sUEsB&#10;AhQAFAAAAAgAh07iQPZNaa1pAgAAuAQAAA4AAAAAAAAAAQAgAAAAJQEAAGRycy9lMm9Eb2MueG1s&#10;UEsFBgAAAAAGAAYAWQEAAAAGAAAAAA==&#10;">
                        <v:fill on="f" focussize="0,0"/>
                        <v:stroke on="f" weight="1pt" miterlimit="8" joinstyle="miter"/>
                        <v:imagedata o:title=""/>
                        <o:lock v:ext="edit" aspectratio="f"/>
                        <v:textbox inset="0mm,0mm,0mm,0mm">
                          <w:txbxContent>
                            <w:p w14:paraId="261BA94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12.49</w:t>
                              </w:r>
                            </w:p>
                          </w:txbxContent>
                        </v:textbox>
                      </v:rect>
                      <v:group id="_x0000_s1026" o:spid="_x0000_s1026" o:spt="203" style="position:absolute;left:1391285;top:2155825;height:150495;width:991870;" coordorigin="4618,6981" coordsize="1562,237" o:gfxdata="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NLLURDWAAAABQEAAA8AAAAAAAAAAQAgAAAAIgAAAGRycy9kb3ducmV2&#10;LnhtbFBLAQIUABQAAAAIAIdO4kASbkYvGwMAAKcLAAAOAAAAAAAAAAEAIAAAACUBAABkcnMvZTJv&#10;RG9jLnhtbFBLBQYAAAAABgAGAFkBAACyBgAAAAA=&#10;">
                        <o:lock v:ext="edit" aspectratio="f"/>
                        <v:line id="_x0000_s1026" o:spid="_x0000_s1026" o:spt="20" style="position:absolute;left:6147;top:7048;flip:x;height:170;width:0;" filled="f" stroked="t" coordsize="21600,21600" o:gfxdata="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dRXKugAAANsA&#10;AAAPAAAAAAAAAAEAIAAAACIAAABkcnMvZG93bnJldi54bWxQSwECFAAUAAAACACHTuJAMy8FnjsA&#10;AAA5AAAAEAAAAAAAAAABACAAAAAJAQAAZHJzL3NoYXBleG1sLnhtbFBLBQYAAAAABgAGAFsBAACz&#10;AwAAAAA=&#10;">
                          <v:fill on="f" focussize="0,0"/>
                          <v:stroke weight="1.25pt" color="#000000" joinstyle="miter" dashstyle="dash"/>
                          <v:imagedata o:title=""/>
                          <o:lock v:ext="edit" aspectratio="f"/>
                        </v:line>
                        <v:shape id="_x0000_s1026" o:spid="_x0000_s1026" o:spt="32" type="#_x0000_t32" style="position:absolute;left:4650;top:7198;flip:x;height:0;width:1530;" filled="f" stroked="t" coordsize="21600,21600" o:gfxdata="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fnUL4A&#10;AADbAAAADwAAAAAAAAABACAAAAAiAAAAZHJzL2Rvd25yZXYueG1sUEsBAhQAFAAAAAgAh07iQDMv&#10;BZ47AAAAOQAAABAAAAAAAAAAAQAgAAAADQEAAGRycy9zaGFwZXhtbC54bWxQSwUGAAAAAAYABgBb&#10;AQAAtwMAAAAA&#10;">
                          <v:fill on="f" focussize="0,0"/>
                          <v:stroke weight="1.25pt" color="#000000" joinstyle="miter" dashstyle="dash"/>
                          <v:imagedata o:title=""/>
                          <o:lock v:ext="edit" aspectratio="f"/>
                        </v:shape>
                        <v:line id="_x0000_s1026" o:spid="_x0000_s1026" o:spt="20" style="position:absolute;left:4632;top:6998;flip:x;height:170;width:0;" filled="f" stroked="t" coordsize="21600,21600" o:gfxdata="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0EAvQAA&#10;ANsAAAAPAAAAAAAAAAEAIAAAACIAAABkcnMvZG93bnJldi54bWxQSwECFAAUAAAACACHTuJAMy8F&#10;njsAAAA5AAAAEAAAAAAAAAABACAAAAAMAQAAZHJzL3NoYXBleG1sLnhtbFBLBQYAAAAABgAGAFsB&#10;AAC2AwAAAAA=&#10;">
                          <v:fill on="f" focussize="0,0"/>
                          <v:stroke weight="1.25pt" color="#000000" joinstyle="miter" dashstyle="dash"/>
                          <v:imagedata o:title=""/>
                          <o:lock v:ext="edit" aspectratio="f"/>
                        </v:line>
                        <v:shape id="_x0000_s1026" o:spid="_x0000_s1026" o:spt="32" type="#_x0000_t32" style="position:absolute;left:4618;top:6981;flip:x;height:0;width:397;" filled="f" stroked="t" coordsize="21600,21600" o:gfxdata="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ThyGvQAA&#10;ANsAAAAPAAAAAAAAAAEAIAAAACIAAABkcnMvZG93bnJldi54bWxQSwECFAAUAAAACACHTuJAMy8F&#10;njsAAAA5AAAAEAAAAAAAAAABACAAAAAMAQAAZHJzL3NoYXBleG1sLnhtbFBLBQYAAAAABgAGAFsB&#10;AAC2AwAAAAA=&#10;">
                          <v:fill on="f" focussize="0,0"/>
                          <v:stroke weight="1.25pt" color="#000000" joinstyle="miter" dashstyle="dash" startarrow="block"/>
                          <v:imagedata o:title=""/>
                          <o:lock v:ext="edit" aspectratio="f"/>
                        </v:shape>
                      </v:group>
                      <v:rect id="_x0000_s1026" o:spid="_x0000_s1026" o:spt="1" style="position:absolute;left:1671955;top:2667635;height:288925;width:76517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1TozPWAAAABQEAAA8AAAAAAAAAAQAgAAAAIgAAAGRy&#10;cy9kb3ducmV2LnhtbFBLAQIUABQAAAAIAIdO4kC3snkCeQIAAOEEAAAOAAAAAAAAAAEAIAAAACUB&#10;AABkcnMvZTJvRG9jLnhtbFBLBQYAAAAABgAGAFkBAAAQBgAAAAA=&#10;">
                        <v:fill on="f" focussize="0,0"/>
                        <v:stroke weight="1.25pt" color="#000000" miterlimit="8" joinstyle="miter"/>
                        <v:imagedata o:title=""/>
                        <o:lock v:ext="edit" aspectratio="f"/>
                        <v:textbox inset="0mm,0mm,0mm,0mm">
                          <w:txbxContent>
                            <w:p w14:paraId="0662BE57">
                              <w:pPr>
                                <w:rPr>
                                  <w:rFonts w:hint="eastAsia" w:eastAsia="宋体"/>
                                  <w:lang w:val="en-US" w:eastAsia="zh-CN"/>
                                </w:rPr>
                              </w:pPr>
                              <w:r>
                                <w:rPr>
                                  <w:rFonts w:hint="eastAsia"/>
                                  <w:color w:val="000000"/>
                                  <w:lang w:val="en-US" w:eastAsia="zh-CN"/>
                                </w:rPr>
                                <w:t>绿化用水</w:t>
                              </w:r>
                            </w:p>
                          </w:txbxContent>
                        </v:textbox>
                      </v:rect>
                      <v:shape id="_x0000_s1026" o:spid="_x0000_s1026" o:spt="32" type="#_x0000_t32" style="position:absolute;left:2574925;top:375920;height:0;width:756285;"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TUihNYAAAAFAQAADwAAAAAA&#10;AAABACAAAAAiAAAAZHJzL2Rvd25yZXYueG1sUEsBAhQAFAAAAAgAh07iQIK0PocVAgAA+QMAAA4A&#10;AAAAAAAAAQAgAAAAJQEAAGRycy9lMm9Eb2MueG1sUEsFBgAAAAAGAAYAWQEAAKwFAAAAAA==&#10;">
                        <v:fill on="f" focussize="0,0"/>
                        <v:stroke weight="1.25pt" color="#000000" miterlimit="8" joinstyle="miter" endarrow="open"/>
                        <v:imagedata o:title=""/>
                        <o:lock v:ext="edit" aspectratio="f"/>
                      </v:shape>
                      <v:group id="_x0000_s1026" o:spid="_x0000_s1026" o:spt="203" style="position:absolute;left:1152525;top:398780;height:2411730;width:535940;" coordorigin="2351,604" coordsize="844,3798" o:gfxdata="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0stRENYAAAAFAQAA&#10;DwAAAAAAAAABACAAAAAiAAAAZHJzL2Rvd25yZXYueG1sUEsBAhQAFAAAAAgAh07iQKSD0OA4AwAA&#10;jQ0AAA4AAAAAAAAAAQAgAAAAJQEAAGRycy9lMm9Eb2MueG1sUEsFBgAAAAAGAAYAWQEAAM8GAAAA&#10;AA==&#10;">
                        <o:lock v:ext="edit" aspectratio="f"/>
                        <v:shape id="_x0000_s1026" o:spid="_x0000_s1026" o:spt="32" type="#_x0000_t32" style="position:absolute;left:2366;top:604;flip:x;height:3798;width:0;" filled="f" stroked="t" coordsize="21600,21600" o:gfxdata="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EbD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shape>
                        <v:shape id="_x0000_s1026" o:spid="_x0000_s1026" o:spt="32" type="#_x0000_t32" style="position:absolute;left:2387;top:628;height:0;width:796;" filled="f" stroked="t" coordsize="21600,21600" o:gfxdata="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LdwL4A&#10;AADcAAAADwAAAAAAAAABACAAAAAiAAAAZHJzL2Rvd25yZXYueG1sUEsBAhQAFAAAAAgAh07iQDMv&#10;BZ47AAAAOQAAABAAAAAAAAAAAQAgAAAADQEAAGRycy9zaGFwZXhtbC54bWxQSwUGAAAAAAYABgBb&#10;AQAAtwMAAAAA&#10;">
                          <v:fill on="f" focussize="0,0"/>
                          <v:stroke weight="1.25pt" color="#000000" miterlimit="8" joinstyle="miter" endarrow="open"/>
                          <v:imagedata o:title=""/>
                          <o:lock v:ext="edit" aspectratio="f"/>
                        </v:shape>
                        <v:shape id="_x0000_s1026" o:spid="_x0000_s1026" o:spt="32" type="#_x0000_t32" style="position:absolute;left:2399;top:1715;height:0;width:796;" filled="f" stroked="t" coordsize="21600,21600" o:gfxdata="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ZbLsAAADc&#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_x0000_s1026" o:spid="_x0000_s1026" o:spt="32" type="#_x0000_t32" style="position:absolute;left:2351;top:3179;height:0;width:796;" filled="f" stroked="t" coordsize="21600,21600" o:gfxdata="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imWb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_x0000_s1026" o:spid="_x0000_s1026" o:spt="32" type="#_x0000_t32" style="position:absolute;left:2392;top:4401;height:0;width:796;" filled="f" stroked="t" coordsize="21600,21600" o:gfxdata="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OgWr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group>
                      <v:shape id="_x0000_s1026" o:spid="_x0000_s1026" o:spt="32" type="#_x0000_t32" style="position:absolute;left:4138930;top:356235;height:0;width:61214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UihNYAAAAFAQAADwAA&#10;AAAAAAABACAAAAAiAAAAZHJzL2Rvd25yZXYueG1sUEsBAhQAFAAAAAgAh07iQGaqWSIYAgAA+QMA&#10;AA4AAAAAAAAAAQAgAAAAJQEAAGRycy9lMm9Eb2MueG1sUEsFBgAAAAAGAAYAWQEAAK8FAAAAAA==&#10;">
                        <v:fill on="f" focussize="0,0"/>
                        <v:stroke weight="1.25pt" color="#000000" miterlimit="8" joinstyle="miter" endarrow="open"/>
                        <v:imagedata o:title=""/>
                        <o:lock v:ext="edit" aspectratio="f"/>
                      </v:shape>
                      <v:rect id="_x0000_s1026" o:spid="_x0000_s1026" o:spt="1" style="position:absolute;left:4815840;top:236855;height:1290955;width:43751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1TozPWAAAABQEAAA8AAAAAAAAAAQAgAAAAIgAAAGRy&#10;cy9kb3ducmV2LnhtbFBLAQIUABQAAAAIAIdO4kCs7YD1eQIAAOEEAAAOAAAAAAAAAAEAIAAAACUB&#10;AABkcnMvZTJvRG9jLnhtbFBLBQYAAAAABgAGAFkBAAAQBgAAAAA=&#10;">
                        <v:fill on="f" focussize="0,0"/>
                        <v:stroke weight="1.25pt" color="#000000" miterlimit="8" joinstyle="miter"/>
                        <v:imagedata o:title=""/>
                        <o:lock v:ext="edit" aspectratio="f"/>
                        <v:textbox inset="0mm,0mm,0mm,0mm">
                          <w:txbxContent>
                            <w:p w14:paraId="0C6C9422">
                              <w:pPr>
                                <w:jc w:val="center"/>
                                <w:rPr>
                                  <w:rFonts w:hint="eastAsia" w:eastAsia="宋体"/>
                                  <w:lang w:val="en-US" w:eastAsia="zh-CN"/>
                                </w:rPr>
                              </w:pPr>
                              <w:r>
                                <w:rPr>
                                  <w:rFonts w:hint="eastAsia"/>
                                  <w:szCs w:val="21"/>
                                  <w:lang w:val="en-US" w:eastAsia="zh-CN"/>
                                </w:rPr>
                                <w:t>市政污水管网</w:t>
                              </w:r>
                            </w:p>
                          </w:txbxContent>
                        </v:textbox>
                      </v:rect>
                      <v:shape id="_x0000_s1026" o:spid="_x0000_s1026" o:spt="32" type="#_x0000_t32" style="position:absolute;left:3376930;top:1005205;height:0;width:50419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UihNYAAAAFAQAADwAA&#10;AAAAAAABACAAAAAiAAAAZHJzL2Rvd25yZXYueG1sUEsBAhQAFAAAAAgAh07iQFaHPAcYAgAA+gMA&#10;AA4AAAAAAAAAAQAgAAAAJQEAAGRycy9lMm9Eb2MueG1sUEsFBgAAAAAGAAYAWQEAAK8FAAAAAA==&#10;">
                        <v:fill on="f" focussize="0,0"/>
                        <v:stroke weight="1.25pt" color="#000000" miterlimit="8" joinstyle="miter" endarrow="open"/>
                        <v:imagedata o:title=""/>
                        <o:lock v:ext="edit" aspectratio="f"/>
                      </v:shape>
                      <v:rect id="_x0000_s1026" o:spid="_x0000_s1026" o:spt="1" style="position:absolute;left:3361690;top:712470;height:236855;width:450850;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uf8tYAAAAFAQAADwAAAAAAAAABACAAAAAiAAAAZHJzL2Rvd25yZXYueG1sUEsB&#10;AhQAFAAAAAgAh07iQFoysLdpAgAAtwQAAA4AAAAAAAAAAQAgAAAAJQEAAGRycy9lMm9Eb2MueG1s&#10;UEsFBgAAAAAGAAYAWQEAAAAGAAAAAA==&#10;">
                        <v:fill on="f" focussize="0,0"/>
                        <v:stroke on="f" weight="1pt" miterlimit="8" joinstyle="miter"/>
                        <v:imagedata o:title=""/>
                        <o:lock v:ext="edit" aspectratio="f"/>
                        <v:textbox inset="0mm,0mm,0mm,0mm">
                          <w:txbxContent>
                            <w:p w14:paraId="5F8AC43E">
                              <w:pPr>
                                <w:jc w:val="center"/>
                                <w:rPr>
                                  <w:rFonts w:hint="default" w:eastAsia="宋体"/>
                                  <w:lang w:val="en-US" w:eastAsia="zh-CN"/>
                                </w:rPr>
                              </w:pPr>
                              <w:r>
                                <w:rPr>
                                  <w:rFonts w:hint="eastAsia"/>
                                  <w:lang w:val="en-US" w:eastAsia="zh-CN"/>
                                </w:rPr>
                                <w:t>0.09</w:t>
                              </w:r>
                            </w:p>
                          </w:txbxContent>
                        </v:textbox>
                      </v:rect>
                      <v:shape id="_x0000_s1026" o:spid="_x0000_s1026" o:spt="100" style="position:absolute;left:2316480;top:2493645;height:165100;width:330200;" filled="f" stroked="t" coordsize="638,337" o:gfxdata="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yocHtcAAAAFAQAADwAAAAAAAAABACAA&#10;AAAiAAAAZHJzL2Rvd25yZXYueG1sUEsBAhQAFAAAAAgAh07iQLVesxm5AgAA1wUAAA4AAAAAAAAA&#10;AQAgAAAAJgEAAGRycy9lMm9Eb2MueG1sUEsFBgAAAAAGAAYAWQEAAFEGAAAAAA==&#10;" path="m0,337c126,186,252,36,306,18c360,0,272,228,327,228c382,228,510,123,638,18e">
                        <v:fill on="f" focussize="0,0"/>
                        <v:stroke weight="1.25pt" color="#5A5A5A" joinstyle="round" dashstyle="1 1" endarrow="block"/>
                        <v:imagedata o:title=""/>
                        <o:lock v:ext="edit" aspectratio="t"/>
                      </v:shape>
                      <v:rect id="_x0000_s1026" o:spid="_x0000_s1026" o:spt="1" style="position:absolute;left:3335020;top:247015;height:243840;width:73215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1TozPWAAAABQEAAA8AAAAAAAAAAQAgAAAAIgAAAGRycy9k&#10;b3ducmV2LnhtbFBLAQIUABQAAAAIAIdO4kCMp/S0dgIAAN4EAAAOAAAAAAAAAAEAIAAAACUBAABk&#10;cnMvZTJvRG9jLnhtbFBLBQYAAAAABgAGAFkBAAANBgAAAAA=&#10;">
                        <v:fill on="f" focussize="0,0"/>
                        <v:stroke weight="1.25pt" color="#000000" miterlimit="8" joinstyle="miter"/>
                        <v:imagedata o:title=""/>
                        <o:lock v:ext="edit" aspectratio="f"/>
                        <v:textbox inset="0mm,0mm,0mm,0mm">
                          <w:txbxContent>
                            <w:p w14:paraId="4277B59A">
                              <w:pPr>
                                <w:jc w:val="center"/>
                                <w:rPr>
                                  <w:rFonts w:hint="default"/>
                                  <w:lang w:val="en-US" w:eastAsia="zh-CN"/>
                                </w:rPr>
                              </w:pPr>
                              <w:r>
                                <w:rPr>
                                  <w:rFonts w:hint="eastAsia"/>
                                  <w:lang w:val="en-US" w:eastAsia="zh-CN"/>
                                </w:rPr>
                                <w:t>化粪池</w:t>
                              </w:r>
                            </w:p>
                          </w:txbxContent>
                        </v:textbox>
                      </v:rect>
                      <v:rect id="_x0000_s1026" o:spid="_x0000_s1026" o:spt="1" style="position:absolute;left:4116070;top:102870;height:227330;width:46164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65/y1gAAAAUBAAAPAAAAAAAAAAEAIAAAACIAAABkcnMvZG93bnJldi54bWxQSwECFAAU&#10;AAAACACHTuJACaBqUGUCAAC1BAAADgAAAAAAAAABACAAAAAlAQAAZHJzL2Uyb0RvYy54bWxQSwUG&#10;AAAAAAYABgBZAQAA/AUAAAAA&#10;">
                        <v:fill on="f" focussize="0,0"/>
                        <v:stroke on="f" weight="1pt" miterlimit="8" joinstyle="miter"/>
                        <v:imagedata o:title=""/>
                        <o:lock v:ext="edit" aspectratio="f"/>
                        <v:textbox inset="0mm,0mm,0mm,0mm">
                          <w:txbxContent>
                            <w:p w14:paraId="20D3EF81">
                              <w:pPr>
                                <w:jc w:val="center"/>
                                <w:rPr>
                                  <w:rFonts w:hint="default" w:eastAsia="宋体"/>
                                  <w:lang w:val="en-US" w:eastAsia="zh-CN"/>
                                </w:rPr>
                              </w:pPr>
                              <w:r>
                                <w:rPr>
                                  <w:rFonts w:hint="eastAsia"/>
                                  <w:lang w:val="en-US" w:eastAsia="zh-CN"/>
                                </w:rPr>
                                <w:t>32.00</w:t>
                              </w:r>
                            </w:p>
                          </w:txbxContent>
                        </v:textbox>
                      </v:rect>
                      <v:shape id="_x0000_s1026" o:spid="_x0000_s1026" o:spt="32" type="#_x0000_t32" style="position:absolute;left:4426585;top:959485;height:0;width:431800;"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TUihNYAAAAFAQAADwAAAAAA&#10;AAABACAAAAAiAAAAZHJzL2Rvd25yZXYueG1sUEsBAhQAFAAAAAgAh07iQKhSL7IVAgAA9wMAAA4A&#10;AAAAAAAAAQAgAAAAJQEAAGRycy9lMm9Eb2MueG1sUEsFBgAAAAAGAAYAWQEAAKwFAAAAAA==&#10;">
                        <v:fill on="f" focussize="0,0"/>
                        <v:stroke weight="1.25pt" color="#000000" miterlimit="8" joinstyle="miter" endarrow="open"/>
                        <v:imagedata o:title=""/>
                        <o:lock v:ext="edit" aspectratio="f"/>
                      </v:shape>
                      <v:group id="_x0000_s1026" o:spid="_x0000_s1026" o:spt="203" style="position:absolute;left:1899285;top:1237615;height:251460;width:2879090;" coordorigin="2991,1949" coordsize="4534,396" o:gfxdata="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LLURDWAAAA&#10;BQEAAA8AAAAAAAAAAQAgAAAAIgAAAGRycy9kb3ducmV2LnhtbFBLAQIUABQAAAAIAIdO4kAY5c7v&#10;ygIAAO4GAAAOAAAAAAAAAAEAIAAAACUBAABkcnMvZTJvRG9jLnhtbFBLBQYAAAAABgAGAFkBAABh&#10;BgAAAAA=&#10;">
                        <o:lock v:ext="edit" aspectratio="f"/>
                        <v:shape id="_x0000_s1026" o:spid="_x0000_s1026" o:spt="32" type="#_x0000_t32" style="position:absolute;left:2991;top:2325;height:0;width:4535;" filled="f" stroked="t" coordsize="21600,21600" o:gfxdata="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o2h7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line id="_x0000_s1026" o:spid="_x0000_s1026" o:spt="20" style="position:absolute;left:2999;top:1949;height:397;width:0;" filled="f" stroked="t" coordsize="21600,21600" o:gfxdata="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uij7sAAADa&#10;AAAADwAAAAAAAAABACAAAAAiAAAAZHJzL2Rvd25yZXYueG1sUEsBAhQAFAAAAAgAh07iQDMvBZ47&#10;AAAAOQAAABAAAAAAAAAAAQAgAAAACgEAAGRycy9zaGFwZXhtbC54bWxQSwUGAAAAAAYABgBbAQAA&#10;tAMAAAAA&#10;">
                          <v:fill on="f" focussize="0,0"/>
                          <v:stroke weight="2pt" color="#000000 [3213]" joinstyle="round"/>
                          <v:imagedata o:title=""/>
                          <o:lock v:ext="edit" aspectratio="f"/>
                        </v:line>
                      </v:group>
                      <v:rect id="_x0000_s1026" o:spid="_x0000_s1026" o:spt="1" style="position:absolute;left:1666875;top:770255;height:478790;width:583565;v-text-anchor:middle;" filled="f" stroked="t" coordsize="21600,21600" o:gfxdata="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1TozPWAAAABQEAAA8AAAAAAAAAAQAgAAAAIgAAAGRycy9k&#10;b3ducmV2LnhtbFBLAQIUABQAAAAIAIdO4kAhw3KfdgIAAN4EAAAOAAAAAAAAAAEAIAAAACUBAABk&#10;cnMvZTJvRG9jLnhtbFBLBQYAAAAABgAGAFkBAAANBgAAAAA=&#10;">
                        <v:fill on="f" focussize="0,0"/>
                        <v:stroke weight="1.25pt" color="#000000" miterlimit="8" joinstyle="miter"/>
                        <v:imagedata o:title=""/>
                        <o:lock v:ext="edit" aspectratio="f"/>
                        <v:textbox inset="0mm,0mm,0mm,0mm">
                          <w:txbxContent>
                            <w:p w14:paraId="12E45E49">
                              <w:pPr>
                                <w:jc w:val="center"/>
                                <w:rPr>
                                  <w:rFonts w:hint="default" w:eastAsia="宋体"/>
                                  <w:color w:val="000000"/>
                                  <w:lang w:val="en-US" w:eastAsia="zh-CN"/>
                                </w:rPr>
                              </w:pPr>
                              <w:r>
                                <w:rPr>
                                  <w:rFonts w:hint="eastAsia"/>
                                  <w:color w:val="000000"/>
                                  <w:lang w:val="en-US" w:eastAsia="zh-CN"/>
                                </w:rPr>
                                <w:t>纯</w:t>
                              </w:r>
                              <w:r>
                                <w:rPr>
                                  <w:rFonts w:hint="eastAsia"/>
                                  <w:color w:val="000000"/>
                                </w:rPr>
                                <w:t>水</w:t>
                              </w:r>
                              <w:r>
                                <w:rPr>
                                  <w:rFonts w:hint="eastAsia"/>
                                  <w:color w:val="000000"/>
                                  <w:lang w:val="en-US" w:eastAsia="zh-CN"/>
                                </w:rPr>
                                <w:t>制备设备</w:t>
                              </w:r>
                            </w:p>
                          </w:txbxContent>
                        </v:textbox>
                      </v:rect>
                      <v:shape id="_x0000_s1026" o:spid="_x0000_s1026" o:spt="32" type="#_x0000_t32" style="position:absolute;left:2249805;top:959485;height:0;width:467995;" filled="f" stroked="t" coordsize="21600,21600" o:gfxdata="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NSKE1gAAAAUBAAAPAAAA&#10;AAAAAAEAIAAAACIAAABkcnMvZG93bnJldi54bWxQSwECFAAUAAAACACHTuJAMI/VMBcCAAD5AwAA&#10;DgAAAAAAAAABACAAAAAlAQAAZHJzL2Uyb0RvYy54bWxQSwUGAAAAAAYABgBZAQAArgUAAAAA&#10;">
                        <v:fill on="f" focussize="0,0"/>
                        <v:stroke weight="1.25pt" color="#000000" miterlimit="8" joinstyle="miter" endarrow="open"/>
                        <v:imagedata o:title=""/>
                        <o:lock v:ext="edit" aspectratio="f"/>
                      </v:shape>
                      <v:rect id="_x0000_s1026" o:spid="_x0000_s1026" o:spt="1" style="position:absolute;left:2250440;top:641985;height:259080;width:419735;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vrn/LWAAAABQEAAA8AAAAAAAAAAQAgAAAAIgAAAGRycy9kb3ducmV2LnhtbFBL&#10;AQIUABQAAAAIAIdO4kARwCd2agIAALcEAAAOAAAAAAAAAAEAIAAAACUBAABkcnMvZTJvRG9jLnht&#10;bFBLBQYAAAAABgAGAFkBAAABBgAAAAA=&#10;">
                        <v:fill on="f" focussize="0,0"/>
                        <v:stroke on="f" weight="1pt" miterlimit="8" joinstyle="miter"/>
                        <v:imagedata o:title=""/>
                        <o:lock v:ext="edit" aspectratio="f"/>
                        <v:textbox inset="0mm,0mm,0mm,0mm">
                          <w:txbxContent>
                            <w:p w14:paraId="0A787C2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xbxContent>
                        </v:textbox>
                      </v:rect>
                      <v:rect id="_x0000_s1026" o:spid="_x0000_s1026" o:spt="1" style="position:absolute;left:2372360;top:1229995;height:222250;width:852170;v-text-anchor:middle;" filled="f" stroked="f" coordsize="21600,21600" o:gfxdata="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uf8tYAAAAFAQAADwAAAAAAAAABACAAAAAiAAAAZHJzL2Rvd25yZXYueG1sUEsBAhQA&#10;FAAAAAgAh07iQPp/Ui9mAgAAuAQAAA4AAAAAAAAAAQAgAAAAJQEAAGRycy9lMm9Eb2MueG1sUEsF&#10;BgAAAAAGAAYAWQEAAP0FAAAAAA==&#10;">
                        <v:fill on="f" focussize="0,0"/>
                        <v:stroke on="f" weight="1pt" miterlimit="8" joinstyle="miter"/>
                        <v:imagedata o:title=""/>
                        <o:lock v:ext="edit" aspectratio="f"/>
                        <v:textbox inset="0mm,0mm,0mm,0mm">
                          <w:txbxContent>
                            <w:p w14:paraId="76DDA2F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浓水0.07</w:t>
                              </w:r>
                            </w:p>
                          </w:txbxContent>
                        </v:textbox>
                      </v:rect>
                      <w10:wrap type="none"/>
                      <w10:anchorlock/>
                    </v:group>
                  </w:pict>
                </mc:Fallback>
              </mc:AlternateContent>
            </w:r>
          </w:p>
          <w:p w14:paraId="46341A77">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226" w:lineRule="auto"/>
              <w:ind w:left="425" w:leftChars="0" w:right="0" w:hanging="425"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0"/>
                <w:sz w:val="21"/>
                <w:szCs w:val="20"/>
                <w:highlight w:val="none"/>
                <w:lang w:val="en-US" w:eastAsia="zh-CN" w:bidi="ar-SA"/>
              </w:rPr>
              <w:t xml:space="preserve"> 项目水平衡图</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b/>
                <w:bCs/>
                <w:color w:val="auto"/>
                <w:highlight w:val="none"/>
                <w:lang w:val="en-US" w:eastAsia="zh-CN"/>
              </w:rPr>
              <w:t>m</w:t>
            </w:r>
            <w:r>
              <w:rPr>
                <w:rFonts w:hint="default" w:ascii="Times New Roman" w:hAnsi="Times New Roman" w:cs="Times New Roman"/>
                <w:b/>
                <w:bCs/>
                <w:color w:val="auto"/>
                <w:highlight w:val="none"/>
                <w:vertAlign w:val="superscript"/>
                <w:lang w:val="en-US" w:eastAsia="zh-CN"/>
              </w:rPr>
              <w:t>3</w:t>
            </w: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d</w:t>
            </w:r>
          </w:p>
          <w:p w14:paraId="702468BE">
            <w:pPr>
              <w:pStyle w:val="9"/>
              <w:keepNext w:val="0"/>
              <w:keepLines w:val="0"/>
              <w:numPr>
                <w:ilvl w:val="0"/>
                <w:numId w:val="0"/>
              </w:numPr>
              <w:suppressLineNumbers w:val="0"/>
              <w:snapToGrid w:val="0"/>
              <w:spacing w:before="120" w:beforeLines="50" w:beforeAutospacing="0" w:after="0" w:afterAutospacing="0" w:line="360" w:lineRule="auto"/>
              <w:ind w:left="902" w:leftChars="0" w:right="0" w:rightChars="0" w:hanging="42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供电</w:t>
            </w:r>
          </w:p>
          <w:p w14:paraId="2E9CEEBB">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由园区电网</w:t>
            </w:r>
            <w:r>
              <w:rPr>
                <w:rFonts w:hint="eastAsia" w:ascii="Times New Roman" w:hAnsi="Times New Roman" w:eastAsia="宋体" w:cs="Times New Roman"/>
                <w:color w:val="auto"/>
                <w:sz w:val="24"/>
                <w:szCs w:val="24"/>
                <w:lang w:val="en-US" w:eastAsia="zh-CN"/>
              </w:rPr>
              <w:t>接入厂区变配电所，箱变容量为6000KVA。</w:t>
            </w:r>
          </w:p>
          <w:p w14:paraId="1F496443">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供暖制冷</w:t>
            </w:r>
          </w:p>
          <w:p w14:paraId="6E668E47">
            <w:pPr>
              <w:keepNext w:val="0"/>
              <w:keepLines w:val="0"/>
              <w:suppressLineNumbers w:val="0"/>
              <w:snapToGrid w:val="0"/>
              <w:spacing w:before="0" w:beforeAutospacing="0" w:after="0" w:afterAutospacing="0" w:line="360" w:lineRule="auto"/>
              <w:ind w:left="0" w:right="0" w:firstLine="480" w:firstLineChars="200"/>
              <w:rPr>
                <w:rFonts w:hint="eastAsia"/>
                <w:sz w:val="24"/>
                <w:szCs w:val="22"/>
                <w:lang w:val="en-US" w:eastAsia="zh-CN"/>
              </w:rPr>
            </w:pPr>
            <w:r>
              <w:rPr>
                <w:rFonts w:hint="eastAsia"/>
                <w:sz w:val="24"/>
                <w:szCs w:val="22"/>
                <w:lang w:val="en-US" w:eastAsia="zh-CN"/>
              </w:rPr>
              <w:t>生产区：设备采用电加热；</w:t>
            </w:r>
          </w:p>
          <w:p w14:paraId="108A0EA0">
            <w:pPr>
              <w:keepNext w:val="0"/>
              <w:keepLines w:val="0"/>
              <w:suppressLineNumbers w:val="0"/>
              <w:snapToGrid w:val="0"/>
              <w:spacing w:before="0" w:beforeAutospacing="0" w:after="0" w:afterAutospacing="0" w:line="360" w:lineRule="auto"/>
              <w:ind w:left="0" w:right="0" w:firstLine="480" w:firstLineChars="200"/>
              <w:rPr>
                <w:rFonts w:hint="eastAsia"/>
                <w:sz w:val="24"/>
                <w:szCs w:val="22"/>
              </w:rPr>
            </w:pPr>
            <w:r>
              <w:rPr>
                <w:rFonts w:hint="eastAsia"/>
                <w:sz w:val="24"/>
                <w:szCs w:val="22"/>
                <w:lang w:val="en-US" w:eastAsia="zh-CN"/>
              </w:rPr>
              <w:t>生活区：</w:t>
            </w:r>
            <w:r>
              <w:rPr>
                <w:rFonts w:hint="eastAsia"/>
                <w:sz w:val="24"/>
                <w:szCs w:val="22"/>
              </w:rPr>
              <w:t>项目采用分体式空调供暖。</w:t>
            </w:r>
          </w:p>
          <w:p w14:paraId="0644D4F2">
            <w:pPr>
              <w:keepNext w:val="0"/>
              <w:keepLines w:val="0"/>
              <w:suppressLineNumbers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FF0000"/>
                <w:sz w:val="24"/>
                <w:szCs w:val="22"/>
                <w:lang w:val="en-US" w:eastAsia="zh-CN"/>
              </w:rPr>
            </w:pPr>
            <w:r>
              <w:rPr>
                <w:rFonts w:hint="eastAsia" w:ascii="Times New Roman" w:hAnsi="Times New Roman" w:eastAsia="宋体" w:cs="Times New Roman"/>
                <w:b/>
                <w:bCs/>
                <w:color w:val="FF0000"/>
                <w:sz w:val="24"/>
                <w:szCs w:val="22"/>
                <w:lang w:val="en-US" w:eastAsia="zh-CN"/>
              </w:rPr>
              <w:t>（5）氮气</w:t>
            </w:r>
          </w:p>
          <w:p w14:paraId="390BD7A0">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FF0000"/>
                <w:sz w:val="24"/>
                <w:szCs w:val="22"/>
                <w:lang w:val="en-US" w:eastAsia="zh-CN"/>
              </w:rPr>
            </w:pPr>
            <w:r>
              <w:rPr>
                <w:rFonts w:hint="eastAsia" w:ascii="Times New Roman" w:hAnsi="Times New Roman" w:eastAsia="宋体" w:cs="Times New Roman"/>
                <w:color w:val="FF0000"/>
                <w:sz w:val="24"/>
                <w:szCs w:val="22"/>
                <w:lang w:val="en-US" w:eastAsia="zh-CN"/>
              </w:rPr>
              <w:t>氮气（纯度99.99%）年耗量为36000m</w:t>
            </w:r>
            <w:r>
              <w:rPr>
                <w:rFonts w:hint="eastAsia" w:ascii="Times New Roman" w:hAnsi="Times New Roman" w:eastAsia="宋体" w:cs="Times New Roman"/>
                <w:color w:val="FF0000"/>
                <w:sz w:val="24"/>
                <w:szCs w:val="22"/>
                <w:vertAlign w:val="superscript"/>
                <w:lang w:val="en-US" w:eastAsia="zh-CN"/>
              </w:rPr>
              <w:t>3</w:t>
            </w:r>
            <w:r>
              <w:rPr>
                <w:rFonts w:hint="eastAsia" w:ascii="Times New Roman" w:hAnsi="Times New Roman" w:eastAsia="宋体" w:cs="Times New Roman"/>
                <w:color w:val="FF0000"/>
                <w:sz w:val="24"/>
                <w:szCs w:val="22"/>
                <w:lang w:val="en-US" w:eastAsia="zh-CN"/>
              </w:rPr>
              <w:t>/a，用作机壳热处理时的保护气体，新建制氮机组，制氮装置规模50Nm</w:t>
            </w:r>
            <w:r>
              <w:rPr>
                <w:rFonts w:hint="eastAsia" w:ascii="Times New Roman" w:hAnsi="Times New Roman" w:eastAsia="宋体" w:cs="Times New Roman"/>
                <w:color w:val="FF0000"/>
                <w:sz w:val="24"/>
                <w:szCs w:val="22"/>
                <w:vertAlign w:val="superscript"/>
                <w:lang w:val="en-US" w:eastAsia="zh-CN"/>
              </w:rPr>
              <w:t>3</w:t>
            </w:r>
            <w:r>
              <w:rPr>
                <w:rFonts w:hint="eastAsia" w:ascii="Times New Roman" w:hAnsi="Times New Roman" w:eastAsia="宋体" w:cs="Times New Roman"/>
                <w:color w:val="FF0000"/>
                <w:sz w:val="24"/>
                <w:szCs w:val="22"/>
                <w:lang w:val="en-US" w:eastAsia="zh-CN"/>
              </w:rPr>
              <w:t>/h，氮气完全满足项目需求。</w:t>
            </w:r>
          </w:p>
          <w:p w14:paraId="51135083">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420" w:leftChars="200" w:right="0" w:rightChars="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lang w:val="en-US" w:eastAsia="zh-CN"/>
              </w:rPr>
              <w:t>劳动定员及工作制度</w:t>
            </w:r>
          </w:p>
          <w:p w14:paraId="5F1C4AA5">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default" w:ascii="Times New Roman" w:hAnsi="Times New Roman" w:eastAsia="宋体" w:cs="Times New Roman"/>
                <w:bCs/>
                <w:snapToGrid w:val="0"/>
                <w:color w:val="0000FF"/>
                <w:kern w:val="0"/>
                <w:sz w:val="24"/>
              </w:rPr>
            </w:pPr>
            <w:r>
              <w:rPr>
                <w:rFonts w:hint="default" w:ascii="Times New Roman" w:hAnsi="Times New Roman" w:cs="Times New Roman"/>
                <w:bCs/>
                <w:snapToGrid w:val="0"/>
                <w:color w:val="auto"/>
                <w:kern w:val="0"/>
                <w:sz w:val="24"/>
              </w:rPr>
              <w:t>项目</w:t>
            </w:r>
            <w:r>
              <w:rPr>
                <w:rFonts w:hint="eastAsia" w:cs="Times New Roman"/>
                <w:bCs/>
                <w:snapToGrid w:val="0"/>
                <w:color w:val="auto"/>
                <w:kern w:val="0"/>
                <w:sz w:val="24"/>
                <w:lang w:val="en-US" w:eastAsia="zh-CN"/>
              </w:rPr>
              <w:t>劳动定员500人，</w:t>
            </w:r>
            <w:r>
              <w:rPr>
                <w:rFonts w:hint="default" w:ascii="Times New Roman" w:hAnsi="Times New Roman" w:cs="Times New Roman"/>
                <w:bCs/>
                <w:snapToGrid w:val="0"/>
                <w:color w:val="auto"/>
                <w:kern w:val="0"/>
                <w:sz w:val="24"/>
              </w:rPr>
              <w:t>年工作3</w:t>
            </w:r>
            <w:r>
              <w:rPr>
                <w:rFonts w:hint="eastAsia" w:cs="Times New Roman"/>
                <w:bCs/>
                <w:snapToGrid w:val="0"/>
                <w:color w:val="auto"/>
                <w:kern w:val="0"/>
                <w:sz w:val="24"/>
                <w:lang w:val="en-US" w:eastAsia="zh-CN"/>
              </w:rPr>
              <w:t>0</w:t>
            </w:r>
            <w:r>
              <w:rPr>
                <w:rFonts w:hint="default" w:ascii="Times New Roman" w:hAnsi="Times New Roman" w:cs="Times New Roman"/>
                <w:bCs/>
                <w:snapToGrid w:val="0"/>
                <w:color w:val="auto"/>
                <w:kern w:val="0"/>
                <w:sz w:val="24"/>
              </w:rPr>
              <w:t>0</w:t>
            </w:r>
            <w:r>
              <w:rPr>
                <w:rFonts w:hint="default" w:ascii="Times New Roman" w:hAnsi="Times New Roman" w:eastAsia="宋体" w:cs="Times New Roman"/>
                <w:bCs/>
                <w:snapToGrid w:val="0"/>
                <w:color w:val="auto"/>
                <w:kern w:val="0"/>
                <w:sz w:val="24"/>
              </w:rPr>
              <w:t>天，</w:t>
            </w:r>
            <w:r>
              <w:rPr>
                <w:rFonts w:hint="eastAsia" w:cs="Times New Roman"/>
                <w:bCs/>
                <w:snapToGrid w:val="0"/>
                <w:color w:val="auto"/>
                <w:kern w:val="0"/>
                <w:sz w:val="24"/>
                <w:lang w:val="en-US" w:eastAsia="zh-CN"/>
              </w:rPr>
              <w:t>管理人员实行8小时工作制，生产人员实行两班倒工作制，每班10</w:t>
            </w:r>
            <w:r>
              <w:rPr>
                <w:rFonts w:hint="default" w:ascii="Times New Roman" w:hAnsi="Times New Roman" w:eastAsia="宋体" w:cs="Times New Roman"/>
                <w:bCs/>
                <w:snapToGrid w:val="0"/>
                <w:color w:val="auto"/>
                <w:kern w:val="0"/>
                <w:sz w:val="24"/>
              </w:rPr>
              <w:t>小时</w:t>
            </w:r>
            <w:r>
              <w:rPr>
                <w:rFonts w:hint="eastAsia" w:cs="Times New Roman"/>
                <w:bCs/>
                <w:snapToGrid w:val="0"/>
                <w:color w:val="auto"/>
                <w:kern w:val="0"/>
                <w:sz w:val="24"/>
                <w:lang w:eastAsia="zh-CN"/>
              </w:rPr>
              <w:t>。</w:t>
            </w:r>
          </w:p>
          <w:p w14:paraId="2F958DDB">
            <w:pPr>
              <w:pStyle w:val="9"/>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420" w:leftChars="200" w:right="0" w:rightChars="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w:t>
            </w:r>
            <w:r>
              <w:rPr>
                <w:rFonts w:hint="default" w:ascii="Times New Roman" w:hAnsi="Times New Roman" w:eastAsia="宋体" w:cs="Times New Roman"/>
                <w:b/>
                <w:bCs/>
                <w:color w:val="auto"/>
                <w:lang w:val="en-US" w:eastAsia="zh-CN"/>
              </w:rPr>
              <w:t>平面布置及合理性分析</w:t>
            </w:r>
          </w:p>
          <w:p w14:paraId="28B84978">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default"/>
              </w:rPr>
            </w:pPr>
            <w:r>
              <w:rPr>
                <w:rFonts w:hint="eastAsia" w:cs="Times New Roman"/>
                <w:color w:val="000000" w:themeColor="text1"/>
                <w:sz w:val="24"/>
                <w:szCs w:val="24"/>
                <w:highlight w:val="none"/>
                <w:lang w:val="en-US" w:eastAsia="zh-CN"/>
                <w14:textFill>
                  <w14:solidFill>
                    <w14:schemeClr w14:val="tx1"/>
                  </w14:solidFill>
                </w14:textFill>
              </w:rPr>
              <w:t>根据四周情况，综合考虑物料的运输，将厂区分为生产区及生活区，厂房位于厂区中部，便于员工的协作，生产线均布设在1#厂房，原料及产品布设于2#厂房，分区明确，便于管理。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综上，总图布置功能分区明确、工艺紧凑、物流顺畅，充分考虑消防、环保、安全，节约投资与占地，总体布局较为合理。总平面布置见附图</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2752E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57" w:type="pct"/>
            <w:vAlign w:val="center"/>
          </w:tcPr>
          <w:p w14:paraId="2561676D">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Cs w:val="24"/>
                <w:lang w:val="en-US"/>
              </w:rPr>
            </w:pPr>
            <w:r>
              <w:rPr>
                <w:rFonts w:hint="default" w:ascii="Times New Roman" w:hAnsi="Times New Roman" w:cs="Times New Roman"/>
                <w:color w:val="auto"/>
                <w:kern w:val="21"/>
                <w:szCs w:val="24"/>
                <w:lang w:val="en-US" w:eastAsia="zh-CN"/>
              </w:rPr>
              <w:t>工艺流程和产排污环节</w:t>
            </w:r>
          </w:p>
        </w:tc>
        <w:tc>
          <w:tcPr>
            <w:tcW w:w="4742" w:type="pct"/>
            <w:vAlign w:val="center"/>
          </w:tcPr>
          <w:p w14:paraId="3C7130F6">
            <w:pPr>
              <w:keepNext w:val="0"/>
              <w:keepLines w:val="0"/>
              <w:suppressLineNumbers w:val="0"/>
              <w:spacing w:before="120" w:beforeLines="50" w:beforeAutospacing="0" w:after="0" w:afterAutospacing="0" w:line="360" w:lineRule="auto"/>
              <w:ind w:left="0" w:right="0" w:firstLine="482" w:firstLineChars="200"/>
              <w:rPr>
                <w:rFonts w:hint="eastAsia"/>
                <w:b/>
                <w:bCs/>
                <w:sz w:val="24"/>
              </w:rPr>
            </w:pPr>
            <w:r>
              <w:rPr>
                <w:rFonts w:hint="eastAsia"/>
                <w:b/>
                <w:bCs/>
                <w:sz w:val="24"/>
              </w:rPr>
              <w:t>1、施工期工艺流程及产污环节</w:t>
            </w:r>
          </w:p>
          <w:p w14:paraId="735F8B9C">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本项目不涉及拆除工程，项目拟新建生产厂房，办公用房等，施工期会产生机械噪声、扬尘、生活废水及固体废物，其简单的施工流程及各阶段主要污染物产生情况见图</w:t>
            </w:r>
            <w:r>
              <w:rPr>
                <w:rFonts w:hint="default"/>
                <w:sz w:val="24"/>
              </w:rPr>
              <w:t>2-2</w:t>
            </w:r>
            <w:r>
              <w:rPr>
                <w:rFonts w:hint="eastAsia"/>
                <w:sz w:val="24"/>
              </w:rPr>
              <w:t>。</w:t>
            </w:r>
          </w:p>
          <w:p w14:paraId="767645C7">
            <w:pPr>
              <w:keepNext w:val="0"/>
              <w:keepLines w:val="0"/>
              <w:suppressLineNumbers w:val="0"/>
              <w:spacing w:before="0" w:beforeAutospacing="0" w:after="0" w:afterAutospacing="0" w:line="360" w:lineRule="auto"/>
              <w:ind w:left="0" w:right="0"/>
              <w:jc w:val="center"/>
              <w:rPr>
                <w:rFonts w:hint="default"/>
                <w:b/>
                <w:bCs/>
                <w:sz w:val="24"/>
              </w:rPr>
            </w:pPr>
            <w:r>
              <w:rPr>
                <w:rFonts w:hint="default"/>
              </w:rPr>
              <w:drawing>
                <wp:inline distT="0" distB="0" distL="114300" distR="114300">
                  <wp:extent cx="4865370" cy="1056640"/>
                  <wp:effectExtent l="0" t="0" r="11430" b="1079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10"/>
                          <a:stretch>
                            <a:fillRect/>
                          </a:stretch>
                        </pic:blipFill>
                        <pic:spPr>
                          <a:xfrm>
                            <a:off x="0" y="0"/>
                            <a:ext cx="4865370" cy="1056640"/>
                          </a:xfrm>
                          <a:prstGeom prst="rect">
                            <a:avLst/>
                          </a:prstGeom>
                          <a:noFill/>
                          <a:ln>
                            <a:noFill/>
                          </a:ln>
                        </pic:spPr>
                      </pic:pic>
                    </a:graphicData>
                  </a:graphic>
                </wp:inline>
              </w:drawing>
            </w:r>
          </w:p>
          <w:p w14:paraId="294C461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b/>
                <w:bCs/>
                <w:szCs w:val="21"/>
              </w:rPr>
            </w:pPr>
            <w:r>
              <w:rPr>
                <w:rFonts w:hint="eastAsia" w:ascii="宋体" w:hAnsi="宋体"/>
                <w:b/>
                <w:bCs/>
                <w:szCs w:val="21"/>
              </w:rPr>
              <w:t>图</w:t>
            </w:r>
            <w:r>
              <w:rPr>
                <w:rFonts w:hint="default"/>
                <w:b/>
                <w:bCs/>
                <w:szCs w:val="21"/>
              </w:rPr>
              <w:t xml:space="preserve">2-2 </w:t>
            </w:r>
            <w:r>
              <w:rPr>
                <w:rFonts w:hint="eastAsia" w:ascii="宋体" w:hAnsi="宋体"/>
                <w:b/>
                <w:bCs/>
                <w:szCs w:val="21"/>
              </w:rPr>
              <w:t xml:space="preserve">  施工期施工流程及主要污染源情况简图</w:t>
            </w:r>
          </w:p>
          <w:p w14:paraId="626DC2F5">
            <w:pPr>
              <w:keepNext w:val="0"/>
              <w:keepLines w:val="0"/>
              <w:suppressLineNumbers w:val="0"/>
              <w:spacing w:before="120" w:beforeLines="50" w:beforeAutospacing="0" w:after="0" w:afterAutospacing="0" w:line="360" w:lineRule="auto"/>
              <w:ind w:left="0" w:right="0" w:firstLine="422" w:firstLineChars="200"/>
              <w:rPr>
                <w:rFonts w:hint="eastAsia"/>
                <w:sz w:val="24"/>
                <w:lang w:val="en-US" w:eastAsia="zh-CN"/>
              </w:rPr>
            </w:pPr>
            <w:r>
              <w:rPr>
                <w:rFonts w:hint="eastAsia" w:ascii="Times New Roman" w:hAnsi="Times New Roman" w:eastAsia="宋体" w:cs="Times New Roman"/>
                <w:b/>
                <w:bCs/>
                <w:color w:val="auto"/>
                <w:lang w:val="en-US" w:eastAsia="zh-CN"/>
              </w:rPr>
              <w:t>2</w:t>
            </w:r>
            <w:r>
              <w:rPr>
                <w:rFonts w:hint="eastAsia"/>
                <w:b/>
                <w:bCs/>
                <w:sz w:val="24"/>
                <w:lang w:val="en-US" w:eastAsia="zh-CN"/>
              </w:rPr>
              <w:t>、</w:t>
            </w:r>
            <w:r>
              <w:rPr>
                <w:rFonts w:hint="default"/>
                <w:b/>
                <w:bCs/>
                <w:sz w:val="24"/>
              </w:rPr>
              <w:t>运营期工艺流程</w:t>
            </w:r>
            <w:r>
              <w:rPr>
                <w:rFonts w:hint="eastAsia"/>
                <w:b/>
                <w:bCs/>
                <w:sz w:val="24"/>
                <w:lang w:val="en-US" w:eastAsia="zh-CN"/>
              </w:rPr>
              <w:t>及产污环节</w:t>
            </w:r>
          </w:p>
          <w:p w14:paraId="7A108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eastAsia"/>
                <w:sz w:val="24"/>
                <w:lang w:val="en-US" w:eastAsia="zh-CN"/>
              </w:rPr>
              <w:t>（1）</w:t>
            </w:r>
            <w:r>
              <w:rPr>
                <w:rFonts w:hint="default"/>
                <w:sz w:val="24"/>
                <w:lang w:val="en-US" w:eastAsia="zh-CN"/>
              </w:rPr>
              <w:t>工艺流程说明：</w:t>
            </w:r>
          </w:p>
          <w:p w14:paraId="3600B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eastAsia"/>
                <w:sz w:val="24"/>
                <w:lang w:val="en-US" w:eastAsia="zh-CN"/>
              </w:rPr>
              <w:t>项目生产5种类型的马达，生产工艺一样，工艺流程说明如下：</w:t>
            </w:r>
          </w:p>
          <w:p w14:paraId="5BA4E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①</w:t>
            </w:r>
            <w:r>
              <w:rPr>
                <w:rFonts w:hint="eastAsia"/>
                <w:sz w:val="24"/>
                <w:lang w:val="en-US" w:eastAsia="zh-CN"/>
              </w:rPr>
              <w:t>转子组件</w:t>
            </w:r>
          </w:p>
          <w:p w14:paraId="7FA6C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FF0000"/>
                <w:sz w:val="24"/>
                <w:lang w:val="en-US" w:eastAsia="zh-CN"/>
              </w:rPr>
            </w:pPr>
            <w:r>
              <w:rPr>
                <w:rFonts w:hint="eastAsia"/>
                <w:color w:val="FF0000"/>
                <w:sz w:val="24"/>
                <w:lang w:val="en-US" w:eastAsia="zh-CN"/>
              </w:rPr>
              <w:t>本项目不加工转子组件，直接外购成品转子组件成品。</w:t>
            </w:r>
          </w:p>
          <w:p w14:paraId="0B6EE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lang w:val="en-US" w:eastAsia="zh-CN"/>
              </w:rPr>
            </w:pPr>
            <w:r>
              <w:rPr>
                <w:rFonts w:hint="default"/>
                <w:sz w:val="24"/>
                <w:lang w:val="en-US" w:eastAsia="zh-CN"/>
              </w:rPr>
              <w:t>②</w:t>
            </w:r>
            <w:r>
              <w:rPr>
                <w:rFonts w:hint="eastAsia"/>
                <w:sz w:val="24"/>
                <w:lang w:val="en-US" w:eastAsia="zh-CN"/>
              </w:rPr>
              <w:t>定子组件加工</w:t>
            </w:r>
          </w:p>
          <w:p w14:paraId="51792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lang w:val="en-US" w:eastAsia="zh-CN"/>
              </w:rPr>
            </w:pPr>
            <w:r>
              <w:rPr>
                <w:rFonts w:hint="default"/>
                <w:sz w:val="24"/>
                <w:lang w:val="en-US" w:eastAsia="zh-CN"/>
              </w:rPr>
              <w:t>外购的</w:t>
            </w:r>
            <w:r>
              <w:rPr>
                <w:rFonts w:hint="eastAsia"/>
                <w:sz w:val="24"/>
                <w:lang w:val="en-US" w:eastAsia="zh-CN"/>
              </w:rPr>
              <w:t>铁芯经80T高速冲压成型，冲压后通过机械手臂放入注塑模具型腔内，采用一体式注塑成型工艺注塑成型。</w:t>
            </w:r>
          </w:p>
          <w:p w14:paraId="4CB4B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③</w:t>
            </w:r>
            <w:r>
              <w:rPr>
                <w:rFonts w:hint="eastAsia"/>
                <w:sz w:val="24"/>
                <w:lang w:val="en-US" w:eastAsia="zh-CN"/>
              </w:rPr>
              <w:t>线圈组件加工</w:t>
            </w:r>
          </w:p>
          <w:p w14:paraId="5596B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FF0000"/>
                <w:sz w:val="24"/>
                <w:lang w:val="en-US" w:eastAsia="zh-CN"/>
              </w:rPr>
            </w:pPr>
            <w:r>
              <w:rPr>
                <w:rFonts w:hint="default"/>
                <w:color w:val="FF0000"/>
                <w:sz w:val="24"/>
                <w:lang w:val="en-US" w:eastAsia="zh-CN"/>
              </w:rPr>
              <w:t>外购的</w:t>
            </w:r>
            <w:r>
              <w:rPr>
                <w:rFonts w:hint="eastAsia"/>
                <w:color w:val="FF0000"/>
                <w:sz w:val="24"/>
                <w:lang w:val="en-US" w:eastAsia="zh-CN"/>
              </w:rPr>
              <w:t>铁芯经80T高速冲压成型，</w:t>
            </w:r>
            <w:r>
              <w:rPr>
                <w:rFonts w:hint="default"/>
                <w:color w:val="FF0000"/>
                <w:sz w:val="24"/>
                <w:lang w:val="en-US" w:eastAsia="zh-CN"/>
              </w:rPr>
              <w:t>通过</w:t>
            </w:r>
            <w:r>
              <w:rPr>
                <w:rFonts w:hint="eastAsia"/>
                <w:color w:val="FF0000"/>
                <w:sz w:val="24"/>
                <w:lang w:val="en-US" w:eastAsia="zh-CN"/>
              </w:rPr>
              <w:t>全自动插</w:t>
            </w:r>
            <w:r>
              <w:rPr>
                <w:rFonts w:hint="default"/>
                <w:color w:val="FF0000"/>
                <w:sz w:val="24"/>
                <w:lang w:val="en-US" w:eastAsia="zh-CN"/>
              </w:rPr>
              <w:t>针机将</w:t>
            </w:r>
            <w:r>
              <w:rPr>
                <w:rFonts w:hint="eastAsia"/>
                <w:color w:val="FF0000"/>
                <w:sz w:val="24"/>
                <w:lang w:val="en-US" w:eastAsia="zh-CN"/>
              </w:rPr>
              <w:t>PIN针</w:t>
            </w:r>
            <w:r>
              <w:rPr>
                <w:rFonts w:hint="default"/>
                <w:color w:val="FF0000"/>
                <w:sz w:val="24"/>
                <w:lang w:val="en-US" w:eastAsia="zh-CN"/>
              </w:rPr>
              <w:t>打入塑料线架上的对应孔位形成线圈骨架</w:t>
            </w:r>
            <w:r>
              <w:rPr>
                <w:rFonts w:hint="eastAsia"/>
                <w:color w:val="FF0000"/>
                <w:sz w:val="24"/>
                <w:lang w:val="en-US" w:eastAsia="zh-CN"/>
              </w:rPr>
              <w:t>，再将外购的漆包线采用全自动绕线机将漆包线绕线入线圈骨架内，将绕好的线圈装入定子里。</w:t>
            </w:r>
            <w:r>
              <w:rPr>
                <w:rFonts w:hint="default"/>
                <w:color w:val="FF0000"/>
                <w:sz w:val="24"/>
                <w:lang w:val="en-US" w:eastAsia="zh-CN"/>
              </w:rPr>
              <w:t>半成品进入全自动焊接机，被焊接机内夹具固定移入焊接机内的助焊机槽上方，助焊剂槽内的抬升槽上升，小槽内盛放的助焊剂与半成品针头接触，</w:t>
            </w:r>
            <w:r>
              <w:rPr>
                <w:rFonts w:hint="eastAsia"/>
                <w:color w:val="FF0000"/>
                <w:sz w:val="24"/>
                <w:lang w:val="en-US" w:eastAsia="zh-CN"/>
              </w:rPr>
              <w:t>完成焊接。</w:t>
            </w:r>
            <w:r>
              <w:rPr>
                <w:rFonts w:hint="default"/>
                <w:color w:val="FF0000"/>
                <w:sz w:val="24"/>
                <w:lang w:val="en-US" w:eastAsia="zh-CN"/>
              </w:rPr>
              <w:t>助焊剂具有优良的助焊效果，在表面形成隔离层覆盖在焊接处，可以有效防止焊接过程中发生氧化反应。本项目焊接采用浸焊，浸焊采用无铅锡丝。</w:t>
            </w:r>
          </w:p>
          <w:p w14:paraId="3C753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fldChar w:fldCharType="begin"/>
            </w:r>
            <w:r>
              <w:rPr>
                <w:rFonts w:hint="default"/>
                <w:sz w:val="24"/>
                <w:lang w:val="en-US" w:eastAsia="zh-CN"/>
              </w:rPr>
              <w:instrText xml:space="preserve"> = 4 \* GB3 \* MERGEFORMAT </w:instrText>
            </w:r>
            <w:r>
              <w:rPr>
                <w:rFonts w:hint="default"/>
                <w:sz w:val="24"/>
                <w:lang w:val="en-US" w:eastAsia="zh-CN"/>
              </w:rPr>
              <w:fldChar w:fldCharType="separate"/>
            </w:r>
            <w:r>
              <w:rPr>
                <w:rFonts w:hint="default"/>
              </w:rPr>
              <w:t>④</w:t>
            </w:r>
            <w:r>
              <w:rPr>
                <w:rFonts w:hint="default"/>
                <w:sz w:val="24"/>
                <w:lang w:val="en-US" w:eastAsia="zh-CN"/>
              </w:rPr>
              <w:fldChar w:fldCharType="end"/>
            </w:r>
            <w:r>
              <w:rPr>
                <w:rFonts w:hint="default"/>
                <w:sz w:val="24"/>
                <w:lang w:val="en-US" w:eastAsia="zh-CN"/>
              </w:rPr>
              <w:t>机壳</w:t>
            </w:r>
            <w:r>
              <w:rPr>
                <w:rFonts w:hint="eastAsia"/>
                <w:sz w:val="24"/>
                <w:lang w:val="en-US" w:eastAsia="zh-CN"/>
              </w:rPr>
              <w:t>组件</w:t>
            </w:r>
            <w:r>
              <w:rPr>
                <w:rFonts w:hint="default"/>
                <w:sz w:val="24"/>
                <w:lang w:val="en-US" w:eastAsia="zh-CN"/>
              </w:rPr>
              <w:t>加工</w:t>
            </w:r>
          </w:p>
          <w:p w14:paraId="3A0D6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color w:val="FF0000"/>
                <w:sz w:val="24"/>
                <w:lang w:val="en-US" w:eastAsia="zh-CN"/>
              </w:rPr>
              <w:t>外购的卷板钢材</w:t>
            </w:r>
            <w:r>
              <w:rPr>
                <w:rFonts w:hint="eastAsia"/>
                <w:color w:val="FF0000"/>
                <w:sz w:val="24"/>
                <w:lang w:val="en-US" w:eastAsia="zh-CN"/>
              </w:rPr>
              <w:t>采用100T高速冲压机成型，冲压完成后的半成品经清洗后外委电镀处理，</w:t>
            </w:r>
            <w:r>
              <w:rPr>
                <w:rFonts w:hint="eastAsia"/>
                <w:sz w:val="24"/>
                <w:lang w:val="en-US" w:eastAsia="zh-CN"/>
              </w:rPr>
              <w:t>经电镀后的机壳采用全自动化插针设备将机壳与机壳针进行铆压组装，组装后的机壳待总装。</w:t>
            </w:r>
            <w:r>
              <w:rPr>
                <w:rFonts w:hint="eastAsia"/>
                <w:color w:val="FF0000"/>
                <w:sz w:val="24"/>
                <w:lang w:val="en-US" w:eastAsia="zh-CN"/>
              </w:rPr>
              <w:t>清洗使用碱性清水剂，清洗后废水经厂区污水处理站预处理后排入污水管网。</w:t>
            </w:r>
          </w:p>
          <w:p w14:paraId="69A6C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fldChar w:fldCharType="begin"/>
            </w:r>
            <w:r>
              <w:rPr>
                <w:rFonts w:hint="default"/>
                <w:sz w:val="24"/>
                <w:lang w:val="en-US" w:eastAsia="zh-CN"/>
              </w:rPr>
              <w:instrText xml:space="preserve"> = 5 \* GB3 \* MERGEFORMAT </w:instrText>
            </w:r>
            <w:r>
              <w:rPr>
                <w:rFonts w:hint="default"/>
                <w:sz w:val="24"/>
                <w:lang w:val="en-US" w:eastAsia="zh-CN"/>
              </w:rPr>
              <w:fldChar w:fldCharType="separate"/>
            </w:r>
            <w:r>
              <w:rPr>
                <w:rFonts w:hint="default"/>
              </w:rPr>
              <w:t>⑤</w:t>
            </w:r>
            <w:r>
              <w:rPr>
                <w:rFonts w:hint="default"/>
                <w:sz w:val="24"/>
                <w:lang w:val="en-US" w:eastAsia="zh-CN"/>
              </w:rPr>
              <w:fldChar w:fldCharType="end"/>
            </w:r>
            <w:r>
              <w:rPr>
                <w:rFonts w:hint="default"/>
                <w:sz w:val="24"/>
                <w:lang w:val="en-US" w:eastAsia="zh-CN"/>
              </w:rPr>
              <w:t>齿轮</w:t>
            </w:r>
            <w:r>
              <w:rPr>
                <w:rFonts w:hint="eastAsia"/>
                <w:sz w:val="24"/>
                <w:lang w:val="en-US" w:eastAsia="zh-CN"/>
              </w:rPr>
              <w:t>板组件</w:t>
            </w:r>
            <w:r>
              <w:rPr>
                <w:rFonts w:hint="default"/>
                <w:sz w:val="24"/>
                <w:lang w:val="en-US" w:eastAsia="zh-CN"/>
              </w:rPr>
              <w:t>加工</w:t>
            </w:r>
          </w:p>
          <w:p w14:paraId="19EB8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t>外购的卷板钢材</w:t>
            </w:r>
            <w:r>
              <w:rPr>
                <w:rFonts w:hint="eastAsia"/>
                <w:sz w:val="24"/>
                <w:lang w:val="en-US" w:eastAsia="zh-CN"/>
              </w:rPr>
              <w:t>采用80T高速冲压成型，冲压完成后的半成品外委电镀处理。经电镀处理后的齿轮板与三款齿轮板针，通过全自动插针设备进行铆压组装，组装完成后进行齿轮组装，得到齿轮板组件。组装齿轮时，为减少摩擦，使用润滑油对齿轮进行拌油处理（全</w:t>
            </w:r>
            <w:r>
              <w:rPr>
                <w:rFonts w:hint="default"/>
                <w:sz w:val="24"/>
                <w:lang w:val="en-US" w:eastAsia="zh-CN"/>
              </w:rPr>
              <w:t>自动添加，采用气动工具从油桶中自动抽取后经管路输送，过程密闭不存在泄漏</w:t>
            </w:r>
            <w:r>
              <w:rPr>
                <w:rFonts w:hint="eastAsia"/>
                <w:sz w:val="24"/>
                <w:lang w:val="en-US" w:eastAsia="zh-CN"/>
              </w:rPr>
              <w:t>）。</w:t>
            </w:r>
          </w:p>
          <w:p w14:paraId="7BF87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lang w:val="en-US" w:eastAsia="zh-CN"/>
              </w:rPr>
            </w:pPr>
            <w:r>
              <w:rPr>
                <w:rFonts w:hint="default"/>
                <w:sz w:val="24"/>
                <w:lang w:val="en-US" w:eastAsia="zh-CN"/>
              </w:rPr>
              <w:fldChar w:fldCharType="begin"/>
            </w:r>
            <w:r>
              <w:rPr>
                <w:rFonts w:hint="default"/>
                <w:sz w:val="24"/>
                <w:lang w:val="en-US" w:eastAsia="zh-CN"/>
              </w:rPr>
              <w:instrText xml:space="preserve"> = 6 \* GB3 \* MERGEFORMAT </w:instrText>
            </w:r>
            <w:r>
              <w:rPr>
                <w:rFonts w:hint="default"/>
                <w:sz w:val="24"/>
                <w:lang w:val="en-US" w:eastAsia="zh-CN"/>
              </w:rPr>
              <w:fldChar w:fldCharType="separate"/>
            </w:r>
            <w:r>
              <w:rPr>
                <w:rFonts w:hint="default"/>
              </w:rPr>
              <w:t>⑥</w:t>
            </w:r>
            <w:r>
              <w:rPr>
                <w:rFonts w:hint="default"/>
                <w:sz w:val="24"/>
                <w:lang w:val="en-US" w:eastAsia="zh-CN"/>
              </w:rPr>
              <w:fldChar w:fldCharType="end"/>
            </w:r>
            <w:r>
              <w:rPr>
                <w:rFonts w:hint="eastAsia"/>
                <w:sz w:val="24"/>
                <w:lang w:val="en-US" w:eastAsia="zh-CN"/>
              </w:rPr>
              <w:t>塑料配件注塑工艺</w:t>
            </w:r>
          </w:p>
          <w:p w14:paraId="5E5FE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eastAsia"/>
                <w:sz w:val="24"/>
                <w:lang w:val="en-US" w:eastAsia="zh-CN"/>
              </w:rPr>
              <w:t>将PC、PA、ABS等原料和不合格产品破碎的碎料在料仓混合，由吸料机将混料送入注塑机，注塑机采用电加热熔塑塑化，在模具型腔内成型，模具冷却采用水循环冷却系统（冷却塔）进行冷却，全程由模温机控温，</w:t>
            </w:r>
            <w:r>
              <w:rPr>
                <w:rFonts w:hint="eastAsia"/>
                <w:color w:val="FF0000"/>
                <w:sz w:val="24"/>
                <w:lang w:val="en-US" w:eastAsia="zh-CN"/>
              </w:rPr>
              <w:t>冷却成型后取出塑料制品，即为线圈骨架、齿轮等配件</w:t>
            </w:r>
            <w:r>
              <w:rPr>
                <w:rFonts w:hint="eastAsia"/>
                <w:sz w:val="24"/>
                <w:lang w:val="en-US" w:eastAsia="zh-CN"/>
              </w:rPr>
              <w:t>。冷却水循环使用，定期补充损耗，不外排。</w:t>
            </w:r>
            <w:r>
              <w:rPr>
                <w:rFonts w:hint="eastAsia"/>
                <w:color w:val="FF0000"/>
                <w:sz w:val="24"/>
                <w:lang w:val="en-US" w:eastAsia="zh-CN"/>
              </w:rPr>
              <w:t>不合格产品收集后送至粉碎机粉碎处理。</w:t>
            </w:r>
          </w:p>
          <w:p w14:paraId="7D80D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default"/>
                <w:sz w:val="24"/>
                <w:lang w:val="en-US" w:eastAsia="zh-CN"/>
              </w:rPr>
              <w:fldChar w:fldCharType="begin"/>
            </w:r>
            <w:r>
              <w:rPr>
                <w:rFonts w:hint="default"/>
                <w:sz w:val="24"/>
                <w:lang w:val="en-US" w:eastAsia="zh-CN"/>
              </w:rPr>
              <w:instrText xml:space="preserve"> = 7 \* GB3 \* MERGEFORMAT </w:instrText>
            </w:r>
            <w:r>
              <w:rPr>
                <w:rFonts w:hint="default"/>
                <w:sz w:val="24"/>
                <w:lang w:val="en-US" w:eastAsia="zh-CN"/>
              </w:rPr>
              <w:fldChar w:fldCharType="separate"/>
            </w:r>
            <w:r>
              <w:rPr>
                <w:rFonts w:hint="default"/>
              </w:rPr>
              <w:t>⑦</w:t>
            </w:r>
            <w:r>
              <w:rPr>
                <w:rFonts w:hint="default"/>
                <w:sz w:val="24"/>
                <w:lang w:val="en-US" w:eastAsia="zh-CN"/>
              </w:rPr>
              <w:fldChar w:fldCharType="end"/>
            </w:r>
            <w:r>
              <w:rPr>
                <w:rFonts w:hint="default"/>
                <w:sz w:val="24"/>
                <w:lang w:val="en-US" w:eastAsia="zh-CN"/>
              </w:rPr>
              <w:t>微电机加工</w:t>
            </w:r>
          </w:p>
          <w:p w14:paraId="28F3FD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lang w:val="en-US" w:eastAsia="zh-CN"/>
              </w:rPr>
            </w:pPr>
            <w:r>
              <w:rPr>
                <w:rFonts w:hint="eastAsia"/>
                <w:color w:val="FF0000"/>
                <w:sz w:val="24"/>
                <w:lang w:val="en-US" w:eastAsia="zh-CN"/>
              </w:rPr>
              <w:t>支架、取付板由卷材钢板冲压成型后备用，待</w:t>
            </w:r>
            <w:r>
              <w:rPr>
                <w:rFonts w:hint="default"/>
                <w:color w:val="FF0000"/>
                <w:sz w:val="24"/>
                <w:lang w:val="en-US" w:eastAsia="zh-CN"/>
              </w:rPr>
              <w:t>定子、机壳、齿轮</w:t>
            </w:r>
            <w:r>
              <w:rPr>
                <w:rFonts w:hint="eastAsia"/>
                <w:color w:val="FF0000"/>
                <w:sz w:val="24"/>
                <w:lang w:val="en-US" w:eastAsia="zh-CN"/>
              </w:rPr>
              <w:t>、线圈等价工完成后，同外购的转子组件</w:t>
            </w:r>
            <w:r>
              <w:rPr>
                <w:rFonts w:hint="default"/>
                <w:color w:val="FF0000"/>
                <w:sz w:val="24"/>
                <w:lang w:val="en-US" w:eastAsia="zh-CN"/>
              </w:rPr>
              <w:t>在生产线上进行总装成微电机半成品，</w:t>
            </w:r>
            <w:r>
              <w:rPr>
                <w:rFonts w:hint="eastAsia"/>
                <w:sz w:val="24"/>
                <w:lang w:val="en-US" w:eastAsia="zh-CN"/>
              </w:rPr>
              <w:t>部分产品</w:t>
            </w:r>
            <w:r>
              <w:rPr>
                <w:rFonts w:hint="default"/>
                <w:sz w:val="24"/>
                <w:lang w:val="en-US" w:eastAsia="zh-CN"/>
              </w:rPr>
              <w:t>组合过程中添加少量润滑油（由总装生产线自动添加，采用气动工具从油桶中自动抽取后经管路输送，过程密闭不存在泄漏）</w:t>
            </w:r>
            <w:r>
              <w:rPr>
                <w:rFonts w:hint="eastAsia"/>
                <w:sz w:val="24"/>
                <w:lang w:val="en-US" w:eastAsia="zh-CN"/>
              </w:rPr>
              <w:t>，部分产品总装过程需要点胶固化，均采用全自动设备，操作过程密闭，最后</w:t>
            </w:r>
            <w:r>
              <w:rPr>
                <w:rFonts w:hint="default"/>
                <w:sz w:val="24"/>
                <w:lang w:val="en-US" w:eastAsia="zh-CN"/>
              </w:rPr>
              <w:t>经</w:t>
            </w:r>
            <w:r>
              <w:rPr>
                <w:rFonts w:hint="eastAsia"/>
                <w:sz w:val="24"/>
                <w:lang w:val="en-US" w:eastAsia="zh-CN"/>
              </w:rPr>
              <w:t>性能测试及OQC检料</w:t>
            </w:r>
            <w:r>
              <w:rPr>
                <w:rFonts w:hint="default"/>
                <w:sz w:val="24"/>
                <w:lang w:val="en-US" w:eastAsia="zh-CN"/>
              </w:rPr>
              <w:t>合格后打包入库得到成品微电机。</w:t>
            </w:r>
          </w:p>
          <w:p w14:paraId="105C7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生产工艺流程及产排污环节示意图见下图。</w:t>
            </w:r>
          </w:p>
          <w:p w14:paraId="686FCE83">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FF"/>
                <w:sz w:val="24"/>
                <w:szCs w:val="24"/>
                <w:highlight w:val="none"/>
                <w:lang w:val="en-US" w:eastAsia="zh-CN"/>
              </w:rPr>
            </w:pPr>
          </w:p>
          <w:p w14:paraId="62F91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FF"/>
                <w:sz w:val="24"/>
                <w:szCs w:val="24"/>
                <w:highlight w:val="none"/>
                <w:lang w:val="en-US" w:eastAsia="zh-CN"/>
              </w:rPr>
            </w:pPr>
          </w:p>
          <w:p w14:paraId="52808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lang w:val="en-US" w:eastAsia="zh-CN"/>
              </w:rPr>
            </w:pPr>
          </w:p>
          <w:p w14:paraId="0AB4332A">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lang w:val="en-US" w:eastAsia="zh-CN"/>
              </w:rPr>
            </w:pPr>
          </w:p>
          <w:p w14:paraId="48CC3313">
            <w:pPr>
              <w:keepNext w:val="0"/>
              <w:keepLines w:val="0"/>
              <w:suppressLineNumbers w:val="0"/>
              <w:spacing w:before="0" w:beforeAutospacing="0" w:after="0" w:afterAutospacing="0"/>
              <w:ind w:left="0" w:right="0"/>
              <w:rPr>
                <w:rFonts w:hint="default"/>
                <w:lang w:val="en-US" w:eastAsia="zh-CN"/>
              </w:rPr>
            </w:pPr>
          </w:p>
          <w:p w14:paraId="2C9DCB0F">
            <w:pPr>
              <w:pStyle w:val="9"/>
              <w:keepNext w:val="0"/>
              <w:keepLines w:val="0"/>
              <w:suppressLineNumbers w:val="0"/>
              <w:spacing w:before="0" w:beforeAutospacing="0" w:after="0" w:afterAutospacing="0"/>
              <w:ind w:left="0" w:right="0"/>
              <w:rPr>
                <w:rFonts w:hint="default"/>
                <w:lang w:val="en-US" w:eastAsia="zh-CN"/>
              </w:rPr>
            </w:pPr>
          </w:p>
          <w:p w14:paraId="410537CA">
            <w:pPr>
              <w:keepNext w:val="0"/>
              <w:keepLines w:val="0"/>
              <w:suppressLineNumbers w:val="0"/>
              <w:spacing w:before="0" w:beforeAutospacing="0" w:after="0" w:afterAutospacing="0"/>
              <w:ind w:left="0" w:right="0"/>
              <w:rPr>
                <w:rFonts w:hint="default"/>
                <w:lang w:val="en-US" w:eastAsia="zh-CN"/>
              </w:rPr>
            </w:pPr>
          </w:p>
          <w:p w14:paraId="646F35F4">
            <w:pPr>
              <w:pStyle w:val="9"/>
              <w:keepNext w:val="0"/>
              <w:keepLines w:val="0"/>
              <w:suppressLineNumbers w:val="0"/>
              <w:spacing w:before="0" w:beforeAutospacing="0" w:after="0" w:afterAutospacing="0"/>
              <w:ind w:left="0" w:right="0"/>
              <w:rPr>
                <w:rFonts w:hint="default"/>
                <w:lang w:val="en-US" w:eastAsia="zh-CN"/>
              </w:rPr>
            </w:pPr>
          </w:p>
          <w:p w14:paraId="1722531C">
            <w:pPr>
              <w:pStyle w:val="11"/>
              <w:keepNext w:val="0"/>
              <w:keepLines w:val="0"/>
              <w:suppressLineNumbers w:val="0"/>
              <w:spacing w:before="0" w:beforeAutospacing="0" w:after="0" w:afterAutospacing="0"/>
              <w:ind w:left="0" w:right="0"/>
              <w:jc w:val="both"/>
              <w:rPr>
                <w:rFonts w:hint="default"/>
                <w:lang w:val="en-US" w:eastAsia="zh-CN"/>
              </w:rPr>
            </w:pPr>
          </w:p>
          <w:p w14:paraId="4F3B79B4">
            <w:pPr>
              <w:keepNext w:val="0"/>
              <w:keepLines w:val="0"/>
              <w:suppressLineNumbers w:val="0"/>
              <w:spacing w:before="0" w:beforeAutospacing="0" w:after="0" w:afterAutospacing="0"/>
              <w:ind w:left="0" w:right="0"/>
              <w:rPr>
                <w:rFonts w:hint="default"/>
                <w:lang w:val="en-US" w:eastAsia="zh-CN"/>
              </w:rPr>
            </w:pPr>
          </w:p>
          <w:p w14:paraId="7C2A4C5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ascii="Times New Roman" w:hAnsi="Times New Roman" w:cs="Times New Roman"/>
                <w:color w:val="auto"/>
                <w:lang w:val="en-US" w:eastAsia="zh-CN"/>
              </w:rPr>
            </w:pPr>
          </w:p>
        </w:tc>
      </w:tr>
    </w:tbl>
    <w:p w14:paraId="5BDF62ED">
      <w:pPr>
        <w:bidi w:val="0"/>
        <w:rPr>
          <w:rFonts w:hint="default"/>
        </w:rPr>
      </w:pPr>
    </w:p>
    <w:p w14:paraId="67B7202E">
      <w:pPr>
        <w:rPr>
          <w:rFonts w:hint="default"/>
        </w:rPr>
        <w:sectPr>
          <w:footerReference r:id="rId6" w:type="default"/>
          <w:pgSz w:w="11906" w:h="16838"/>
          <w:pgMar w:top="1418" w:right="1418" w:bottom="1418" w:left="1701" w:header="992" w:footer="992" w:gutter="0"/>
          <w:pgBorders>
            <w:top w:val="none" w:sz="0" w:space="0"/>
            <w:left w:val="none" w:sz="0" w:space="0"/>
            <w:bottom w:val="none" w:sz="0" w:space="0"/>
            <w:right w:val="none" w:sz="0" w:space="0"/>
          </w:pgBorders>
          <w:cols w:space="720" w:num="1"/>
          <w:docGrid w:linePitch="312" w:charSpace="0"/>
        </w:sect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4206"/>
      </w:tblGrid>
      <w:tr w14:paraId="7697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8" w:hRule="atLeast"/>
        </w:trPr>
        <w:tc>
          <w:tcPr>
            <w:tcW w:w="580" w:type="dxa"/>
            <w:vAlign w:val="center"/>
          </w:tcPr>
          <w:p w14:paraId="58E20787">
            <w:pPr>
              <w:keepNext w:val="0"/>
              <w:keepLines w:val="0"/>
              <w:suppressLineNumbers w:val="0"/>
              <w:bidi w:val="0"/>
              <w:spacing w:before="0" w:beforeAutospacing="0" w:after="0" w:afterAutospacing="0"/>
              <w:ind w:left="0" w:right="0"/>
              <w:jc w:val="center"/>
              <w:rPr>
                <w:rFonts w:hint="default"/>
                <w:vertAlign w:val="baseline"/>
                <w:lang w:val="en-US"/>
              </w:rPr>
            </w:pPr>
            <w:r>
              <w:rPr>
                <w:rFonts w:hint="default" w:ascii="Times New Roman" w:hAnsi="Times New Roman" w:cs="Times New Roman"/>
                <w:color w:val="auto"/>
                <w:kern w:val="21"/>
                <w:szCs w:val="24"/>
                <w:lang w:val="en-US" w:eastAsia="zh-CN"/>
              </w:rPr>
              <w:t>工艺流程和产排污环</w:t>
            </w:r>
            <w:r>
              <w:rPr>
                <w:rFonts w:hint="eastAsia" w:cs="Times New Roman"/>
                <w:color w:val="auto"/>
                <w:kern w:val="21"/>
                <w:szCs w:val="24"/>
                <w:lang w:val="en-US" w:eastAsia="zh-CN"/>
              </w:rPr>
              <w:t>节</w:t>
            </w:r>
          </w:p>
        </w:tc>
        <w:tc>
          <w:tcPr>
            <w:tcW w:w="14206" w:type="dxa"/>
          </w:tcPr>
          <w:p w14:paraId="1A12CC28">
            <w:pPr>
              <w:keepNext w:val="0"/>
              <w:keepLines w:val="0"/>
              <w:suppressLineNumbers w:val="0"/>
              <w:bidi w:val="0"/>
              <w:spacing w:before="0" w:beforeAutospacing="0" w:after="0" w:afterAutospacing="0"/>
              <w:ind w:left="0" w:right="0"/>
              <w:rPr>
                <w:rFonts w:hint="default"/>
              </w:rPr>
            </w:pPr>
            <w:r>
              <w:rPr>
                <w:rFonts w:hint="default"/>
              </w:rPr>
              <w:drawing>
                <wp:inline distT="0" distB="0" distL="114300" distR="114300">
                  <wp:extent cx="8880475" cy="5115560"/>
                  <wp:effectExtent l="0" t="0" r="15875" b="889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1"/>
                          <a:stretch>
                            <a:fillRect/>
                          </a:stretch>
                        </pic:blipFill>
                        <pic:spPr>
                          <a:xfrm>
                            <a:off x="0" y="0"/>
                            <a:ext cx="8880475" cy="5115560"/>
                          </a:xfrm>
                          <a:prstGeom prst="rect">
                            <a:avLst/>
                          </a:prstGeom>
                          <a:noFill/>
                          <a:ln>
                            <a:noFill/>
                          </a:ln>
                        </pic:spPr>
                      </pic:pic>
                    </a:graphicData>
                  </a:graphic>
                </wp:inline>
              </w:drawing>
            </w:r>
          </w:p>
          <w:p w14:paraId="2EA079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26" w:lineRule="auto"/>
              <w:ind w:left="0" w:leftChars="0" w:right="0" w:rightChars="0" w:firstLine="5542" w:firstLineChars="2300"/>
              <w:jc w:val="both"/>
              <w:textAlignment w:val="auto"/>
              <w:rPr>
                <w:rFonts w:hint="eastAsia" w:eastAsia="宋体"/>
                <w:lang w:val="en-US" w:eastAsia="zh-CN"/>
              </w:rPr>
            </w:pPr>
            <w:r>
              <w:rPr>
                <w:rFonts w:hint="eastAsia" w:cs="Times New Roman"/>
                <w:b/>
                <w:bCs/>
                <w:color w:val="auto"/>
                <w:kern w:val="0"/>
                <w:sz w:val="24"/>
                <w:szCs w:val="24"/>
                <w:highlight w:val="none"/>
                <w:lang w:val="en-US" w:eastAsia="zh-CN" w:bidi="ar-SA"/>
              </w:rPr>
              <w:t xml:space="preserve">图2-3  </w:t>
            </w:r>
            <w:r>
              <w:rPr>
                <w:rFonts w:hint="default" w:ascii="Times New Roman" w:hAnsi="Times New Roman" w:eastAsia="宋体" w:cs="Times New Roman"/>
                <w:b/>
                <w:bCs/>
                <w:color w:val="auto"/>
                <w:kern w:val="0"/>
                <w:sz w:val="24"/>
                <w:szCs w:val="24"/>
                <w:highlight w:val="none"/>
                <w:lang w:val="en-US" w:eastAsia="zh-CN" w:bidi="ar-SA"/>
              </w:rPr>
              <w:t>工艺流程</w:t>
            </w:r>
            <w:r>
              <w:rPr>
                <w:rFonts w:hint="eastAsia" w:cs="Times New Roman"/>
                <w:b/>
                <w:bCs/>
                <w:color w:val="auto"/>
                <w:kern w:val="0"/>
                <w:sz w:val="24"/>
                <w:szCs w:val="24"/>
                <w:highlight w:val="none"/>
                <w:lang w:val="en-US" w:eastAsia="zh-CN" w:bidi="ar-SA"/>
              </w:rPr>
              <w:t>及产排污环节示意图</w:t>
            </w:r>
          </w:p>
        </w:tc>
      </w:tr>
    </w:tbl>
    <w:p w14:paraId="12926198">
      <w:pPr>
        <w:bidi w:val="0"/>
        <w:rPr>
          <w:rFonts w:hint="default"/>
        </w:rPr>
      </w:pPr>
    </w:p>
    <w:p w14:paraId="69DC52A3">
      <w:pPr>
        <w:bidi w:val="0"/>
        <w:rPr>
          <w:rFonts w:hint="default"/>
        </w:rPr>
        <w:sectPr>
          <w:pgSz w:w="16838" w:h="11906" w:orient="landscape"/>
          <w:pgMar w:top="1701" w:right="1134" w:bottom="1361" w:left="1134" w:header="992" w:footer="992" w:gutter="0"/>
          <w:pgBorders>
            <w:top w:val="none" w:sz="0" w:space="0"/>
            <w:left w:val="none" w:sz="0" w:space="0"/>
            <w:bottom w:val="none" w:sz="0" w:space="0"/>
            <w:right w:val="none" w:sz="0" w:space="0"/>
          </w:pgBorders>
          <w:cols w:space="720" w:num="1"/>
          <w:docGrid w:linePitch="312" w:charSpace="0"/>
        </w:sectPr>
      </w:pP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540"/>
      </w:tblGrid>
      <w:tr w14:paraId="13296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9" w:hRule="atLeast"/>
          <w:jc w:val="center"/>
        </w:trPr>
        <w:tc>
          <w:tcPr>
            <w:tcW w:w="257" w:type="pct"/>
            <w:vAlign w:val="center"/>
          </w:tcPr>
          <w:p w14:paraId="0328F524">
            <w:pPr>
              <w:pStyle w:val="30"/>
              <w:keepNext w:val="0"/>
              <w:keepLines w:val="0"/>
              <w:suppressLineNumbers w:val="0"/>
              <w:adjustRightInd w:val="0"/>
              <w:snapToGrid w:val="0"/>
              <w:spacing w:before="0" w:beforeAutospacing="0" w:after="0" w:afterAutospacing="0"/>
              <w:ind w:left="0" w:right="0"/>
              <w:jc w:val="center"/>
              <w:rPr>
                <w:rFonts w:hint="default"/>
              </w:rPr>
            </w:pPr>
            <w:r>
              <w:rPr>
                <w:rFonts w:hint="default" w:ascii="Times New Roman" w:hAnsi="Times New Roman" w:cs="Times New Roman"/>
                <w:color w:val="auto"/>
                <w:kern w:val="21"/>
                <w:szCs w:val="24"/>
                <w:lang w:val="en-US" w:eastAsia="zh-CN"/>
              </w:rPr>
              <w:t>工艺流程和产排污环节</w:t>
            </w:r>
          </w:p>
        </w:tc>
        <w:tc>
          <w:tcPr>
            <w:tcW w:w="4742" w:type="pct"/>
            <w:vAlign w:val="center"/>
          </w:tcPr>
          <w:p w14:paraId="6EA9B23A">
            <w:pPr>
              <w:pStyle w:val="9"/>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2" w:firstLineChars="200"/>
              <w:textAlignment w:val="auto"/>
              <w:rPr>
                <w:rFonts w:hint="eastAsia" w:ascii="Times New Roman" w:hAnsi="Times New Roman" w:eastAsia="宋体" w:cs="Times New Roman"/>
                <w:b/>
                <w:bCs/>
                <w:color w:val="FF0000"/>
                <w:lang w:val="en-US" w:eastAsia="zh-CN"/>
              </w:rPr>
            </w:pPr>
            <w:r>
              <w:rPr>
                <w:rFonts w:hint="eastAsia" w:ascii="Times New Roman" w:hAnsi="Times New Roman" w:eastAsia="宋体" w:cs="Times New Roman"/>
                <w:b/>
                <w:bCs/>
                <w:color w:val="FF0000"/>
                <w:lang w:val="en-US" w:eastAsia="zh-CN"/>
              </w:rPr>
              <w:t>制氮工艺</w:t>
            </w:r>
          </w:p>
          <w:p w14:paraId="47D3276A">
            <w:pPr>
              <w:keepNext w:val="0"/>
              <w:keepLines w:val="0"/>
              <w:suppressLineNumbers w:val="0"/>
              <w:spacing w:before="0" w:beforeAutospacing="0" w:after="0" w:afterAutospacing="0" w:line="360" w:lineRule="auto"/>
              <w:ind w:left="0" w:right="0" w:firstLine="482"/>
              <w:rPr>
                <w:rFonts w:hint="eastAsia" w:ascii="Times New Roman" w:hAnsi="Times New Roman" w:eastAsia="宋体" w:cs="Times New Roman"/>
                <w:color w:val="FF0000"/>
                <w:kern w:val="0"/>
                <w:sz w:val="24"/>
                <w:highlight w:val="none"/>
                <w:lang w:val="en-US" w:eastAsia="zh-CN"/>
              </w:rPr>
            </w:pPr>
            <w:r>
              <w:rPr>
                <w:rFonts w:hint="eastAsia" w:ascii="Times New Roman" w:hAnsi="Times New Roman" w:eastAsia="宋体" w:cs="Times New Roman"/>
                <w:color w:val="FF0000"/>
                <w:kern w:val="0"/>
                <w:sz w:val="24"/>
                <w:highlight w:val="none"/>
                <w:lang w:val="en-US" w:eastAsia="zh-CN"/>
              </w:rPr>
              <w:t>根据项目设计，项目制氮工艺采用“变压吸附制氮工艺”，该工艺以空气作为原料，原料空气经空压机压缩后进入后级空气储罐，空气中杂质如液态水、灰尘等通过设置过滤器达到净化空气的目的。净化后的空气经过两路分别进入两个吸附塔</w:t>
            </w:r>
            <w:r>
              <w:rPr>
                <w:rFonts w:hint="eastAsia" w:cs="Times New Roman"/>
                <w:color w:val="FF0000"/>
                <w:kern w:val="0"/>
                <w:sz w:val="24"/>
                <w:highlight w:val="none"/>
                <w:lang w:val="en-US" w:eastAsia="zh-CN"/>
              </w:rPr>
              <w:t>，</w:t>
            </w:r>
            <w:r>
              <w:rPr>
                <w:rFonts w:hint="eastAsia" w:ascii="Times New Roman" w:hAnsi="Times New Roman" w:eastAsia="宋体" w:cs="Times New Roman"/>
                <w:color w:val="FF0000"/>
                <w:kern w:val="0"/>
                <w:sz w:val="24"/>
                <w:highlight w:val="none"/>
                <w:lang w:val="en-US" w:eastAsia="zh-CN"/>
              </w:rPr>
              <w:t>通过制氮机上气动阀门的自动切换进行交替吸附与解吸，这个过程将空气中的大部分氮与少部分氧进行分离，并将富氧空气排空。氮气在塔顶富集由管路输送到后级氮气储罐，并经流量计后进入用气点。</w:t>
            </w:r>
          </w:p>
          <w:p w14:paraId="4A2F86AE">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FF0000"/>
                <w:kern w:val="0"/>
                <w:sz w:val="24"/>
                <w:highlight w:val="none"/>
                <w:lang w:val="en-US" w:eastAsia="zh-CN"/>
              </w:rPr>
            </w:pPr>
            <w:r>
              <w:rPr>
                <w:rFonts w:hint="eastAsia" w:ascii="Times New Roman" w:hAnsi="Times New Roman" w:eastAsia="宋体" w:cs="Times New Roman"/>
                <w:color w:val="FF0000"/>
                <w:kern w:val="0"/>
                <w:sz w:val="24"/>
                <w:highlight w:val="none"/>
                <w:lang w:val="en-US" w:eastAsia="zh-CN"/>
              </w:rPr>
              <w:t>该设备空气净化系统设置直接式过滤器，制氮过程中过滤主要用于吸附拦截空气中的杂质、水分等，设备中的过滤器可自动定时反吹，达到自洁，因此，制氮过程产污主要为噪声及过滤器滤筒（含滤布）</w:t>
            </w:r>
            <w:r>
              <w:rPr>
                <w:rFonts w:hint="eastAsia" w:cs="Times New Roman"/>
                <w:color w:val="FF0000"/>
                <w:kern w:val="0"/>
                <w:sz w:val="24"/>
                <w:highlight w:val="none"/>
                <w:lang w:val="en-US" w:eastAsia="zh-CN"/>
              </w:rPr>
              <w:t>、碳分子筛（吸附材料）</w:t>
            </w:r>
            <w:r>
              <w:rPr>
                <w:rFonts w:hint="eastAsia" w:ascii="Times New Roman" w:hAnsi="Times New Roman" w:eastAsia="宋体" w:cs="Times New Roman"/>
                <w:color w:val="FF0000"/>
                <w:kern w:val="0"/>
                <w:sz w:val="24"/>
                <w:highlight w:val="none"/>
                <w:lang w:val="en-US" w:eastAsia="zh-CN"/>
              </w:rPr>
              <w:t>。</w:t>
            </w:r>
          </w:p>
          <w:p w14:paraId="7B5ED11F">
            <w:pPr>
              <w:pStyle w:val="9"/>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en-US" w:eastAsia="zh-CN"/>
              </w:rPr>
              <w:t>运营期</w:t>
            </w:r>
            <w:r>
              <w:rPr>
                <w:rFonts w:hint="eastAsia" w:ascii="Times New Roman" w:hAnsi="Times New Roman" w:eastAsia="宋体" w:cs="Times New Roman"/>
                <w:b/>
                <w:bCs/>
                <w:color w:val="auto"/>
                <w:lang w:val="en-US" w:eastAsia="zh-CN"/>
              </w:rPr>
              <w:t>主要</w:t>
            </w:r>
            <w:r>
              <w:rPr>
                <w:rFonts w:hint="default" w:ascii="Times New Roman" w:hAnsi="Times New Roman" w:eastAsia="宋体" w:cs="Times New Roman"/>
                <w:b/>
                <w:bCs/>
                <w:color w:val="auto"/>
              </w:rPr>
              <w:t>产污环节</w:t>
            </w:r>
          </w:p>
          <w:p w14:paraId="43FA16D7">
            <w:pPr>
              <w:keepNext w:val="0"/>
              <w:keepLines w:val="0"/>
              <w:numPr>
                <w:ilvl w:val="0"/>
                <w:numId w:val="0"/>
              </w:numPr>
              <w:suppressLineNumbers w:val="0"/>
              <w:tabs>
                <w:tab w:val="left" w:pos="0"/>
              </w:tabs>
              <w:spacing w:before="0" w:beforeAutospacing="0" w:after="0" w:afterAutospacing="0"/>
              <w:ind w:left="0" w:leftChars="0" w:right="0" w:rightChars="0" w:firstLine="2108" w:firstLineChars="1000"/>
              <w:jc w:val="both"/>
              <w:rPr>
                <w:rFonts w:hint="default" w:ascii="Times New Roman" w:hAnsi="Times New Roman" w:cs="Times New Roman" w:eastAsiaTheme="minorEastAsia"/>
                <w:b/>
                <w:bCs/>
                <w:color w:val="000000" w:themeColor="text1"/>
                <w:szCs w:val="21"/>
                <w:lang w:val="en-US"/>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表2-9</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本项目主要生产污染工序及污染因子汇总</w:t>
            </w:r>
          </w:p>
          <w:tbl>
            <w:tblPr>
              <w:tblStyle w:val="63"/>
              <w:tblW w:w="7998"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
              <w:gridCol w:w="969"/>
              <w:gridCol w:w="1034"/>
              <w:gridCol w:w="2125"/>
              <w:gridCol w:w="3412"/>
            </w:tblGrid>
            <w:tr w14:paraId="3EA54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427" w:type="dxa"/>
                  <w:gridSpan w:val="2"/>
                  <w:vAlign w:val="center"/>
                </w:tcPr>
                <w:p w14:paraId="6E61004A">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类别</w:t>
                  </w:r>
                </w:p>
              </w:tc>
              <w:tc>
                <w:tcPr>
                  <w:tcW w:w="1034" w:type="dxa"/>
                  <w:vAlign w:val="center"/>
                </w:tcPr>
                <w:p w14:paraId="05CD03F6">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编号</w:t>
                  </w:r>
                </w:p>
              </w:tc>
              <w:tc>
                <w:tcPr>
                  <w:tcW w:w="2125" w:type="dxa"/>
                  <w:vAlign w:val="center"/>
                </w:tcPr>
                <w:p w14:paraId="4C52B4EE">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position w:val="1"/>
                      <w:sz w:val="21"/>
                      <w:szCs w:val="21"/>
                    </w:rPr>
                    <w:t>污染源/工序</w:t>
                  </w:r>
                </w:p>
              </w:tc>
              <w:tc>
                <w:tcPr>
                  <w:tcW w:w="3412" w:type="dxa"/>
                  <w:vAlign w:val="center"/>
                </w:tcPr>
                <w:p w14:paraId="3BEA73E5">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主要污染因子</w:t>
                  </w:r>
                </w:p>
              </w:tc>
            </w:tr>
            <w:tr w14:paraId="3B24B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restart"/>
                  <w:vAlign w:val="center"/>
                </w:tcPr>
                <w:p w14:paraId="48DDECA5">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废气</w:t>
                  </w:r>
                </w:p>
              </w:tc>
              <w:tc>
                <w:tcPr>
                  <w:tcW w:w="1034" w:type="dxa"/>
                  <w:vAlign w:val="center"/>
                </w:tcPr>
                <w:p w14:paraId="48E99345">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G1</w:t>
                  </w:r>
                </w:p>
              </w:tc>
              <w:tc>
                <w:tcPr>
                  <w:tcW w:w="2125" w:type="dxa"/>
                  <w:vAlign w:val="center"/>
                </w:tcPr>
                <w:p w14:paraId="6D90AF98">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注塑</w:t>
                  </w:r>
                </w:p>
              </w:tc>
              <w:tc>
                <w:tcPr>
                  <w:tcW w:w="3412" w:type="dxa"/>
                  <w:vAlign w:val="center"/>
                </w:tcPr>
                <w:p w14:paraId="0C26306A">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非甲烷总烃</w:t>
                  </w:r>
                </w:p>
              </w:tc>
            </w:tr>
            <w:tr w14:paraId="4A6FB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vAlign w:val="center"/>
                </w:tcPr>
                <w:p w14:paraId="536A1E09">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p>
              </w:tc>
              <w:tc>
                <w:tcPr>
                  <w:tcW w:w="1034" w:type="dxa"/>
                  <w:vAlign w:val="center"/>
                </w:tcPr>
                <w:p w14:paraId="1A63CF51">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G2</w:t>
                  </w:r>
                </w:p>
              </w:tc>
              <w:tc>
                <w:tcPr>
                  <w:tcW w:w="2125" w:type="dxa"/>
                  <w:vAlign w:val="center"/>
                </w:tcPr>
                <w:p w14:paraId="3AEBCC78">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焊接</w:t>
                  </w:r>
                </w:p>
              </w:tc>
              <w:tc>
                <w:tcPr>
                  <w:tcW w:w="3412" w:type="dxa"/>
                  <w:vAlign w:val="center"/>
                </w:tcPr>
                <w:p w14:paraId="328A36F6">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烟尘</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非甲烷总烃</w:t>
                  </w:r>
                </w:p>
              </w:tc>
            </w:tr>
            <w:tr w14:paraId="205CB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vAlign w:val="center"/>
                </w:tcPr>
                <w:p w14:paraId="117838ED">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p>
              </w:tc>
              <w:tc>
                <w:tcPr>
                  <w:tcW w:w="1034" w:type="dxa"/>
                  <w:vAlign w:val="center"/>
                </w:tcPr>
                <w:p w14:paraId="33C938CD">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lang w:eastAsia="zh-CN"/>
                    </w:rPr>
                  </w:pPr>
                  <w:r>
                    <w:rPr>
                      <w:rFonts w:hint="default" w:ascii="Times New Roman" w:hAnsi="Times New Roman" w:eastAsia="宋体" w:cs="Times New Roman"/>
                      <w:spacing w:val="-4"/>
                      <w:sz w:val="21"/>
                      <w:szCs w:val="21"/>
                    </w:rPr>
                    <w:t>G</w:t>
                  </w:r>
                  <w:r>
                    <w:rPr>
                      <w:rFonts w:hint="default" w:ascii="Times New Roman" w:hAnsi="Times New Roman" w:eastAsia="宋体" w:cs="Times New Roman"/>
                      <w:spacing w:val="-4"/>
                      <w:sz w:val="21"/>
                      <w:szCs w:val="21"/>
                      <w:lang w:val="en-US" w:eastAsia="zh-CN"/>
                    </w:rPr>
                    <w:t>3</w:t>
                  </w:r>
                </w:p>
              </w:tc>
              <w:tc>
                <w:tcPr>
                  <w:tcW w:w="2125" w:type="dxa"/>
                  <w:vAlign w:val="center"/>
                </w:tcPr>
                <w:p w14:paraId="74107F58">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点胶固化</w:t>
                  </w:r>
                </w:p>
              </w:tc>
              <w:tc>
                <w:tcPr>
                  <w:tcW w:w="3412" w:type="dxa"/>
                  <w:vAlign w:val="center"/>
                </w:tcPr>
                <w:p w14:paraId="0D135B24">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tc>
            </w:tr>
            <w:tr w14:paraId="18C59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vAlign w:val="center"/>
                </w:tcPr>
                <w:p w14:paraId="00957091">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p>
              </w:tc>
              <w:tc>
                <w:tcPr>
                  <w:tcW w:w="1034" w:type="dxa"/>
                  <w:shd w:val="clear" w:color="auto" w:fill="auto"/>
                  <w:vAlign w:val="center"/>
                </w:tcPr>
                <w:p w14:paraId="363B15CA">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 w:val="21"/>
                      <w:szCs w:val="21"/>
                    </w:rPr>
                    <w:t>G</w:t>
                  </w:r>
                  <w:r>
                    <w:rPr>
                      <w:rFonts w:hint="default" w:ascii="Times New Roman" w:hAnsi="Times New Roman" w:eastAsia="宋体" w:cs="Times New Roman"/>
                      <w:spacing w:val="-4"/>
                      <w:sz w:val="21"/>
                      <w:szCs w:val="21"/>
                      <w:lang w:val="en-US" w:eastAsia="zh-CN"/>
                    </w:rPr>
                    <w:t>4</w:t>
                  </w:r>
                </w:p>
              </w:tc>
              <w:tc>
                <w:tcPr>
                  <w:tcW w:w="2125" w:type="dxa"/>
                  <w:shd w:val="clear" w:color="auto" w:fill="auto"/>
                  <w:vAlign w:val="center"/>
                </w:tcPr>
                <w:p w14:paraId="4E9F0DB4">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pacing w:val="-4"/>
                      <w:kern w:val="2"/>
                      <w:sz w:val="21"/>
                      <w:szCs w:val="21"/>
                      <w:lang w:val="en-US" w:eastAsia="zh-CN" w:bidi="ar-SA"/>
                    </w:rPr>
                  </w:pPr>
                  <w:r>
                    <w:rPr>
                      <w:rFonts w:hint="eastAsia" w:ascii="Times New Roman" w:hAnsi="Times New Roman" w:cs="Times New Roman"/>
                      <w:spacing w:val="-4"/>
                      <w:sz w:val="21"/>
                      <w:szCs w:val="21"/>
                      <w:lang w:val="en-US" w:eastAsia="zh-CN"/>
                    </w:rPr>
                    <w:t>粉</w:t>
                  </w:r>
                  <w:r>
                    <w:rPr>
                      <w:rFonts w:hint="default" w:ascii="Times New Roman" w:hAnsi="Times New Roman" w:eastAsia="宋体" w:cs="Times New Roman"/>
                      <w:spacing w:val="-4"/>
                      <w:sz w:val="21"/>
                      <w:szCs w:val="21"/>
                      <w:lang w:val="en-US" w:eastAsia="zh-CN"/>
                    </w:rPr>
                    <w:t>碎</w:t>
                  </w:r>
                </w:p>
              </w:tc>
              <w:tc>
                <w:tcPr>
                  <w:tcW w:w="3412" w:type="dxa"/>
                  <w:shd w:val="clear" w:color="auto" w:fill="auto"/>
                  <w:vAlign w:val="center"/>
                </w:tcPr>
                <w:p w14:paraId="4F057057">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p>
              </w:tc>
            </w:tr>
            <w:tr w14:paraId="3F8D5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vAlign w:val="center"/>
                </w:tcPr>
                <w:p w14:paraId="21E588C4">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4"/>
                      <w:sz w:val="21"/>
                      <w:szCs w:val="21"/>
                    </w:rPr>
                  </w:pPr>
                </w:p>
              </w:tc>
              <w:tc>
                <w:tcPr>
                  <w:tcW w:w="1034" w:type="dxa"/>
                  <w:shd w:val="clear" w:color="auto" w:fill="auto"/>
                  <w:vAlign w:val="center"/>
                </w:tcPr>
                <w:p w14:paraId="034780E8">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pacing w:val="-4"/>
                      <w:sz w:val="21"/>
                      <w:szCs w:val="21"/>
                      <w:lang w:val="en-US" w:eastAsia="zh-CN"/>
                    </w:rPr>
                  </w:pPr>
                  <w:r>
                    <w:rPr>
                      <w:rFonts w:hint="eastAsia" w:cs="Times New Roman"/>
                      <w:spacing w:val="-4"/>
                      <w:sz w:val="21"/>
                      <w:szCs w:val="21"/>
                      <w:lang w:val="en-US" w:eastAsia="zh-CN"/>
                    </w:rPr>
                    <w:t>G5</w:t>
                  </w:r>
                </w:p>
              </w:tc>
              <w:tc>
                <w:tcPr>
                  <w:tcW w:w="2125" w:type="dxa"/>
                  <w:shd w:val="clear" w:color="auto" w:fill="auto"/>
                  <w:vAlign w:val="center"/>
                </w:tcPr>
                <w:p w14:paraId="699FDC0D">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食堂</w:t>
                  </w:r>
                </w:p>
              </w:tc>
              <w:tc>
                <w:tcPr>
                  <w:tcW w:w="3412" w:type="dxa"/>
                  <w:shd w:val="clear" w:color="auto" w:fill="auto"/>
                  <w:vAlign w:val="center"/>
                </w:tcPr>
                <w:p w14:paraId="7B08AC5C">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食堂油烟</w:t>
                  </w:r>
                </w:p>
              </w:tc>
            </w:tr>
            <w:tr w14:paraId="18EF0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restart"/>
                  <w:shd w:val="clear" w:color="auto" w:fill="auto"/>
                  <w:vAlign w:val="center"/>
                </w:tcPr>
                <w:p w14:paraId="73E7D7BC">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4"/>
                      <w:sz w:val="21"/>
                      <w:szCs w:val="21"/>
                    </w:rPr>
                    <w:t>废水</w:t>
                  </w:r>
                </w:p>
              </w:tc>
              <w:tc>
                <w:tcPr>
                  <w:tcW w:w="1034" w:type="dxa"/>
                  <w:shd w:val="clear" w:color="auto" w:fill="auto"/>
                  <w:vAlign w:val="center"/>
                </w:tcPr>
                <w:p w14:paraId="7874E585">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W1</w:t>
                  </w:r>
                </w:p>
              </w:tc>
              <w:tc>
                <w:tcPr>
                  <w:tcW w:w="2125" w:type="dxa"/>
                  <w:shd w:val="clear" w:color="auto" w:fill="auto"/>
                  <w:vAlign w:val="center"/>
                </w:tcPr>
                <w:p w14:paraId="678BEAA6">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4"/>
                      <w:sz w:val="21"/>
                      <w:szCs w:val="21"/>
                    </w:rPr>
                    <w:t>员工生活</w:t>
                  </w:r>
                </w:p>
              </w:tc>
              <w:tc>
                <w:tcPr>
                  <w:tcW w:w="3412" w:type="dxa"/>
                  <w:shd w:val="clear" w:color="auto" w:fill="auto"/>
                  <w:vAlign w:val="center"/>
                </w:tcPr>
                <w:p w14:paraId="0443D04F">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、氨氮</w:t>
                  </w:r>
                  <w:r>
                    <w:rPr>
                      <w:rFonts w:hint="eastAsia" w:cs="Times New Roman"/>
                      <w:sz w:val="21"/>
                      <w:szCs w:val="21"/>
                      <w:lang w:eastAsia="zh-CN"/>
                    </w:rPr>
                    <w:t>、</w:t>
                  </w:r>
                  <w:r>
                    <w:rPr>
                      <w:rFonts w:hint="eastAsia" w:cs="Times New Roman"/>
                      <w:sz w:val="21"/>
                      <w:szCs w:val="21"/>
                      <w:lang w:val="en-US" w:eastAsia="zh-CN"/>
                    </w:rPr>
                    <w:t>SS、总磷、总氮</w:t>
                  </w:r>
                </w:p>
              </w:tc>
            </w:tr>
            <w:tr w14:paraId="311B7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7" w:type="dxa"/>
                  <w:gridSpan w:val="2"/>
                  <w:vMerge w:val="continue"/>
                  <w:shd w:val="clear" w:color="auto" w:fill="auto"/>
                  <w:vAlign w:val="center"/>
                </w:tcPr>
                <w:p w14:paraId="330850E7">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pacing w:val="-4"/>
                      <w:sz w:val="21"/>
                      <w:szCs w:val="21"/>
                    </w:rPr>
                  </w:pPr>
                </w:p>
              </w:tc>
              <w:tc>
                <w:tcPr>
                  <w:tcW w:w="1034" w:type="dxa"/>
                  <w:shd w:val="clear" w:color="auto" w:fill="auto"/>
                  <w:vAlign w:val="center"/>
                </w:tcPr>
                <w:p w14:paraId="0C783B93">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eastAsia" w:ascii="Times New Roman" w:hAnsi="Times New Roman" w:eastAsia="宋体" w:cs="Times New Roman"/>
                      <w:spacing w:val="-2"/>
                      <w:sz w:val="21"/>
                      <w:szCs w:val="21"/>
                      <w:lang w:eastAsia="zh-CN"/>
                    </w:rPr>
                  </w:pPr>
                  <w:r>
                    <w:rPr>
                      <w:rFonts w:hint="default" w:ascii="Times New Roman" w:hAnsi="Times New Roman" w:eastAsia="宋体" w:cs="Times New Roman"/>
                      <w:spacing w:val="-2"/>
                      <w:sz w:val="21"/>
                      <w:szCs w:val="21"/>
                    </w:rPr>
                    <w:t>W</w:t>
                  </w:r>
                  <w:r>
                    <w:rPr>
                      <w:rFonts w:hint="eastAsia" w:cs="Times New Roman"/>
                      <w:spacing w:val="-2"/>
                      <w:sz w:val="21"/>
                      <w:szCs w:val="21"/>
                      <w:lang w:val="en-US" w:eastAsia="zh-CN"/>
                    </w:rPr>
                    <w:t>2</w:t>
                  </w:r>
                </w:p>
              </w:tc>
              <w:tc>
                <w:tcPr>
                  <w:tcW w:w="2125" w:type="dxa"/>
                  <w:shd w:val="clear" w:color="auto" w:fill="auto"/>
                  <w:vAlign w:val="center"/>
                </w:tcPr>
                <w:p w14:paraId="62EC8358">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cs="Times New Roman"/>
                      <w:spacing w:val="-4"/>
                      <w:sz w:val="21"/>
                      <w:szCs w:val="21"/>
                      <w:lang w:val="en-US" w:eastAsia="zh-CN"/>
                    </w:rPr>
                    <w:t>清洗</w:t>
                  </w:r>
                </w:p>
              </w:tc>
              <w:tc>
                <w:tcPr>
                  <w:tcW w:w="3412" w:type="dxa"/>
                  <w:shd w:val="clear" w:color="auto" w:fill="auto"/>
                  <w:vAlign w:val="center"/>
                </w:tcPr>
                <w:p w14:paraId="1134BFA4">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PH、COD、SS、石油类</w:t>
                  </w:r>
                </w:p>
              </w:tc>
            </w:tr>
            <w:tr w14:paraId="44135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27" w:type="dxa"/>
                  <w:gridSpan w:val="2"/>
                  <w:vAlign w:val="center"/>
                </w:tcPr>
                <w:p w14:paraId="4FFFFC21">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噪声</w:t>
                  </w:r>
                </w:p>
              </w:tc>
              <w:tc>
                <w:tcPr>
                  <w:tcW w:w="1034" w:type="dxa"/>
                  <w:vAlign w:val="center"/>
                </w:tcPr>
                <w:p w14:paraId="12D428C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N</w:t>
                  </w:r>
                </w:p>
              </w:tc>
              <w:tc>
                <w:tcPr>
                  <w:tcW w:w="2125" w:type="dxa"/>
                  <w:vAlign w:val="center"/>
                </w:tcPr>
                <w:p w14:paraId="7EC4D92A">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设备运行噪声</w:t>
                  </w:r>
                </w:p>
              </w:tc>
              <w:tc>
                <w:tcPr>
                  <w:tcW w:w="3412" w:type="dxa"/>
                  <w:vAlign w:val="center"/>
                </w:tcPr>
                <w:p w14:paraId="0DEB2C9B">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等效声级dB(A)</w:t>
                  </w:r>
                </w:p>
              </w:tc>
            </w:tr>
            <w:tr w14:paraId="2C640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restart"/>
                  <w:textDirection w:val="tbRlV"/>
                  <w:vAlign w:val="center"/>
                </w:tcPr>
                <w:p w14:paraId="2FCB8AF1">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固</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1"/>
                      <w:sz w:val="21"/>
                      <w:szCs w:val="21"/>
                    </w:rPr>
                    <w:t>废</w:t>
                  </w:r>
                </w:p>
              </w:tc>
              <w:tc>
                <w:tcPr>
                  <w:tcW w:w="969" w:type="dxa"/>
                  <w:vMerge w:val="restart"/>
                  <w:vAlign w:val="center"/>
                </w:tcPr>
                <w:p w14:paraId="4E33E3E2">
                  <w:pPr>
                    <w:pStyle w:val="69"/>
                    <w:keepNext w:val="0"/>
                    <w:keepLines w:val="0"/>
                    <w:pageBreakBefore w:val="0"/>
                    <w:widowControl w:val="0"/>
                    <w:kinsoku/>
                    <w:wordWrap/>
                    <w:overflowPunct/>
                    <w:topLinePunct w:val="0"/>
                    <w:autoSpaceDE/>
                    <w:autoSpaceDN/>
                    <w:bidi w:val="0"/>
                    <w:adjustRightInd w:val="0"/>
                    <w:snapToGrid/>
                    <w:spacing w:line="360" w:lineRule="exact"/>
                    <w:ind w:left="0" w:right="0" w:firstLine="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危险</w:t>
                  </w:r>
                  <w:r>
                    <w:rPr>
                      <w:rFonts w:hint="default" w:ascii="Times New Roman" w:hAnsi="Times New Roman" w:eastAsia="宋体" w:cs="Times New Roman"/>
                      <w:spacing w:val="-4"/>
                      <w:sz w:val="21"/>
                      <w:szCs w:val="21"/>
                    </w:rPr>
                    <w:t>废物</w:t>
                  </w:r>
                </w:p>
              </w:tc>
              <w:tc>
                <w:tcPr>
                  <w:tcW w:w="1034" w:type="dxa"/>
                  <w:shd w:val="clear" w:color="auto" w:fill="auto"/>
                  <w:vAlign w:val="center"/>
                </w:tcPr>
                <w:p w14:paraId="2085D933">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4</w:t>
                  </w:r>
                </w:p>
              </w:tc>
              <w:tc>
                <w:tcPr>
                  <w:tcW w:w="2125" w:type="dxa"/>
                  <w:shd w:val="clear" w:color="auto" w:fill="auto"/>
                  <w:vAlign w:val="center"/>
                </w:tcPr>
                <w:p w14:paraId="0A899A54">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3"/>
                      <w:sz w:val="21"/>
                      <w:szCs w:val="21"/>
                    </w:rPr>
                    <w:t>原料使用</w:t>
                  </w:r>
                </w:p>
              </w:tc>
              <w:tc>
                <w:tcPr>
                  <w:tcW w:w="3412" w:type="dxa"/>
                  <w:shd w:val="clear" w:color="auto" w:fill="auto"/>
                  <w:vAlign w:val="center"/>
                </w:tcPr>
                <w:p w14:paraId="0242FCA0">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w:t>
                  </w:r>
                  <w:r>
                    <w:rPr>
                      <w:rFonts w:hint="default" w:ascii="Times New Roman" w:hAnsi="Times New Roman" w:eastAsia="宋体" w:cs="Times New Roman"/>
                      <w:sz w:val="21"/>
                      <w:szCs w:val="21"/>
                      <w:lang w:val="en-US" w:eastAsia="zh-CN"/>
                    </w:rPr>
                    <w:t>包装桶</w:t>
                  </w:r>
                </w:p>
              </w:tc>
            </w:tr>
            <w:tr w14:paraId="12D3D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extDirection w:val="tbRlV"/>
                  <w:vAlign w:val="center"/>
                </w:tcPr>
                <w:p w14:paraId="0F814085">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vAlign w:val="center"/>
                </w:tcPr>
                <w:p w14:paraId="5ADAF991">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shd w:val="clear" w:color="auto" w:fill="auto"/>
                  <w:vAlign w:val="center"/>
                </w:tcPr>
                <w:p w14:paraId="0F62606A">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6</w:t>
                  </w:r>
                </w:p>
              </w:tc>
              <w:tc>
                <w:tcPr>
                  <w:tcW w:w="2125" w:type="dxa"/>
                  <w:shd w:val="clear" w:color="auto" w:fill="auto"/>
                  <w:vAlign w:val="center"/>
                </w:tcPr>
                <w:p w14:paraId="48D3A76A">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废气处理</w:t>
                  </w:r>
                </w:p>
              </w:tc>
              <w:tc>
                <w:tcPr>
                  <w:tcW w:w="3412" w:type="dxa"/>
                  <w:shd w:val="clear" w:color="auto" w:fill="auto"/>
                  <w:vAlign w:val="center"/>
                </w:tcPr>
                <w:p w14:paraId="480AA755">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废活性炭</w:t>
                  </w:r>
                </w:p>
              </w:tc>
            </w:tr>
            <w:tr w14:paraId="5F2F2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extDirection w:val="tbRlV"/>
                  <w:vAlign w:val="center"/>
                </w:tcPr>
                <w:p w14:paraId="536B3FBD">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vAlign w:val="center"/>
                </w:tcPr>
                <w:p w14:paraId="53930BD1">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bottom w:val="single" w:color="auto" w:sz="4" w:space="0"/>
                  </w:tcBorders>
                  <w:vAlign w:val="center"/>
                </w:tcPr>
                <w:p w14:paraId="72802D24">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w:t>
                  </w:r>
                  <w:r>
                    <w:rPr>
                      <w:rFonts w:hint="eastAsia" w:cs="Times New Roman"/>
                      <w:sz w:val="21"/>
                      <w:szCs w:val="21"/>
                      <w:lang w:val="en-US" w:eastAsia="zh-CN"/>
                    </w:rPr>
                    <w:t>8</w:t>
                  </w:r>
                </w:p>
              </w:tc>
              <w:tc>
                <w:tcPr>
                  <w:tcW w:w="2125" w:type="dxa"/>
                  <w:tcBorders>
                    <w:bottom w:val="single" w:color="auto" w:sz="4" w:space="0"/>
                  </w:tcBorders>
                  <w:vAlign w:val="center"/>
                </w:tcPr>
                <w:p w14:paraId="20ED06F6">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设备维护</w:t>
                  </w:r>
                </w:p>
              </w:tc>
              <w:tc>
                <w:tcPr>
                  <w:tcW w:w="3412" w:type="dxa"/>
                  <w:tcBorders>
                    <w:bottom w:val="single" w:color="auto" w:sz="4" w:space="0"/>
                  </w:tcBorders>
                  <w:vAlign w:val="center"/>
                </w:tcPr>
                <w:p w14:paraId="1CACEDF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废润滑油</w:t>
                  </w:r>
                </w:p>
              </w:tc>
            </w:tr>
            <w:tr w14:paraId="228FF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extDirection w:val="tbRlV"/>
                  <w:vAlign w:val="center"/>
                </w:tcPr>
                <w:p w14:paraId="63090E2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bottom w:val="single" w:color="auto" w:sz="4" w:space="0"/>
                  </w:tcBorders>
                  <w:vAlign w:val="center"/>
                </w:tcPr>
                <w:p w14:paraId="0EB0D05E">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bottom w:val="single" w:color="auto" w:sz="4" w:space="0"/>
                  </w:tcBorders>
                  <w:vAlign w:val="center"/>
                </w:tcPr>
                <w:p w14:paraId="531CAB09">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FF0000"/>
                      <w:spacing w:val="-6"/>
                      <w:sz w:val="21"/>
                      <w:szCs w:val="21"/>
                    </w:rPr>
                    <w:t>S</w:t>
                  </w:r>
                  <w:r>
                    <w:rPr>
                      <w:rFonts w:hint="eastAsia" w:cs="Times New Roman"/>
                      <w:color w:val="FF0000"/>
                      <w:spacing w:val="-6"/>
                      <w:sz w:val="21"/>
                      <w:szCs w:val="21"/>
                      <w:lang w:val="en-US" w:eastAsia="zh-CN"/>
                    </w:rPr>
                    <w:t>11</w:t>
                  </w:r>
                </w:p>
              </w:tc>
              <w:tc>
                <w:tcPr>
                  <w:tcW w:w="2125" w:type="dxa"/>
                  <w:tcBorders>
                    <w:bottom w:val="single" w:color="auto" w:sz="4" w:space="0"/>
                  </w:tcBorders>
                  <w:vAlign w:val="center"/>
                </w:tcPr>
                <w:p w14:paraId="5A97EB71">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污水处理站</w:t>
                  </w:r>
                </w:p>
              </w:tc>
              <w:tc>
                <w:tcPr>
                  <w:tcW w:w="3412" w:type="dxa"/>
                  <w:tcBorders>
                    <w:bottom w:val="single" w:color="auto" w:sz="4" w:space="0"/>
                  </w:tcBorders>
                  <w:vAlign w:val="center"/>
                </w:tcPr>
                <w:p w14:paraId="6C9782A0">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污水处理站污泥</w:t>
                  </w:r>
                </w:p>
              </w:tc>
            </w:tr>
            <w:tr w14:paraId="34E21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cBorders>
                    <w:right w:val="single" w:color="auto" w:sz="4" w:space="0"/>
                  </w:tcBorders>
                  <w:textDirection w:val="tbRlV"/>
                  <w:vAlign w:val="center"/>
                </w:tcPr>
                <w:p w14:paraId="2990B4FD">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restart"/>
                  <w:tcBorders>
                    <w:top w:val="single" w:color="auto" w:sz="4" w:space="0"/>
                    <w:left w:val="single" w:color="auto" w:sz="4" w:space="0"/>
                    <w:right w:val="single" w:color="auto" w:sz="4" w:space="0"/>
                  </w:tcBorders>
                  <w:vAlign w:val="center"/>
                </w:tcPr>
                <w:p w14:paraId="11825B4B">
                  <w:pPr>
                    <w:pStyle w:val="69"/>
                    <w:keepNext w:val="0"/>
                    <w:keepLines w:val="0"/>
                    <w:pageBreakBefore w:val="0"/>
                    <w:widowControl w:val="0"/>
                    <w:kinsoku/>
                    <w:wordWrap/>
                    <w:overflowPunct/>
                    <w:topLinePunct w:val="0"/>
                    <w:autoSpaceDE/>
                    <w:autoSpaceDN/>
                    <w:bidi w:val="0"/>
                    <w:adjustRightInd w:val="0"/>
                    <w:snapToGrid/>
                    <w:spacing w:line="360" w:lineRule="exact"/>
                    <w:ind w:left="0" w:right="0" w:hanging="1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一般</w:t>
                  </w:r>
                  <w:r>
                    <w:rPr>
                      <w:rFonts w:hint="default" w:ascii="Times New Roman" w:hAnsi="Times New Roman" w:eastAsia="宋体" w:cs="Times New Roman"/>
                      <w:spacing w:val="-12"/>
                      <w:sz w:val="21"/>
                      <w:szCs w:val="21"/>
                    </w:rPr>
                    <w:t>固废</w:t>
                  </w:r>
                </w:p>
              </w:tc>
              <w:tc>
                <w:tcPr>
                  <w:tcW w:w="1034" w:type="dxa"/>
                  <w:tcBorders>
                    <w:top w:val="single" w:color="auto" w:sz="4" w:space="0"/>
                    <w:left w:val="single" w:color="auto" w:sz="4" w:space="0"/>
                    <w:bottom w:val="single" w:color="auto" w:sz="4" w:space="0"/>
                    <w:right w:val="single" w:color="auto" w:sz="4" w:space="0"/>
                  </w:tcBorders>
                  <w:vAlign w:val="center"/>
                </w:tcPr>
                <w:p w14:paraId="4C4C59A9">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S1</w:t>
                  </w:r>
                </w:p>
              </w:tc>
              <w:tc>
                <w:tcPr>
                  <w:tcW w:w="2125" w:type="dxa"/>
                  <w:tcBorders>
                    <w:top w:val="single" w:color="auto" w:sz="4" w:space="0"/>
                    <w:left w:val="single" w:color="auto" w:sz="4" w:space="0"/>
                    <w:bottom w:val="single" w:color="auto" w:sz="4" w:space="0"/>
                    <w:right w:val="single" w:color="auto" w:sz="4" w:space="0"/>
                  </w:tcBorders>
                  <w:vAlign w:val="center"/>
                </w:tcPr>
                <w:p w14:paraId="41EA9DD4">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注塑</w:t>
                  </w:r>
                </w:p>
              </w:tc>
              <w:tc>
                <w:tcPr>
                  <w:tcW w:w="3412" w:type="dxa"/>
                  <w:tcBorders>
                    <w:top w:val="single" w:color="auto" w:sz="4" w:space="0"/>
                    <w:left w:val="single" w:color="auto" w:sz="4" w:space="0"/>
                    <w:bottom w:val="single" w:color="auto" w:sz="4" w:space="0"/>
                    <w:right w:val="single" w:color="auto" w:sz="4" w:space="0"/>
                  </w:tcBorders>
                  <w:vAlign w:val="center"/>
                </w:tcPr>
                <w:p w14:paraId="5F106C2B">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注塑残次品</w:t>
                  </w:r>
                </w:p>
              </w:tc>
            </w:tr>
            <w:tr w14:paraId="4D7BF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8" w:type="dxa"/>
                  <w:vMerge w:val="continue"/>
                  <w:tcBorders>
                    <w:right w:val="single" w:color="auto" w:sz="4" w:space="0"/>
                  </w:tcBorders>
                  <w:textDirection w:val="tbRlV"/>
                  <w:vAlign w:val="center"/>
                </w:tcPr>
                <w:p w14:paraId="518A43ED">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right w:val="single" w:color="auto" w:sz="4" w:space="0"/>
                  </w:tcBorders>
                  <w:vAlign w:val="center"/>
                </w:tcPr>
                <w:p w14:paraId="352BB84C">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vAlign w:val="center"/>
                </w:tcPr>
                <w:p w14:paraId="2160D30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2</w:t>
                  </w:r>
                </w:p>
              </w:tc>
              <w:tc>
                <w:tcPr>
                  <w:tcW w:w="2125" w:type="dxa"/>
                  <w:tcBorders>
                    <w:top w:val="single" w:color="auto" w:sz="4" w:space="0"/>
                    <w:left w:val="single" w:color="auto" w:sz="4" w:space="0"/>
                    <w:bottom w:val="single" w:color="auto" w:sz="4" w:space="0"/>
                    <w:right w:val="single" w:color="auto" w:sz="4" w:space="0"/>
                  </w:tcBorders>
                  <w:vAlign w:val="center"/>
                </w:tcPr>
                <w:p w14:paraId="74E20E84">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冲裁</w:t>
                  </w:r>
                </w:p>
              </w:tc>
              <w:tc>
                <w:tcPr>
                  <w:tcW w:w="3412" w:type="dxa"/>
                  <w:tcBorders>
                    <w:top w:val="single" w:color="auto" w:sz="4" w:space="0"/>
                    <w:left w:val="single" w:color="auto" w:sz="4" w:space="0"/>
                    <w:bottom w:val="single" w:color="auto" w:sz="4" w:space="0"/>
                    <w:right w:val="single" w:color="auto" w:sz="4" w:space="0"/>
                  </w:tcBorders>
                  <w:vAlign w:val="center"/>
                </w:tcPr>
                <w:p w14:paraId="60D7EBA0">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废边角料</w:t>
                  </w:r>
                </w:p>
              </w:tc>
            </w:tr>
            <w:tr w14:paraId="57AAC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8" w:type="dxa"/>
                  <w:vMerge w:val="continue"/>
                  <w:tcBorders>
                    <w:right w:val="single" w:color="auto" w:sz="4" w:space="0"/>
                  </w:tcBorders>
                  <w:textDirection w:val="tbRlV"/>
                  <w:vAlign w:val="center"/>
                </w:tcPr>
                <w:p w14:paraId="0CE01C50">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right w:val="single" w:color="auto" w:sz="4" w:space="0"/>
                  </w:tcBorders>
                  <w:vAlign w:val="center"/>
                </w:tcPr>
                <w:p w14:paraId="6DF2C8A9">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14:paraId="08194BB9">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3</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center"/>
                </w:tcPr>
                <w:p w14:paraId="06C55ADE">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绕线</w:t>
                  </w:r>
                </w:p>
              </w:tc>
              <w:tc>
                <w:tcPr>
                  <w:tcW w:w="3412" w:type="dxa"/>
                  <w:tcBorders>
                    <w:top w:val="single" w:color="auto" w:sz="4" w:space="0"/>
                    <w:left w:val="single" w:color="auto" w:sz="4" w:space="0"/>
                    <w:bottom w:val="single" w:color="auto" w:sz="4" w:space="0"/>
                    <w:right w:val="single" w:color="auto" w:sz="4" w:space="0"/>
                  </w:tcBorders>
                  <w:shd w:val="clear" w:color="auto" w:fill="auto"/>
                  <w:vAlign w:val="center"/>
                </w:tcPr>
                <w:p w14:paraId="230FD5F0">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废漆包线</w:t>
                  </w:r>
                </w:p>
              </w:tc>
            </w:tr>
            <w:tr w14:paraId="68758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8" w:type="dxa"/>
                  <w:vMerge w:val="continue"/>
                  <w:tcBorders>
                    <w:right w:val="single" w:color="auto" w:sz="4" w:space="0"/>
                  </w:tcBorders>
                  <w:textDirection w:val="tbRlV"/>
                  <w:vAlign w:val="center"/>
                </w:tcPr>
                <w:p w14:paraId="4FDACF77">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right w:val="single" w:color="auto" w:sz="4" w:space="0"/>
                  </w:tcBorders>
                  <w:vAlign w:val="center"/>
                </w:tcPr>
                <w:p w14:paraId="025E842F">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14:paraId="05F630D1">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S</w:t>
                  </w:r>
                  <w:r>
                    <w:rPr>
                      <w:rFonts w:hint="default" w:ascii="Times New Roman" w:hAnsi="Times New Roman" w:eastAsia="宋体" w:cs="Times New Roman"/>
                      <w:spacing w:val="-6"/>
                      <w:sz w:val="21"/>
                      <w:szCs w:val="21"/>
                      <w:lang w:val="en-US" w:eastAsia="zh-CN"/>
                    </w:rPr>
                    <w:t>5</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center"/>
                </w:tcPr>
                <w:p w14:paraId="0DF86A62">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lang w:val="en-US" w:eastAsia="zh-CN"/>
                    </w:rPr>
                    <w:t>产品</w:t>
                  </w:r>
                  <w:r>
                    <w:rPr>
                      <w:rFonts w:hint="default" w:ascii="Times New Roman" w:hAnsi="Times New Roman" w:eastAsia="宋体" w:cs="Times New Roman"/>
                      <w:spacing w:val="-3"/>
                      <w:sz w:val="21"/>
                      <w:szCs w:val="21"/>
                    </w:rPr>
                    <w:t>包装</w:t>
                  </w:r>
                </w:p>
              </w:tc>
              <w:tc>
                <w:tcPr>
                  <w:tcW w:w="3412" w:type="dxa"/>
                  <w:tcBorders>
                    <w:top w:val="single" w:color="auto" w:sz="4" w:space="0"/>
                    <w:left w:val="single" w:color="auto" w:sz="4" w:space="0"/>
                    <w:bottom w:val="single" w:color="auto" w:sz="4" w:space="0"/>
                    <w:right w:val="single" w:color="auto" w:sz="4" w:space="0"/>
                  </w:tcBorders>
                  <w:shd w:val="clear" w:color="auto" w:fill="auto"/>
                  <w:vAlign w:val="center"/>
                </w:tcPr>
                <w:p w14:paraId="71F70C27">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废包装材料</w:t>
                  </w:r>
                </w:p>
              </w:tc>
            </w:tr>
            <w:tr w14:paraId="293FC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8" w:type="dxa"/>
                  <w:vMerge w:val="continue"/>
                  <w:tcBorders>
                    <w:right w:val="single" w:color="auto" w:sz="4" w:space="0"/>
                  </w:tcBorders>
                  <w:textDirection w:val="tbRlV"/>
                  <w:vAlign w:val="center"/>
                </w:tcPr>
                <w:p w14:paraId="6DB26A9B">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right w:val="single" w:color="auto" w:sz="4" w:space="0"/>
                  </w:tcBorders>
                  <w:vAlign w:val="center"/>
                </w:tcPr>
                <w:p w14:paraId="20950778">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vAlign w:val="center"/>
                </w:tcPr>
                <w:p w14:paraId="1A0E40C2">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eastAsia"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rPr>
                    <w:t>S</w:t>
                  </w:r>
                  <w:r>
                    <w:rPr>
                      <w:rFonts w:hint="eastAsia" w:ascii="Times New Roman" w:hAnsi="Times New Roman" w:eastAsia="宋体" w:cs="Times New Roman"/>
                      <w:spacing w:val="-6"/>
                      <w:sz w:val="21"/>
                      <w:szCs w:val="21"/>
                      <w:lang w:val="en-US" w:eastAsia="zh-CN"/>
                    </w:rPr>
                    <w:t>7</w:t>
                  </w:r>
                </w:p>
              </w:tc>
              <w:tc>
                <w:tcPr>
                  <w:tcW w:w="2125" w:type="dxa"/>
                  <w:tcBorders>
                    <w:top w:val="single" w:color="auto" w:sz="4" w:space="0"/>
                    <w:left w:val="single" w:color="auto" w:sz="4" w:space="0"/>
                    <w:bottom w:val="single" w:color="auto" w:sz="4" w:space="0"/>
                    <w:right w:val="single" w:color="auto" w:sz="4" w:space="0"/>
                  </w:tcBorders>
                  <w:vAlign w:val="center"/>
                </w:tcPr>
                <w:p w14:paraId="57037018">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3"/>
                      <w:sz w:val="21"/>
                      <w:szCs w:val="21"/>
                      <w:lang w:val="en-US" w:eastAsia="zh-CN"/>
                    </w:rPr>
                  </w:pPr>
                  <w:r>
                    <w:rPr>
                      <w:rFonts w:hint="default" w:ascii="Times New Roman" w:hAnsi="Times New Roman" w:eastAsia="宋体" w:cs="Times New Roman"/>
                      <w:spacing w:val="-2"/>
                      <w:sz w:val="21"/>
                      <w:szCs w:val="21"/>
                    </w:rPr>
                    <w:t>废气处理</w:t>
                  </w:r>
                </w:p>
              </w:tc>
              <w:tc>
                <w:tcPr>
                  <w:tcW w:w="3412" w:type="dxa"/>
                  <w:tcBorders>
                    <w:top w:val="single" w:color="auto" w:sz="4" w:space="0"/>
                    <w:left w:val="single" w:color="auto" w:sz="4" w:space="0"/>
                    <w:bottom w:val="single" w:color="auto" w:sz="4" w:space="0"/>
                    <w:right w:val="single" w:color="auto" w:sz="4" w:space="0"/>
                  </w:tcBorders>
                  <w:vAlign w:val="center"/>
                </w:tcPr>
                <w:p w14:paraId="008C5D49">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除尘灰</w:t>
                  </w:r>
                </w:p>
              </w:tc>
            </w:tr>
            <w:tr w14:paraId="19855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8" w:type="dxa"/>
                  <w:vMerge w:val="continue"/>
                  <w:tcBorders>
                    <w:right w:val="single" w:color="auto" w:sz="4" w:space="0"/>
                  </w:tcBorders>
                  <w:textDirection w:val="tbRlV"/>
                  <w:vAlign w:val="center"/>
                </w:tcPr>
                <w:p w14:paraId="011D9504">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right w:val="single" w:color="auto" w:sz="4" w:space="0"/>
                  </w:tcBorders>
                  <w:vAlign w:val="center"/>
                </w:tcPr>
                <w:p w14:paraId="2BD04E18">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vAlign w:val="center"/>
                </w:tcPr>
                <w:p w14:paraId="301DE587">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6"/>
                      <w:sz w:val="21"/>
                      <w:szCs w:val="21"/>
                      <w:lang w:val="en-US" w:eastAsia="zh-CN"/>
                    </w:rPr>
                  </w:pPr>
                  <w:r>
                    <w:rPr>
                      <w:rFonts w:hint="eastAsia" w:cs="Times New Roman"/>
                      <w:spacing w:val="-6"/>
                      <w:sz w:val="21"/>
                      <w:szCs w:val="21"/>
                      <w:lang w:val="en-US" w:eastAsia="zh-CN"/>
                    </w:rPr>
                    <w:t>S9</w:t>
                  </w:r>
                </w:p>
              </w:tc>
              <w:tc>
                <w:tcPr>
                  <w:tcW w:w="2125" w:type="dxa"/>
                  <w:tcBorders>
                    <w:top w:val="single" w:color="auto" w:sz="4" w:space="0"/>
                    <w:left w:val="single" w:color="auto" w:sz="4" w:space="0"/>
                    <w:bottom w:val="single" w:color="auto" w:sz="4" w:space="0"/>
                    <w:right w:val="single" w:color="auto" w:sz="4" w:space="0"/>
                  </w:tcBorders>
                  <w:vAlign w:val="center"/>
                </w:tcPr>
                <w:p w14:paraId="5F6720F8">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纯水制备</w:t>
                  </w:r>
                </w:p>
              </w:tc>
              <w:tc>
                <w:tcPr>
                  <w:tcW w:w="3412" w:type="dxa"/>
                  <w:tcBorders>
                    <w:top w:val="single" w:color="auto" w:sz="4" w:space="0"/>
                    <w:left w:val="single" w:color="auto" w:sz="4" w:space="0"/>
                    <w:bottom w:val="single" w:color="auto" w:sz="4" w:space="0"/>
                    <w:right w:val="single" w:color="auto" w:sz="4" w:space="0"/>
                  </w:tcBorders>
                  <w:vAlign w:val="center"/>
                </w:tcPr>
                <w:p w14:paraId="20D97D7E">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cs="Times New Roman"/>
                      <w:spacing w:val="-2"/>
                      <w:sz w:val="21"/>
                      <w:szCs w:val="21"/>
                      <w:lang w:val="en-US" w:eastAsia="zh-CN"/>
                    </w:rPr>
                  </w:pPr>
                  <w:r>
                    <w:rPr>
                      <w:rFonts w:hint="eastAsia" w:ascii="Times New Roman" w:hAnsi="Times New Roman" w:cs="Times New Roman"/>
                      <w:spacing w:val="-2"/>
                      <w:sz w:val="21"/>
                      <w:szCs w:val="21"/>
                      <w:lang w:val="en-US" w:eastAsia="zh-CN"/>
                    </w:rPr>
                    <w:t>废活性炭</w:t>
                  </w:r>
                </w:p>
              </w:tc>
            </w:tr>
            <w:tr w14:paraId="190AE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8" w:type="dxa"/>
                  <w:vMerge w:val="continue"/>
                  <w:tcBorders>
                    <w:right w:val="single" w:color="auto" w:sz="4" w:space="0"/>
                  </w:tcBorders>
                  <w:textDirection w:val="tbRlV"/>
                  <w:vAlign w:val="center"/>
                </w:tcPr>
                <w:p w14:paraId="5E2F2656">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vMerge w:val="continue"/>
                  <w:tcBorders>
                    <w:left w:val="single" w:color="auto" w:sz="4" w:space="0"/>
                    <w:bottom w:val="single" w:color="auto" w:sz="4" w:space="0"/>
                    <w:right w:val="single" w:color="auto" w:sz="4" w:space="0"/>
                  </w:tcBorders>
                  <w:vAlign w:val="center"/>
                </w:tcPr>
                <w:p w14:paraId="2F520EB5">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1034" w:type="dxa"/>
                  <w:tcBorders>
                    <w:top w:val="single" w:color="auto" w:sz="4" w:space="0"/>
                    <w:left w:val="single" w:color="auto" w:sz="4" w:space="0"/>
                    <w:bottom w:val="single" w:color="auto" w:sz="4" w:space="0"/>
                    <w:right w:val="single" w:color="auto" w:sz="4" w:space="0"/>
                  </w:tcBorders>
                  <w:vAlign w:val="center"/>
                </w:tcPr>
                <w:p w14:paraId="6C897B1E">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cs="Times New Roman"/>
                      <w:color w:val="FF0000"/>
                      <w:spacing w:val="-6"/>
                      <w:sz w:val="21"/>
                      <w:szCs w:val="21"/>
                      <w:lang w:val="en-US" w:eastAsia="zh-CN"/>
                    </w:rPr>
                  </w:pPr>
                  <w:r>
                    <w:rPr>
                      <w:rFonts w:hint="eastAsia" w:cs="Times New Roman"/>
                      <w:color w:val="FF0000"/>
                      <w:spacing w:val="-6"/>
                      <w:sz w:val="21"/>
                      <w:szCs w:val="21"/>
                      <w:lang w:val="en-US" w:eastAsia="zh-CN"/>
                    </w:rPr>
                    <w:t>S10</w:t>
                  </w:r>
                </w:p>
              </w:tc>
              <w:tc>
                <w:tcPr>
                  <w:tcW w:w="2125" w:type="dxa"/>
                  <w:tcBorders>
                    <w:top w:val="single" w:color="auto" w:sz="4" w:space="0"/>
                    <w:left w:val="single" w:color="auto" w:sz="4" w:space="0"/>
                    <w:bottom w:val="single" w:color="auto" w:sz="4" w:space="0"/>
                    <w:right w:val="single" w:color="auto" w:sz="4" w:space="0"/>
                  </w:tcBorders>
                  <w:vAlign w:val="center"/>
                </w:tcPr>
                <w:p w14:paraId="394F3D2C">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制氮机组</w:t>
                  </w:r>
                </w:p>
              </w:tc>
              <w:tc>
                <w:tcPr>
                  <w:tcW w:w="3412" w:type="dxa"/>
                  <w:tcBorders>
                    <w:top w:val="single" w:color="auto" w:sz="4" w:space="0"/>
                    <w:left w:val="single" w:color="auto" w:sz="4" w:space="0"/>
                    <w:bottom w:val="single" w:color="auto" w:sz="4" w:space="0"/>
                    <w:right w:val="single" w:color="auto" w:sz="4" w:space="0"/>
                  </w:tcBorders>
                  <w:vAlign w:val="center"/>
                </w:tcPr>
                <w:p w14:paraId="527138A1">
                  <w:pPr>
                    <w:pStyle w:val="69"/>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废滤筒（含滤布）、碳分子筛</w:t>
                  </w:r>
                </w:p>
              </w:tc>
            </w:tr>
            <w:tr w14:paraId="38E65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58" w:type="dxa"/>
                  <w:vMerge w:val="continue"/>
                  <w:tcBorders>
                    <w:bottom w:val="nil"/>
                    <w:right w:val="single" w:color="auto" w:sz="4" w:space="0"/>
                  </w:tcBorders>
                  <w:textDirection w:val="tbRlV"/>
                  <w:vAlign w:val="center"/>
                </w:tcPr>
                <w:p w14:paraId="78A4C49A">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rPr>
                  </w:pPr>
                </w:p>
              </w:tc>
              <w:tc>
                <w:tcPr>
                  <w:tcW w:w="969" w:type="dxa"/>
                  <w:tcBorders>
                    <w:top w:val="single" w:color="auto" w:sz="4" w:space="0"/>
                    <w:left w:val="single" w:color="auto" w:sz="4" w:space="0"/>
                    <w:bottom w:val="single" w:color="auto" w:sz="4" w:space="0"/>
                    <w:right w:val="single" w:color="auto" w:sz="4" w:space="0"/>
                  </w:tcBorders>
                  <w:vAlign w:val="center"/>
                </w:tcPr>
                <w:p w14:paraId="4F4CE1F7">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w:t>
                  </w:r>
                </w:p>
              </w:tc>
              <w:tc>
                <w:tcPr>
                  <w:tcW w:w="1034" w:type="dxa"/>
                  <w:tcBorders>
                    <w:top w:val="single" w:color="auto" w:sz="4" w:space="0"/>
                    <w:left w:val="single" w:color="auto" w:sz="4" w:space="0"/>
                    <w:bottom w:val="single" w:color="auto" w:sz="4" w:space="0"/>
                    <w:right w:val="single" w:color="auto" w:sz="4" w:space="0"/>
                  </w:tcBorders>
                  <w:vAlign w:val="center"/>
                </w:tcPr>
                <w:p w14:paraId="3C3D5468">
                  <w:pPr>
                    <w:keepNext w:val="0"/>
                    <w:keepLines w:val="0"/>
                    <w:pageBreakBefore w:val="0"/>
                    <w:widowControl w:val="0"/>
                    <w:kinsoku/>
                    <w:wordWrap/>
                    <w:overflowPunct/>
                    <w:topLinePunct w:val="0"/>
                    <w:autoSpaceDE/>
                    <w:autoSpaceDN/>
                    <w:bidi w:val="0"/>
                    <w:adjustRightInd w:val="0"/>
                    <w:snapToGrid/>
                    <w:spacing w:line="360" w:lineRule="exact"/>
                    <w:ind w:left="0" w:right="0"/>
                    <w:jc w:val="center"/>
                    <w:textAlignment w:val="auto"/>
                    <w:rPr>
                      <w:rFonts w:hint="default" w:ascii="Times New Roman" w:hAnsi="Times New Roman" w:eastAsia="宋体" w:cs="Times New Roman"/>
                      <w:spacing w:val="-6"/>
                      <w:sz w:val="21"/>
                      <w:szCs w:val="21"/>
                      <w:lang w:val="en-US"/>
                    </w:rPr>
                  </w:pPr>
                  <w:r>
                    <w:rPr>
                      <w:rFonts w:hint="default" w:ascii="Times New Roman" w:hAnsi="Times New Roman" w:eastAsia="宋体" w:cs="Times New Roman"/>
                      <w:color w:val="FF0000"/>
                      <w:spacing w:val="-6"/>
                      <w:sz w:val="21"/>
                      <w:szCs w:val="21"/>
                    </w:rPr>
                    <w:t>S</w:t>
                  </w:r>
                  <w:r>
                    <w:rPr>
                      <w:rFonts w:hint="eastAsia" w:cs="Times New Roman"/>
                      <w:color w:val="FF0000"/>
                      <w:spacing w:val="-6"/>
                      <w:sz w:val="21"/>
                      <w:szCs w:val="21"/>
                      <w:lang w:val="en-US" w:eastAsia="zh-CN"/>
                    </w:rPr>
                    <w:t>12</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center"/>
                </w:tcPr>
                <w:p w14:paraId="150275D2">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4"/>
                      <w:sz w:val="21"/>
                      <w:szCs w:val="21"/>
                    </w:rPr>
                    <w:t>员工生活</w:t>
                  </w:r>
                </w:p>
              </w:tc>
              <w:tc>
                <w:tcPr>
                  <w:tcW w:w="3412" w:type="dxa"/>
                  <w:tcBorders>
                    <w:top w:val="single" w:color="auto" w:sz="4" w:space="0"/>
                    <w:left w:val="single" w:color="auto" w:sz="4" w:space="0"/>
                    <w:bottom w:val="single" w:color="auto" w:sz="4" w:space="0"/>
                    <w:right w:val="single" w:color="auto" w:sz="4" w:space="0"/>
                  </w:tcBorders>
                  <w:shd w:val="clear" w:color="auto" w:fill="auto"/>
                  <w:vAlign w:val="center"/>
                </w:tcPr>
                <w:p w14:paraId="48A4772E">
                  <w:pPr>
                    <w:pStyle w:val="69"/>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3"/>
                      <w:sz w:val="21"/>
                      <w:szCs w:val="21"/>
                    </w:rPr>
                    <w:t>生活垃圾</w:t>
                  </w:r>
                </w:p>
              </w:tc>
            </w:tr>
          </w:tbl>
          <w:p w14:paraId="533DC325">
            <w:pPr>
              <w:keepNext w:val="0"/>
              <w:keepLines w:val="0"/>
              <w:suppressLineNumbers w:val="0"/>
              <w:bidi w:val="0"/>
              <w:spacing w:before="0" w:beforeAutospacing="0" w:after="0" w:afterAutospacing="0"/>
              <w:ind w:left="0" w:right="0"/>
              <w:jc w:val="left"/>
              <w:rPr>
                <w:rFonts w:hint="default"/>
                <w:lang w:val="en-US" w:eastAsia="zh-CN"/>
              </w:rPr>
            </w:pPr>
          </w:p>
        </w:tc>
      </w:tr>
      <w:tr w14:paraId="1B66B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6" w:hRule="atLeast"/>
          <w:jc w:val="center"/>
        </w:trPr>
        <w:tc>
          <w:tcPr>
            <w:tcW w:w="463" w:type="dxa"/>
            <w:vAlign w:val="center"/>
          </w:tcPr>
          <w:p w14:paraId="290D3365">
            <w:pPr>
              <w:pStyle w:val="30"/>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kern w:val="21"/>
                <w:sz w:val="24"/>
                <w:szCs w:val="24"/>
              </w:rPr>
            </w:pPr>
            <w:r>
              <w:rPr>
                <w:rFonts w:hint="default" w:ascii="Times New Roman" w:hAnsi="Times New Roman" w:cs="Times New Roman"/>
                <w:bCs/>
                <w:color w:val="auto"/>
                <w:kern w:val="21"/>
                <w:sz w:val="24"/>
                <w:szCs w:val="24"/>
              </w:rPr>
              <w:t>与项目有关的原有环境污染问题</w:t>
            </w:r>
          </w:p>
        </w:tc>
        <w:tc>
          <w:tcPr>
            <w:tcW w:w="8540" w:type="dxa"/>
            <w:vAlign w:val="center"/>
          </w:tcPr>
          <w:p w14:paraId="4A9FD18E">
            <w:pPr>
              <w:pStyle w:val="71"/>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48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本项目为新建项目，根据现场勘查，本项目现状为空地，不存在原有环境污染问题。</w:t>
            </w:r>
          </w:p>
          <w:p w14:paraId="1A171DFB">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3BE6096">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7824901A">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6D33FDC8">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B7A90FA">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0849F589">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3B30E1D9">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08F00AE2">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1B9A0D5F">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7EC1EEDC">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F8219A8">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1451FCCA">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26AA9D27">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252C252C">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03BFEDCA">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3B089D6C">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07269DAE">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3DD1F0C5">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715538D9">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666F7B79">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0BC53FE7">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1BC69F06">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1BB02368">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15E50EFA">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FC6FC31">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4F1B604E">
            <w:pPr>
              <w:pStyle w:val="71"/>
              <w:keepNext w:val="0"/>
              <w:keepLines w:val="0"/>
              <w:suppressLineNumbers w:val="0"/>
              <w:spacing w:before="0" w:beforeAutospacing="0" w:after="0" w:afterAutospacing="0"/>
              <w:ind w:left="0" w:leftChars="0" w:right="0" w:firstLine="0" w:firstLineChars="0"/>
              <w:rPr>
                <w:rFonts w:hint="default" w:ascii="Times New Roman" w:hAnsi="Times New Roman" w:cs="Times New Roman" w:eastAsiaTheme="minorEastAsia"/>
                <w:color w:val="0000FF"/>
                <w:lang w:val="en-US" w:eastAsia="zh-CN"/>
              </w:rPr>
            </w:pPr>
          </w:p>
          <w:p w14:paraId="410747A6">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103EE2B9">
            <w:pPr>
              <w:pStyle w:val="71"/>
              <w:keepNext w:val="0"/>
              <w:keepLines w:val="0"/>
              <w:suppressLineNumbers w:val="0"/>
              <w:spacing w:before="0" w:beforeAutospacing="0" w:after="0" w:afterAutospacing="0"/>
              <w:ind w:left="0" w:right="0"/>
              <w:rPr>
                <w:rFonts w:hint="default" w:ascii="Times New Roman" w:hAnsi="Times New Roman" w:cs="Times New Roman" w:eastAsiaTheme="minorEastAsia"/>
                <w:color w:val="0000FF"/>
                <w:lang w:val="en-US" w:eastAsia="zh-CN"/>
              </w:rPr>
            </w:pPr>
          </w:p>
          <w:p w14:paraId="22024EC6">
            <w:pPr>
              <w:pStyle w:val="71"/>
              <w:keepNext w:val="0"/>
              <w:keepLines w:val="0"/>
              <w:suppressLineNumbers w:val="0"/>
              <w:spacing w:before="0" w:beforeAutospacing="0" w:after="0" w:afterAutospacing="0"/>
              <w:ind w:left="0" w:leftChars="0" w:right="0" w:firstLine="0" w:firstLineChars="0"/>
              <w:rPr>
                <w:rFonts w:hint="default" w:ascii="Times New Roman" w:hAnsi="Times New Roman" w:cs="Times New Roman" w:eastAsiaTheme="minorEastAsia"/>
                <w:color w:val="0000FF"/>
                <w:lang w:val="en-US" w:eastAsia="zh-CN"/>
              </w:rPr>
            </w:pPr>
          </w:p>
          <w:p w14:paraId="7C5D7B1F">
            <w:pPr>
              <w:keepNext w:val="0"/>
              <w:keepLines w:val="0"/>
              <w:suppressLineNumbers w:val="0"/>
              <w:spacing w:before="0" w:beforeAutospacing="0" w:after="0" w:afterAutospacing="0"/>
              <w:ind w:left="0" w:right="0"/>
              <w:rPr>
                <w:rFonts w:hint="default" w:ascii="Times New Roman" w:hAnsi="Times New Roman" w:cs="Times New Roman" w:eastAsiaTheme="minorEastAsia"/>
                <w:b w:val="0"/>
                <w:bCs/>
                <w:color w:val="auto"/>
                <w:sz w:val="24"/>
                <w:szCs w:val="24"/>
                <w:lang w:val="en-US" w:eastAsia="zh-CN"/>
              </w:rPr>
            </w:pPr>
          </w:p>
          <w:p w14:paraId="2171E47B">
            <w:pPr>
              <w:keepNext w:val="0"/>
              <w:keepLines w:val="0"/>
              <w:suppressLineNumbers w:val="0"/>
              <w:bidi w:val="0"/>
              <w:spacing w:before="0" w:beforeAutospacing="0" w:after="0" w:afterAutospacing="0"/>
              <w:ind w:left="0" w:right="0"/>
              <w:jc w:val="left"/>
              <w:rPr>
                <w:rFonts w:hint="default"/>
                <w:lang w:val="en-US" w:eastAsia="zh-CN"/>
              </w:rPr>
            </w:pPr>
          </w:p>
        </w:tc>
      </w:tr>
    </w:tbl>
    <w:p w14:paraId="1A4ED97D">
      <w:pPr>
        <w:pStyle w:val="30"/>
        <w:pageBreakBefore/>
        <w:jc w:val="center"/>
        <w:outlineLvl w:val="0"/>
        <w:rPr>
          <w:rFonts w:hint="default" w:ascii="Times New Roman" w:hAnsi="Times New Roman" w:eastAsia="黑体" w:cs="Times New Roman"/>
          <w:snapToGrid w:val="0"/>
          <w:color w:val="auto"/>
          <w:kern w:val="21"/>
          <w:sz w:val="30"/>
          <w:szCs w:val="30"/>
        </w:rPr>
      </w:pPr>
      <w:r>
        <w:rPr>
          <w:rFonts w:hint="default" w:ascii="Times New Roman" w:hAnsi="Times New Roman" w:eastAsia="黑体" w:cs="Times New Roman"/>
          <w:snapToGrid w:val="0"/>
          <w:color w:val="auto"/>
          <w:kern w:val="21"/>
          <w:sz w:val="30"/>
          <w:szCs w:val="30"/>
        </w:rPr>
        <w:t>三、区域环境质量现状、环境保护目标及评价标准</w:t>
      </w:r>
    </w:p>
    <w:tbl>
      <w:tblPr>
        <w:tblStyle w:val="35"/>
        <w:tblW w:w="507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688"/>
      </w:tblGrid>
      <w:tr w14:paraId="4B9BD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242" w:type="pct"/>
            <w:vAlign w:val="center"/>
          </w:tcPr>
          <w:p w14:paraId="33C5EB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区域</w:t>
            </w:r>
          </w:p>
          <w:p w14:paraId="482901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环境</w:t>
            </w:r>
          </w:p>
          <w:p w14:paraId="534F4D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质量</w:t>
            </w:r>
          </w:p>
          <w:p w14:paraId="3887E2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Cs w:val="21"/>
              </w:rPr>
            </w:pPr>
            <w:r>
              <w:rPr>
                <w:rFonts w:hint="default" w:ascii="Times New Roman" w:hAnsi="Times New Roman" w:cs="Times New Roman"/>
                <w:color w:val="auto"/>
                <w:kern w:val="21"/>
                <w:sz w:val="24"/>
                <w:szCs w:val="24"/>
              </w:rPr>
              <w:t>现状</w:t>
            </w:r>
          </w:p>
        </w:tc>
        <w:tc>
          <w:tcPr>
            <w:tcW w:w="4757" w:type="pct"/>
            <w:vAlign w:val="center"/>
          </w:tcPr>
          <w:p w14:paraId="5EFBF3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cs="Times New Roman"/>
                <w:b/>
                <w:bCs/>
                <w:color w:val="auto"/>
                <w:kern w:val="2"/>
                <w:sz w:val="24"/>
                <w:szCs w:val="24"/>
                <w:lang w:val="en-US" w:eastAsia="zh-CN" w:bidi="ar-SA"/>
              </w:rPr>
              <w:t>、</w:t>
            </w:r>
            <w:r>
              <w:rPr>
                <w:rFonts w:hint="default" w:ascii="Times New Roman" w:hAnsi="Times New Roman" w:cs="Times New Roman"/>
                <w:b/>
                <w:bCs/>
                <w:color w:val="auto"/>
                <w:sz w:val="24"/>
                <w:highlight w:val="none"/>
              </w:rPr>
              <w:t>大气</w:t>
            </w:r>
            <w:r>
              <w:rPr>
                <w:rFonts w:hint="default" w:ascii="Times New Roman" w:hAnsi="Times New Roman" w:cs="Times New Roman"/>
                <w:b/>
                <w:bCs/>
                <w:color w:val="auto"/>
                <w:kern w:val="2"/>
                <w:sz w:val="24"/>
                <w:szCs w:val="24"/>
                <w:lang w:val="en-US" w:eastAsia="zh-CN" w:bidi="ar-SA"/>
              </w:rPr>
              <w:t>环境</w:t>
            </w:r>
          </w:p>
          <w:p w14:paraId="582C1E9D">
            <w:pPr>
              <w:keepNext w:val="0"/>
              <w:keepLines w:val="0"/>
              <w:pageBreakBefore w:val="0"/>
              <w:widowControl w:val="0"/>
              <w:suppressLineNumbers w:val="0"/>
              <w:tabs>
                <w:tab w:val="left" w:pos="8607"/>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lang w:eastAsia="zh-CN"/>
                <w14:textFill>
                  <w14:solidFill>
                    <w14:schemeClr w14:val="tx1"/>
                  </w14:solidFill>
                </w14:textFill>
              </w:rPr>
              <w:t>）常规污染物</w:t>
            </w:r>
          </w:p>
          <w:p w14:paraId="413DA23D">
            <w:pPr>
              <w:keepNext w:val="0"/>
              <w:keepLines w:val="0"/>
              <w:pageBreakBefore w:val="0"/>
              <w:widowControl w:val="0"/>
              <w:suppressLineNumbers w:val="0"/>
              <w:tabs>
                <w:tab w:val="left" w:pos="8607"/>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本项目位于陕西省</w:t>
            </w:r>
            <w:r>
              <w:rPr>
                <w:rFonts w:hint="eastAsia" w:cs="Times New Roman"/>
                <w:color w:val="000000" w:themeColor="text1"/>
                <w:sz w:val="24"/>
                <w:highlight w:val="none"/>
                <w:lang w:eastAsia="zh-CN"/>
                <w14:textFill>
                  <w14:solidFill>
                    <w14:schemeClr w14:val="tx1"/>
                  </w14:solidFill>
                </w14:textFill>
              </w:rPr>
              <w:t>安康市</w:t>
            </w:r>
            <w:r>
              <w:rPr>
                <w:rFonts w:hint="eastAsia" w:cs="Times New Roman"/>
                <w:color w:val="000000" w:themeColor="text1"/>
                <w:sz w:val="24"/>
                <w:highlight w:val="none"/>
                <w:lang w:val="en-US" w:eastAsia="zh-CN"/>
                <w14:textFill>
                  <w14:solidFill>
                    <w14:schemeClr w14:val="tx1"/>
                  </w14:solidFill>
                </w14:textFill>
              </w:rPr>
              <w:t>高新区</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根据大气功能区划，本项目所在地为二类功能区，环境空气质量标准执行《环境</w:t>
            </w:r>
            <w:r>
              <w:rPr>
                <w:rFonts w:hint="default" w:ascii="Times New Roman" w:hAnsi="Times New Roman" w:cs="Times New Roman"/>
                <w:color w:val="000000" w:themeColor="text1"/>
                <w:sz w:val="24"/>
                <w:lang w:eastAsia="zh-CN"/>
                <w14:textFill>
                  <w14:solidFill>
                    <w14:schemeClr w14:val="tx1"/>
                  </w14:solidFill>
                </w14:textFill>
              </w:rPr>
              <w:t>空气</w:t>
            </w:r>
            <w:r>
              <w:rPr>
                <w:rFonts w:hint="default" w:ascii="Times New Roman" w:hAnsi="Times New Roman" w:cs="Times New Roman"/>
                <w:color w:val="000000" w:themeColor="text1"/>
                <w:sz w:val="24"/>
                <w14:textFill>
                  <w14:solidFill>
                    <w14:schemeClr w14:val="tx1"/>
                  </w14:solidFill>
                </w14:textFill>
              </w:rPr>
              <w:t>质量标准》（GB3095-2012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及其修改单中二级标准。</w:t>
            </w:r>
          </w:p>
          <w:p w14:paraId="64BF956D">
            <w:pPr>
              <w:keepNext w:val="0"/>
              <w:keepLines w:val="0"/>
              <w:suppressLineNumbers w:val="0"/>
              <w:tabs>
                <w:tab w:val="left" w:pos="3600"/>
              </w:tabs>
              <w:adjustRightInd w:val="0"/>
              <w:snapToGrid w:val="0"/>
              <w:spacing w:before="0" w:beforeAutospacing="0" w:after="0" w:afterAutospacing="0" w:line="360" w:lineRule="auto"/>
              <w:ind w:left="0" w:right="0" w:firstLine="420" w:firstLineChars="175"/>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根据陕西省生态环境厅</w:t>
            </w:r>
            <w:r>
              <w:rPr>
                <w:rFonts w:hint="default" w:ascii="Times New Roman" w:hAnsi="Times New Roman" w:cs="Times New Roman"/>
                <w:color w:val="000000" w:themeColor="text1"/>
                <w:sz w:val="24"/>
                <w:highlight w:val="none"/>
                <w:lang w:val="en-US" w:eastAsia="zh-CN"/>
                <w14:textFill>
                  <w14:solidFill>
                    <w14:schemeClr w14:val="tx1"/>
                  </w14:solidFill>
                </w14:textFill>
              </w:rPr>
              <w:t>2024年1月19日</w:t>
            </w:r>
            <w:r>
              <w:rPr>
                <w:rFonts w:hint="default" w:ascii="Times New Roman" w:hAnsi="Times New Roman" w:cs="Times New Roman"/>
                <w:color w:val="000000" w:themeColor="text1"/>
                <w:sz w:val="24"/>
                <w:highlight w:val="none"/>
                <w14:textFill>
                  <w14:solidFill>
                    <w14:schemeClr w14:val="tx1"/>
                  </w14:solidFill>
                </w14:textFill>
              </w:rPr>
              <w:t>发布的《环保快报》中202</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年1~12月全省环境空气质量状况，</w:t>
            </w:r>
            <w:r>
              <w:rPr>
                <w:rFonts w:hint="eastAsia" w:cs="Times New Roman"/>
                <w:color w:val="000000" w:themeColor="text1"/>
                <w:sz w:val="24"/>
                <w:highlight w:val="none"/>
                <w:lang w:val="en-US" w:eastAsia="zh-CN"/>
                <w14:textFill>
                  <w14:solidFill>
                    <w14:schemeClr w14:val="tx1"/>
                  </w14:solidFill>
                </w14:textFill>
              </w:rPr>
              <w:t>安康市高新区</w:t>
            </w:r>
            <w:r>
              <w:rPr>
                <w:rFonts w:hint="default" w:ascii="Times New Roman" w:hAnsi="Times New Roman" w:cs="Times New Roman"/>
                <w:color w:val="000000" w:themeColor="text1"/>
                <w:sz w:val="24"/>
                <w:highlight w:val="none"/>
                <w14:textFill>
                  <w14:solidFill>
                    <w14:schemeClr w14:val="tx1"/>
                  </w14:solidFill>
                </w14:textFill>
              </w:rPr>
              <w:t>202</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年1~12月基本因子年均统计结果见</w:t>
            </w:r>
            <w:r>
              <w:rPr>
                <w:rFonts w:hint="default" w:ascii="Times New Roman" w:hAnsi="Times New Roman" w:cs="Times New Roman"/>
                <w:color w:val="000000" w:themeColor="text1"/>
                <w:sz w:val="24"/>
                <w:highlight w:val="none"/>
                <w:lang w:val="en-US" w:eastAsia="zh-CN"/>
                <w14:textFill>
                  <w14:solidFill>
                    <w14:schemeClr w14:val="tx1"/>
                  </w14:solidFill>
                </w14:textFill>
              </w:rPr>
              <w:t>下表</w:t>
            </w:r>
            <w:r>
              <w:rPr>
                <w:rFonts w:hint="default" w:ascii="Times New Roman" w:hAnsi="Times New Roman" w:cs="Times New Roman"/>
                <w:color w:val="000000" w:themeColor="text1"/>
                <w:sz w:val="24"/>
                <w:highlight w:val="none"/>
                <w14:textFill>
                  <w14:solidFill>
                    <w14:schemeClr w14:val="tx1"/>
                  </w14:solidFill>
                </w14:textFill>
              </w:rPr>
              <w:t>。</w:t>
            </w:r>
          </w:p>
          <w:p w14:paraId="660C20A3">
            <w:pPr>
              <w:keepNext w:val="0"/>
              <w:keepLines w:val="0"/>
              <w:numPr>
                <w:ilvl w:val="0"/>
                <w:numId w:val="9"/>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t xml:space="preserve"> 区域空气质量现状评价表</w:t>
            </w:r>
          </w:p>
          <w:tbl>
            <w:tblPr>
              <w:tblStyle w:val="35"/>
              <w:tblW w:w="8341" w:type="dxa"/>
              <w:jc w:val="center"/>
              <w:tblLayout w:type="fixed"/>
              <w:tblCellMar>
                <w:top w:w="0" w:type="dxa"/>
                <w:left w:w="108" w:type="dxa"/>
                <w:bottom w:w="0" w:type="dxa"/>
                <w:right w:w="108" w:type="dxa"/>
              </w:tblCellMar>
            </w:tblPr>
            <w:tblGrid>
              <w:gridCol w:w="906"/>
              <w:gridCol w:w="2850"/>
              <w:gridCol w:w="1276"/>
              <w:gridCol w:w="1131"/>
              <w:gridCol w:w="954"/>
              <w:gridCol w:w="1224"/>
            </w:tblGrid>
            <w:tr w14:paraId="5D35038B">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38ABA481">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2F83517D">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年评价指标</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1E7D35FC">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现状浓度/（μg/m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17362DE5">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标准值/（μg/m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574B9BD">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占标率/%</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52D94960">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达标情况</w:t>
                  </w:r>
                </w:p>
              </w:tc>
            </w:tr>
            <w:tr w14:paraId="3DBBE4A1">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6F49850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54236941">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67C29184">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49</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2C4FC3BF">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9F2BE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70</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17E966BE">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达标</w:t>
                  </w:r>
                </w:p>
              </w:tc>
            </w:tr>
            <w:tr w14:paraId="11779D77">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2FDA909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7E8335CE">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3918F65E">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29</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6FAC5E6C">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35</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8779E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82.9</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41F7ADF8">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达标</w:t>
                  </w:r>
                </w:p>
              </w:tc>
            </w:tr>
            <w:tr w14:paraId="0D29E59F">
              <w:tblPrEx>
                <w:tblCellMar>
                  <w:top w:w="0" w:type="dxa"/>
                  <w:left w:w="108" w:type="dxa"/>
                  <w:bottom w:w="0" w:type="dxa"/>
                  <w:right w:w="108" w:type="dxa"/>
                </w:tblCellMar>
              </w:tblPrEx>
              <w:trPr>
                <w:trHeight w:val="286"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1E060EB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1E6D05D5">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06F2655F">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5FF311CB">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5D825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11.7</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55591143">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27B7C5A7">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1E2FE4D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02341682">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60CC10FE">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3BF9B1CC">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29F87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42.5</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0B0087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63C03601">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5D4FCE2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001BC12C">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95百分位</w:t>
                  </w:r>
                  <w:r>
                    <w:rPr>
                      <w:rFonts w:hint="default" w:ascii="Times New Roman" w:hAnsi="Times New Roman" w:cs="Times New Roman"/>
                      <w:color w:val="000000" w:themeColor="text1"/>
                      <w:sz w:val="21"/>
                      <w:szCs w:val="21"/>
                      <w:lang w:val="en-US" w:eastAsia="zh-CN"/>
                      <w14:textFill>
                        <w14:solidFill>
                          <w14:schemeClr w14:val="tx1"/>
                        </w14:solidFill>
                      </w14:textFill>
                    </w:rPr>
                    <w:t>数</w:t>
                  </w:r>
                  <w:r>
                    <w:rPr>
                      <w:rFonts w:hint="default" w:ascii="Times New Roman" w:hAnsi="Times New Roman" w:cs="Times New Roman"/>
                      <w:color w:val="000000" w:themeColor="text1"/>
                      <w:sz w:val="21"/>
                      <w:szCs w:val="21"/>
                      <w:highlight w:val="none"/>
                      <w14:textFill>
                        <w14:solidFill>
                          <w14:schemeClr w14:val="tx1"/>
                        </w14:solidFill>
                      </w14:textFill>
                    </w:rPr>
                    <w:t>日平均</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质量</w:t>
                  </w:r>
                  <w:r>
                    <w:rPr>
                      <w:rFonts w:hint="default" w:ascii="Times New Roman" w:hAnsi="Times New Roman" w:cs="Times New Roman"/>
                      <w:color w:val="000000" w:themeColor="text1"/>
                      <w:sz w:val="21"/>
                      <w:szCs w:val="21"/>
                      <w14:textFill>
                        <w14:solidFill>
                          <w14:schemeClr w14:val="tx1"/>
                        </w14:solidFill>
                      </w14:textFill>
                    </w:rPr>
                    <w:t>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0B5F17A9">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900</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1096184F">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4000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EF26F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22.5</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5232C6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2C6845A9">
              <w:tblPrEx>
                <w:tblCellMar>
                  <w:top w:w="0" w:type="dxa"/>
                  <w:left w:w="108" w:type="dxa"/>
                  <w:bottom w:w="0" w:type="dxa"/>
                  <w:right w:w="108" w:type="dxa"/>
                </w:tblCellMar>
              </w:tblPrEx>
              <w:trPr>
                <w:trHeight w:val="2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14:paraId="25D094E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708" w:type="pct"/>
                  <w:tcBorders>
                    <w:top w:val="single" w:color="auto" w:sz="4" w:space="0"/>
                    <w:left w:val="single" w:color="auto" w:sz="4" w:space="0"/>
                    <w:bottom w:val="single" w:color="auto" w:sz="4" w:space="0"/>
                    <w:right w:val="single" w:color="auto" w:sz="4" w:space="0"/>
                  </w:tcBorders>
                  <w:noWrap w:val="0"/>
                  <w:vAlign w:val="center"/>
                </w:tcPr>
                <w:p w14:paraId="46A10398">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90百分位</w:t>
                  </w:r>
                  <w:r>
                    <w:rPr>
                      <w:rFonts w:hint="default" w:ascii="Times New Roman" w:hAnsi="Times New Roman" w:cs="Times New Roman"/>
                      <w:color w:val="000000" w:themeColor="text1"/>
                      <w:sz w:val="21"/>
                      <w:szCs w:val="21"/>
                      <w:lang w:val="en-US" w:eastAsia="zh-CN"/>
                      <w14:textFill>
                        <w14:solidFill>
                          <w14:schemeClr w14:val="tx1"/>
                        </w14:solidFill>
                      </w14:textFill>
                    </w:rPr>
                    <w:t>数最大</w:t>
                  </w:r>
                  <w:r>
                    <w:rPr>
                      <w:rFonts w:hint="default" w:ascii="Times New Roman" w:hAnsi="Times New Roman" w:cs="Times New Roman"/>
                      <w:color w:val="000000" w:themeColor="text1"/>
                      <w:sz w:val="21"/>
                      <w:szCs w:val="21"/>
                      <w:highlight w:val="none"/>
                      <w14:textFill>
                        <w14:solidFill>
                          <w14:schemeClr w14:val="tx1"/>
                        </w14:solidFill>
                      </w14:textFill>
                    </w:rPr>
                    <w:t>8h平均质量浓度</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37FDC49B">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122</w:t>
                  </w:r>
                </w:p>
              </w:tc>
              <w:tc>
                <w:tcPr>
                  <w:tcW w:w="677" w:type="pct"/>
                  <w:tcBorders>
                    <w:top w:val="single" w:color="auto" w:sz="4" w:space="0"/>
                    <w:left w:val="single" w:color="auto" w:sz="4" w:space="0"/>
                    <w:bottom w:val="single" w:color="auto" w:sz="4" w:space="0"/>
                    <w:right w:val="single" w:color="auto" w:sz="4" w:space="0"/>
                  </w:tcBorders>
                  <w:noWrap w:val="0"/>
                  <w:vAlign w:val="center"/>
                </w:tcPr>
                <w:p w14:paraId="03BCA3FC">
                  <w:pPr>
                    <w:pStyle w:val="52"/>
                    <w:keepNext w:val="0"/>
                    <w:keepLines w:val="0"/>
                    <w:suppressLineNumbers w:val="0"/>
                    <w:spacing w:before="24" w:beforeAutospacing="0" w:after="24"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160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DD3C1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76.3</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0896F83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bl>
          <w:p w14:paraId="45E73B7E">
            <w:pPr>
              <w:keepNext w:val="0"/>
              <w:keepLines w:val="0"/>
              <w:suppressLineNumbers w:val="0"/>
              <w:tabs>
                <w:tab w:val="left" w:pos="3600"/>
              </w:tabs>
              <w:adjustRightInd w:val="0"/>
              <w:snapToGrid w:val="0"/>
              <w:spacing w:before="0" w:beforeAutospacing="0" w:after="0" w:afterAutospacing="0" w:line="360" w:lineRule="auto"/>
              <w:ind w:left="0" w:right="0" w:firstLine="420" w:firstLineChars="175"/>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从上表可以看出，</w:t>
            </w:r>
            <w:r>
              <w:rPr>
                <w:rFonts w:hint="eastAsia" w:cs="Times New Roman"/>
                <w:color w:val="000000" w:themeColor="text1"/>
                <w:sz w:val="24"/>
                <w:szCs w:val="22"/>
                <w:lang w:val="en-US" w:eastAsia="zh-CN"/>
                <w14:textFill>
                  <w14:solidFill>
                    <w14:schemeClr w14:val="tx1"/>
                  </w14:solidFill>
                </w14:textFill>
              </w:rPr>
              <w:t>安康市高新区</w:t>
            </w:r>
            <w:r>
              <w:rPr>
                <w:rFonts w:hint="default" w:ascii="Times New Roman" w:hAnsi="Times New Roman" w:cs="Times New Roman"/>
                <w:color w:val="000000" w:themeColor="text1"/>
                <w:sz w:val="24"/>
                <w:szCs w:val="22"/>
                <w14:textFill>
                  <w14:solidFill>
                    <w14:schemeClr w14:val="tx1"/>
                  </w14:solidFill>
                </w14:textFill>
              </w:rPr>
              <w:t>环境空气6个监测项目中，PM</w:t>
            </w:r>
            <w:r>
              <w:rPr>
                <w:rFonts w:hint="default" w:ascii="Times New Roman" w:hAnsi="Times New Roman" w:cs="Times New Roman"/>
                <w:color w:val="000000" w:themeColor="text1"/>
                <w:sz w:val="24"/>
                <w:szCs w:val="22"/>
                <w:vertAlign w:val="subscript"/>
                <w14:textFill>
                  <w14:solidFill>
                    <w14:schemeClr w14:val="tx1"/>
                  </w14:solidFill>
                </w14:textFill>
              </w:rPr>
              <w:t>10</w:t>
            </w:r>
            <w:r>
              <w:rPr>
                <w:rFonts w:hint="default" w:ascii="Times New Roman" w:hAnsi="Times New Roman" w:cs="Times New Roman"/>
                <w:color w:val="000000" w:themeColor="text1"/>
                <w:sz w:val="24"/>
                <w:szCs w:val="22"/>
                <w14:textFill>
                  <w14:solidFill>
                    <w14:schemeClr w14:val="tx1"/>
                  </w14:solidFill>
                </w14:textFill>
              </w:rPr>
              <w:t>、PM</w:t>
            </w:r>
            <w:r>
              <w:rPr>
                <w:rFonts w:hint="default" w:ascii="Times New Roman" w:hAnsi="Times New Roman" w:cs="Times New Roman"/>
                <w:color w:val="000000" w:themeColor="text1"/>
                <w:sz w:val="24"/>
                <w:szCs w:val="22"/>
                <w:vertAlign w:val="subscript"/>
                <w14:textFill>
                  <w14:solidFill>
                    <w14:schemeClr w14:val="tx1"/>
                  </w14:solidFill>
                </w14:textFill>
              </w:rPr>
              <w:t>2.5</w:t>
            </w:r>
            <w:r>
              <w:rPr>
                <w:rFonts w:hint="default" w:ascii="Times New Roman" w:hAnsi="Times New Roman" w:cs="Times New Roman"/>
                <w:color w:val="000000" w:themeColor="text1"/>
                <w:sz w:val="24"/>
                <w:szCs w:val="22"/>
                <w14:textFill>
                  <w14:solidFill>
                    <w14:schemeClr w14:val="tx1"/>
                  </w14:solidFill>
                </w14:textFill>
              </w:rPr>
              <w:t>、SO</w:t>
            </w:r>
            <w:r>
              <w:rPr>
                <w:rFonts w:hint="default" w:ascii="Times New Roman" w:hAnsi="Times New Roman" w:cs="Times New Roman"/>
                <w:color w:val="000000" w:themeColor="text1"/>
                <w:sz w:val="24"/>
                <w:szCs w:val="22"/>
                <w:vertAlign w:val="subscript"/>
                <w14:textFill>
                  <w14:solidFill>
                    <w14:schemeClr w14:val="tx1"/>
                  </w14:solidFill>
                </w14:textFill>
              </w:rPr>
              <w:t>2</w:t>
            </w:r>
            <w:r>
              <w:rPr>
                <w:rFonts w:hint="default" w:ascii="Times New Roman" w:hAnsi="Times New Roman" w:cs="Times New Roman"/>
                <w:color w:val="000000" w:themeColor="text1"/>
                <w:sz w:val="24"/>
                <w:szCs w:val="22"/>
                <w14:textFill>
                  <w14:solidFill>
                    <w14:schemeClr w14:val="tx1"/>
                  </w14:solidFill>
                </w14:textFill>
              </w:rPr>
              <w:t>、NO</w:t>
            </w:r>
            <w:r>
              <w:rPr>
                <w:rFonts w:hint="default" w:ascii="Times New Roman" w:hAnsi="Times New Roman" w:cs="Times New Roman"/>
                <w:color w:val="000000" w:themeColor="text1"/>
                <w:sz w:val="24"/>
                <w:szCs w:val="22"/>
                <w:vertAlign w:val="subscript"/>
                <w14:textFill>
                  <w14:solidFill>
                    <w14:schemeClr w14:val="tx1"/>
                  </w14:solidFill>
                </w14:textFill>
              </w:rPr>
              <w:t>2</w:t>
            </w:r>
            <w:r>
              <w:rPr>
                <w:rFonts w:hint="default" w:ascii="Times New Roman" w:hAnsi="Times New Roman" w:cs="Times New Roman"/>
                <w:color w:val="000000" w:themeColor="text1"/>
                <w:sz w:val="24"/>
                <w:szCs w:val="22"/>
                <w14:textFill>
                  <w14:solidFill>
                    <w14:schemeClr w14:val="tx1"/>
                  </w14:solidFill>
                </w14:textFill>
              </w:rPr>
              <w:t>年均质量浓度值、CO24小时平均第95百分位数的浓度和O</w:t>
            </w:r>
            <w:r>
              <w:rPr>
                <w:rFonts w:hint="default" w:ascii="Times New Roman" w:hAnsi="Times New Roman" w:cs="Times New Roman"/>
                <w:color w:val="000000" w:themeColor="text1"/>
                <w:sz w:val="24"/>
                <w:szCs w:val="22"/>
                <w:vertAlign w:val="subscript"/>
                <w14:textFill>
                  <w14:solidFill>
                    <w14:schemeClr w14:val="tx1"/>
                  </w14:solidFill>
                </w14:textFill>
              </w:rPr>
              <w:t>3</w:t>
            </w:r>
            <w:r>
              <w:rPr>
                <w:rFonts w:hint="default" w:ascii="Times New Roman" w:hAnsi="Times New Roman" w:cs="Times New Roman"/>
                <w:color w:val="000000" w:themeColor="text1"/>
                <w:sz w:val="24"/>
                <w:szCs w:val="22"/>
                <w14:textFill>
                  <w14:solidFill>
                    <w14:schemeClr w14:val="tx1"/>
                  </w14:solidFill>
                </w14:textFill>
              </w:rPr>
              <w:t>日最大8小时平均第90百分位数浓度低于国家环境空气质量二级标准。因此本项目处于达标区。</w:t>
            </w:r>
          </w:p>
          <w:p w14:paraId="7A087CCA">
            <w:pPr>
              <w:keepNext w:val="0"/>
              <w:keepLines w:val="0"/>
              <w:suppressLineNumbers w:val="0"/>
              <w:tabs>
                <w:tab w:val="left" w:pos="3600"/>
              </w:tabs>
              <w:adjustRightInd w:val="0"/>
              <w:snapToGrid w:val="0"/>
              <w:spacing w:before="0" w:beforeAutospacing="0" w:after="0" w:afterAutospacing="0" w:line="360" w:lineRule="auto"/>
              <w:ind w:left="0" w:right="0" w:firstLine="422" w:firstLineChars="175"/>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lang w:eastAsia="zh-CN"/>
              </w:rPr>
              <w:t>）特征污染物</w:t>
            </w:r>
          </w:p>
          <w:p w14:paraId="75002F24">
            <w:pPr>
              <w:keepNext w:val="0"/>
              <w:keepLines w:val="0"/>
              <w:suppressLineNumbers w:val="0"/>
              <w:tabs>
                <w:tab w:val="left" w:pos="3600"/>
              </w:tabs>
              <w:adjustRightInd w:val="0"/>
              <w:snapToGrid w:val="0"/>
              <w:spacing w:before="0" w:beforeAutospacing="0" w:after="0" w:afterAutospacing="0" w:line="360" w:lineRule="auto"/>
              <w:ind w:left="0" w:right="0" w:firstLine="420" w:firstLineChars="1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本项目特征</w:t>
            </w:r>
            <w:r>
              <w:rPr>
                <w:rFonts w:hint="default" w:ascii="Times New Roman" w:hAnsi="Times New Roman" w:cs="Times New Roman"/>
                <w:color w:val="auto"/>
                <w:sz w:val="24"/>
                <w:highlight w:val="none"/>
                <w:lang w:val="en-US" w:eastAsia="zh-CN"/>
              </w:rPr>
              <w:t>污染物</w:t>
            </w:r>
            <w:r>
              <w:rPr>
                <w:rFonts w:hint="default" w:ascii="Times New Roman" w:hAnsi="Times New Roman" w:cs="Times New Roman"/>
                <w:color w:val="auto"/>
                <w:sz w:val="24"/>
                <w:highlight w:val="none"/>
              </w:rPr>
              <w:t>为</w:t>
            </w:r>
            <w:r>
              <w:rPr>
                <w:rFonts w:hint="eastAsia" w:cs="Times New Roman"/>
                <w:color w:val="auto"/>
                <w:sz w:val="24"/>
                <w:highlight w:val="none"/>
                <w:lang w:val="en-US" w:eastAsia="zh-CN"/>
              </w:rPr>
              <w:t>非甲烷总烃</w:t>
            </w:r>
            <w:r>
              <w:rPr>
                <w:rFonts w:hint="default" w:ascii="Times New Roman" w:hAnsi="Times New Roman" w:cs="Times New Roman"/>
                <w:color w:val="auto"/>
                <w:sz w:val="24"/>
                <w:highlight w:val="none"/>
              </w:rPr>
              <w:t>，引用</w:t>
            </w:r>
            <w:r>
              <w:rPr>
                <w:rFonts w:hint="eastAsia" w:cs="Times New Roman"/>
                <w:color w:val="auto"/>
                <w:sz w:val="24"/>
                <w:highlight w:val="none"/>
                <w:lang w:val="en-US" w:eastAsia="zh-CN"/>
              </w:rPr>
              <w:t>本项目西侧1.3km处的</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陕西利水同创工贸有限公司阀门卫浴管件产品研发生产项目环境质量现状监测</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TYJC2022543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w:t>
            </w:r>
            <w:r>
              <w:rPr>
                <w:rFonts w:hint="eastAsia" w:cs="Times New Roman"/>
                <w:color w:val="auto"/>
                <w:sz w:val="24"/>
                <w:highlight w:val="none"/>
                <w:lang w:val="en-US" w:eastAsia="zh-CN"/>
              </w:rPr>
              <w:t>非甲烷总烃</w:t>
            </w:r>
            <w:r>
              <w:rPr>
                <w:rFonts w:hint="default" w:ascii="Times New Roman" w:hAnsi="Times New Roman" w:cs="Times New Roman"/>
                <w:color w:val="auto"/>
                <w:sz w:val="24"/>
                <w:highlight w:val="none"/>
              </w:rPr>
              <w:t>的监测结果，引用数据监测单位为</w:t>
            </w:r>
            <w:r>
              <w:rPr>
                <w:rFonts w:hint="eastAsia" w:cs="Times New Roman"/>
                <w:color w:val="auto"/>
                <w:sz w:val="24"/>
                <w:highlight w:val="none"/>
                <w:lang w:val="en-US" w:eastAsia="zh-CN"/>
              </w:rPr>
              <w:t>陕西同元环境检测</w:t>
            </w:r>
            <w:r>
              <w:rPr>
                <w:rFonts w:hint="default" w:ascii="Times New Roman" w:hAnsi="Times New Roman" w:cs="Times New Roman"/>
                <w:color w:val="auto"/>
                <w:sz w:val="24"/>
                <w:highlight w:val="none"/>
              </w:rPr>
              <w:t>有限公司，</w:t>
            </w:r>
            <w:r>
              <w:rPr>
                <w:rFonts w:hint="eastAsia" w:cs="Times New Roman"/>
                <w:color w:val="auto"/>
                <w:sz w:val="24"/>
                <w:highlight w:val="none"/>
                <w:lang w:val="en-US" w:eastAsia="zh-CN"/>
              </w:rPr>
              <w:t>监测时间为</w:t>
            </w:r>
            <w:r>
              <w:rPr>
                <w:rFonts w:hint="default" w:ascii="Times New Roman" w:hAnsi="Times New Roman" w:cs="Times New Roman"/>
                <w:color w:val="auto"/>
                <w:sz w:val="24"/>
                <w:highlight w:val="none"/>
                <w:lang w:val="en-US" w:eastAsia="zh-CN"/>
              </w:rPr>
              <w:t>2022年1</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月2</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日</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30日</w:t>
            </w:r>
            <w:r>
              <w:rPr>
                <w:rFonts w:hint="default" w:ascii="Times New Roman" w:hAnsi="Times New Roman" w:cs="Times New Roman"/>
                <w:color w:val="auto"/>
                <w:sz w:val="24"/>
                <w:highlight w:val="none"/>
                <w:lang w:eastAsia="zh-CN"/>
              </w:rPr>
              <w:t>。</w:t>
            </w:r>
            <w:r>
              <w:rPr>
                <w:rFonts w:hint="eastAsia" w:cs="Times New Roman"/>
                <w:color w:val="FF0000"/>
                <w:sz w:val="24"/>
                <w:highlight w:val="none"/>
                <w:lang w:val="en-US" w:eastAsia="zh-CN"/>
              </w:rPr>
              <w:t>引用数据符合《建设项目环境影响报告表编制技术指南》中“建设项目周边5km范围内近3年的现有监测数据”相关要求。</w:t>
            </w:r>
            <w:r>
              <w:rPr>
                <w:rFonts w:hint="default" w:ascii="Times New Roman" w:hAnsi="Times New Roman" w:cs="Times New Roman"/>
                <w:color w:val="auto"/>
                <w:sz w:val="24"/>
                <w:highlight w:val="none"/>
              </w:rPr>
              <w:t>监测数据</w:t>
            </w:r>
            <w:r>
              <w:rPr>
                <w:rFonts w:hint="eastAsia" w:cs="Times New Roman"/>
                <w:color w:val="auto"/>
                <w:sz w:val="24"/>
                <w:highlight w:val="none"/>
                <w:lang w:val="en-US" w:eastAsia="zh-CN"/>
              </w:rPr>
              <w:t>见下表：</w:t>
            </w:r>
          </w:p>
          <w:p w14:paraId="4D14F8F2">
            <w:pPr>
              <w:keepNext w:val="0"/>
              <w:keepLines w:val="0"/>
              <w:numPr>
                <w:ilvl w:val="0"/>
                <w:numId w:val="9"/>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t xml:space="preserve">  引用现状监测数据表</w:t>
            </w:r>
          </w:p>
          <w:tbl>
            <w:tblPr>
              <w:tblStyle w:val="35"/>
              <w:tblW w:w="48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668"/>
              <w:gridCol w:w="2713"/>
              <w:gridCol w:w="1299"/>
            </w:tblGrid>
            <w:tr w14:paraId="3795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505" w:type="pct"/>
                  <w:vMerge w:val="restart"/>
                  <w:noWrap w:val="0"/>
                  <w:vAlign w:val="center"/>
                </w:tcPr>
                <w:p w14:paraId="72E375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监测点位</w:t>
                  </w:r>
                </w:p>
              </w:tc>
              <w:tc>
                <w:tcPr>
                  <w:tcW w:w="1026" w:type="pct"/>
                  <w:vMerge w:val="restart"/>
                  <w:noWrap w:val="0"/>
                  <w:vAlign w:val="center"/>
                </w:tcPr>
                <w:p w14:paraId="4DEFB0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监测日期</w:t>
                  </w:r>
                </w:p>
              </w:tc>
              <w:tc>
                <w:tcPr>
                  <w:tcW w:w="1668" w:type="pct"/>
                  <w:noWrap w:val="0"/>
                  <w:vAlign w:val="center"/>
                </w:tcPr>
                <w:p w14:paraId="19C6D3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监测结果</w:t>
                  </w:r>
                  <w:r>
                    <w:rPr>
                      <w:rFonts w:hint="default" w:ascii="Times New Roman" w:hAnsi="Times New Roman" w:cs="Times New Roman"/>
                      <w:b w:val="0"/>
                      <w:bCs/>
                      <w:color w:val="auto"/>
                      <w:sz w:val="21"/>
                      <w:szCs w:val="21"/>
                      <w:highlight w:val="none"/>
                      <w:lang w:eastAsia="zh-CN"/>
                    </w:rPr>
                    <w:t>（μg/m</w:t>
                  </w:r>
                  <w:r>
                    <w:rPr>
                      <w:rFonts w:hint="default" w:ascii="Times New Roman" w:hAnsi="Times New Roman" w:cs="Times New Roman"/>
                      <w:b w:val="0"/>
                      <w:bCs/>
                      <w:color w:val="auto"/>
                      <w:sz w:val="21"/>
                      <w:szCs w:val="21"/>
                      <w:highlight w:val="none"/>
                      <w:vertAlign w:val="superscript"/>
                      <w:lang w:eastAsia="zh-CN"/>
                    </w:rPr>
                    <w:t>3</w:t>
                  </w:r>
                  <w:r>
                    <w:rPr>
                      <w:rFonts w:hint="default" w:ascii="Times New Roman" w:hAnsi="Times New Roman" w:cs="Times New Roman"/>
                      <w:b w:val="0"/>
                      <w:bCs/>
                      <w:color w:val="auto"/>
                      <w:sz w:val="21"/>
                      <w:szCs w:val="21"/>
                      <w:highlight w:val="none"/>
                    </w:rPr>
                    <w:t>）</w:t>
                  </w:r>
                </w:p>
              </w:tc>
              <w:tc>
                <w:tcPr>
                  <w:tcW w:w="799" w:type="pct"/>
                  <w:vMerge w:val="restart"/>
                  <w:noWrap w:val="0"/>
                  <w:vAlign w:val="center"/>
                </w:tcPr>
                <w:p w14:paraId="75B9D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cs="Times New Roman"/>
                      <w:b w:val="0"/>
                      <w:bCs/>
                      <w:color w:val="auto"/>
                      <w:kern w:val="0"/>
                      <w:sz w:val="21"/>
                      <w:szCs w:val="21"/>
                      <w:lang w:val="en-US" w:eastAsia="zh-CN" w:bidi="ar"/>
                    </w:rPr>
                    <w:t>达标情况</w:t>
                  </w:r>
                </w:p>
              </w:tc>
            </w:tr>
            <w:tr w14:paraId="09AA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505" w:type="pct"/>
                  <w:vMerge w:val="continue"/>
                  <w:noWrap w:val="0"/>
                  <w:vAlign w:val="center"/>
                </w:tcPr>
                <w:p w14:paraId="71E9E4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p>
              </w:tc>
              <w:tc>
                <w:tcPr>
                  <w:tcW w:w="1026" w:type="pct"/>
                  <w:vMerge w:val="continue"/>
                  <w:noWrap w:val="0"/>
                  <w:vAlign w:val="center"/>
                </w:tcPr>
                <w:p w14:paraId="55286D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p>
              </w:tc>
              <w:tc>
                <w:tcPr>
                  <w:tcW w:w="1668" w:type="pct"/>
                  <w:noWrap w:val="0"/>
                  <w:vAlign w:val="center"/>
                </w:tcPr>
                <w:p w14:paraId="7D00B8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cs="Times New Roman"/>
                      <w:b w:val="0"/>
                      <w:bCs/>
                      <w:color w:val="auto"/>
                      <w:sz w:val="21"/>
                      <w:szCs w:val="21"/>
                      <w:highlight w:val="none"/>
                      <w:lang w:val="en-US" w:eastAsia="zh-CN"/>
                    </w:rPr>
                    <w:t>非甲烷总烃</w:t>
                  </w:r>
                </w:p>
              </w:tc>
              <w:tc>
                <w:tcPr>
                  <w:tcW w:w="799" w:type="pct"/>
                  <w:vMerge w:val="continue"/>
                  <w:noWrap w:val="0"/>
                  <w:vAlign w:val="center"/>
                </w:tcPr>
                <w:p w14:paraId="25E830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lang w:val="en-US" w:eastAsia="zh-CN"/>
                    </w:rPr>
                  </w:pPr>
                </w:p>
              </w:tc>
            </w:tr>
            <w:tr w14:paraId="3A7F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pct"/>
                  <w:vMerge w:val="restart"/>
                  <w:noWrap w:val="0"/>
                  <w:vAlign w:val="center"/>
                </w:tcPr>
                <w:p w14:paraId="7C1B27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1#项目主导风向下风向</w:t>
                  </w:r>
                </w:p>
              </w:tc>
              <w:tc>
                <w:tcPr>
                  <w:tcW w:w="1026" w:type="pct"/>
                  <w:noWrap w:val="0"/>
                  <w:vAlign w:val="center"/>
                </w:tcPr>
                <w:p w14:paraId="52F349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2022.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8</w:t>
                  </w:r>
                </w:p>
              </w:tc>
              <w:tc>
                <w:tcPr>
                  <w:tcW w:w="1668" w:type="pct"/>
                  <w:noWrap w:val="0"/>
                  <w:vAlign w:val="center"/>
                </w:tcPr>
                <w:p w14:paraId="57E1A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1.26-1.36</w:t>
                  </w:r>
                </w:p>
              </w:tc>
              <w:tc>
                <w:tcPr>
                  <w:tcW w:w="799" w:type="pct"/>
                  <w:noWrap w:val="0"/>
                  <w:vAlign w:val="center"/>
                </w:tcPr>
                <w:p w14:paraId="5CEAF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45B5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pct"/>
                  <w:vMerge w:val="continue"/>
                  <w:noWrap w:val="0"/>
                  <w:vAlign w:val="center"/>
                </w:tcPr>
                <w:p w14:paraId="53D580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026" w:type="pct"/>
                  <w:noWrap w:val="0"/>
                  <w:vAlign w:val="center"/>
                </w:tcPr>
                <w:p w14:paraId="321452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2022.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9</w:t>
                  </w:r>
                </w:p>
              </w:tc>
              <w:tc>
                <w:tcPr>
                  <w:tcW w:w="1668" w:type="pct"/>
                  <w:noWrap w:val="0"/>
                  <w:vAlign w:val="center"/>
                </w:tcPr>
                <w:p w14:paraId="34A9E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1.38-1.44</w:t>
                  </w:r>
                </w:p>
              </w:tc>
              <w:tc>
                <w:tcPr>
                  <w:tcW w:w="799" w:type="pct"/>
                  <w:noWrap w:val="0"/>
                  <w:vAlign w:val="center"/>
                </w:tcPr>
                <w:p w14:paraId="37F90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4FCD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5" w:type="pct"/>
                  <w:vMerge w:val="continue"/>
                  <w:noWrap w:val="0"/>
                  <w:vAlign w:val="center"/>
                </w:tcPr>
                <w:p w14:paraId="7A76B6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026" w:type="pct"/>
                  <w:noWrap w:val="0"/>
                  <w:vAlign w:val="center"/>
                </w:tcPr>
                <w:p w14:paraId="4C34D6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2022.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30</w:t>
                  </w:r>
                </w:p>
              </w:tc>
              <w:tc>
                <w:tcPr>
                  <w:tcW w:w="1668" w:type="pct"/>
                  <w:noWrap w:val="0"/>
                  <w:vAlign w:val="center"/>
                </w:tcPr>
                <w:p w14:paraId="1C088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1.21-1.28</w:t>
                  </w:r>
                </w:p>
              </w:tc>
              <w:tc>
                <w:tcPr>
                  <w:tcW w:w="799" w:type="pct"/>
                  <w:noWrap w:val="0"/>
                  <w:vAlign w:val="center"/>
                </w:tcPr>
                <w:p w14:paraId="669EE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14:paraId="62E97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sz w:val="24"/>
                <w:szCs w:val="32"/>
                <w:lang w:val="en-US" w:eastAsia="zh-CN"/>
              </w:rPr>
            </w:pPr>
            <w:r>
              <w:rPr>
                <w:rFonts w:hint="default" w:ascii="Times New Roman" w:hAnsi="Times New Roman" w:eastAsia="宋体" w:cs="Times New Roman"/>
                <w:color w:val="000000" w:themeColor="text1"/>
                <w:sz w:val="24"/>
                <w:szCs w:val="22"/>
                <w14:textFill>
                  <w14:solidFill>
                    <w14:schemeClr w14:val="tx1"/>
                  </w14:solidFill>
                </w14:textFill>
              </w:rPr>
              <w:t>监测结果表明，</w:t>
            </w:r>
            <w:r>
              <w:rPr>
                <w:rFonts w:hint="eastAsia"/>
                <w:sz w:val="24"/>
                <w:szCs w:val="32"/>
                <w:lang w:val="en-US" w:eastAsia="zh-CN"/>
              </w:rPr>
              <w:t>非甲烷总烃</w:t>
            </w:r>
            <w:r>
              <w:rPr>
                <w:rFonts w:hint="eastAsia"/>
                <w:sz w:val="24"/>
                <w:szCs w:val="32"/>
              </w:rPr>
              <w:t>1小时平均值满足《大气污染物综合排放标准详解》推荐值</w:t>
            </w:r>
            <w:r>
              <w:rPr>
                <w:rFonts w:hint="eastAsia"/>
                <w:sz w:val="24"/>
                <w:szCs w:val="32"/>
                <w:lang w:val="en-US" w:eastAsia="zh-CN"/>
              </w:rPr>
              <w:t>。</w:t>
            </w:r>
          </w:p>
          <w:p w14:paraId="1350B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kern w:val="2"/>
                <w:sz w:val="24"/>
                <w:szCs w:val="24"/>
                <w:lang w:val="en-US" w:eastAsia="zh-CN" w:bidi="ar-SA"/>
              </w:rPr>
              <w:t>2、</w:t>
            </w:r>
            <w:r>
              <w:rPr>
                <w:rFonts w:hint="default" w:ascii="Times New Roman" w:hAnsi="Times New Roman" w:cs="Times New Roman"/>
                <w:b/>
                <w:bCs/>
                <w:color w:val="auto"/>
                <w:sz w:val="24"/>
                <w:highlight w:val="none"/>
              </w:rPr>
              <w:t>声环境</w:t>
            </w:r>
          </w:p>
          <w:p w14:paraId="430C9E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 w:val="24"/>
                <w:szCs w:val="24"/>
                <w:lang w:val="en-US" w:eastAsia="zh-CN" w:bidi="ar"/>
              </w:rPr>
              <w:t>经现场勘查，项目厂界外周边50米范围内不存在声环境保护目标，本次评价不进行声环境质量现状监测与评价。</w:t>
            </w:r>
          </w:p>
          <w:p w14:paraId="002BA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eastAsia="黑体"/>
                <w:bCs/>
                <w:sz w:val="28"/>
                <w:szCs w:val="28"/>
              </w:rPr>
            </w:pPr>
            <w:r>
              <w:rPr>
                <w:rFonts w:hint="eastAsia"/>
                <w:b/>
                <w:bCs/>
                <w:sz w:val="24"/>
                <w:lang w:val="en-US" w:eastAsia="zh-CN"/>
              </w:rPr>
              <w:t>3</w:t>
            </w:r>
            <w:r>
              <w:rPr>
                <w:rFonts w:hint="default"/>
                <w:b/>
                <w:bCs/>
                <w:sz w:val="24"/>
              </w:rPr>
              <w:t>、</w:t>
            </w:r>
            <w:r>
              <w:rPr>
                <w:rFonts w:hint="eastAsia"/>
                <w:b/>
                <w:bCs/>
                <w:sz w:val="24"/>
                <w:lang w:val="en-US" w:eastAsia="zh-CN"/>
              </w:rPr>
              <w:t>地下水、</w:t>
            </w:r>
            <w:r>
              <w:rPr>
                <w:rFonts w:hint="eastAsia"/>
                <w:b/>
                <w:bCs/>
                <w:sz w:val="24"/>
              </w:rPr>
              <w:t>土壤</w:t>
            </w:r>
            <w:r>
              <w:rPr>
                <w:rFonts w:hint="default"/>
                <w:b/>
                <w:bCs/>
                <w:sz w:val="24"/>
              </w:rPr>
              <w:t>环境质量现状</w:t>
            </w:r>
          </w:p>
          <w:p w14:paraId="5A02E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kern w:val="0"/>
                <w:sz w:val="24"/>
                <w:highlight w:val="none"/>
                <w:lang w:val="en-US" w:eastAsia="zh-CN"/>
              </w:rPr>
            </w:pPr>
            <w:r>
              <w:rPr>
                <w:rFonts w:hint="default" w:ascii="Times New Roman" w:hAnsi="Times New Roman" w:cs="Times New Roman"/>
                <w:kern w:val="0"/>
                <w:sz w:val="24"/>
                <w:highlight w:val="none"/>
              </w:rPr>
              <w:t>根据《建设项目环境影响报告表编制技术指南（污染影响类）（试行）》</w:t>
            </w:r>
            <w:r>
              <w:rPr>
                <w:rFonts w:hint="eastAsia" w:ascii="Times New Roman" w:hAnsi="Times New Roman" w:cs="Times New Roman"/>
                <w:kern w:val="0"/>
                <w:sz w:val="24"/>
                <w:highlight w:val="none"/>
                <w:lang w:eastAsia="zh-CN"/>
              </w:rPr>
              <w:t>，</w:t>
            </w:r>
            <w:r>
              <w:rPr>
                <w:rFonts w:hint="default" w:ascii="Times New Roman" w:hAnsi="Times New Roman" w:cs="Times New Roman"/>
                <w:kern w:val="0"/>
                <w:sz w:val="24"/>
                <w:highlight w:val="none"/>
                <w:lang w:val="en-US" w:eastAsia="zh-CN"/>
              </w:rPr>
              <w:t>原则上可不开展地下水、土壤现状监测</w:t>
            </w:r>
            <w:r>
              <w:rPr>
                <w:rFonts w:hint="eastAsia" w:ascii="Times New Roman" w:hAnsi="Times New Roman" w:cs="Times New Roman"/>
                <w:kern w:val="0"/>
                <w:sz w:val="24"/>
                <w:highlight w:val="none"/>
                <w:lang w:val="en-US" w:eastAsia="zh-CN"/>
              </w:rPr>
              <w:t>。</w:t>
            </w:r>
          </w:p>
          <w:p w14:paraId="377FEA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kern w:val="0"/>
                <w:sz w:val="24"/>
                <w:lang w:val="en-US" w:eastAsia="zh-CN"/>
              </w:rPr>
            </w:pPr>
            <w:r>
              <w:rPr>
                <w:rFonts w:hint="eastAsia" w:ascii="Times New Roman" w:hAnsi="Times New Roman" w:cs="Times New Roman"/>
                <w:b/>
                <w:bCs/>
                <w:kern w:val="0"/>
                <w:sz w:val="24"/>
                <w:lang w:val="en-US" w:eastAsia="zh-CN"/>
              </w:rPr>
              <w:t>4、</w:t>
            </w:r>
            <w:r>
              <w:rPr>
                <w:rFonts w:hint="default" w:ascii="Times New Roman" w:hAnsi="Times New Roman" w:cs="Times New Roman"/>
                <w:b/>
                <w:bCs/>
                <w:kern w:val="0"/>
                <w:sz w:val="24"/>
                <w:lang w:val="en-US" w:eastAsia="zh-CN"/>
              </w:rPr>
              <w:t>生态环境</w:t>
            </w:r>
          </w:p>
          <w:p w14:paraId="66973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kern w:val="0"/>
                <w:sz w:val="24"/>
                <w:lang w:val="en-US" w:eastAsia="zh-CN"/>
              </w:rPr>
              <w:t>本项目为</w:t>
            </w:r>
            <w:r>
              <w:rPr>
                <w:rFonts w:hint="eastAsia" w:cs="Times New Roman"/>
                <w:kern w:val="0"/>
                <w:sz w:val="24"/>
                <w:lang w:val="en-US" w:eastAsia="zh-CN"/>
              </w:rPr>
              <w:t>新建</w:t>
            </w:r>
            <w:r>
              <w:rPr>
                <w:rFonts w:hint="default" w:ascii="Times New Roman" w:hAnsi="Times New Roman" w:cs="Times New Roman"/>
                <w:kern w:val="0"/>
                <w:sz w:val="24"/>
                <w:lang w:val="en-US" w:eastAsia="zh-CN"/>
              </w:rPr>
              <w:t>项目</w:t>
            </w:r>
            <w:r>
              <w:rPr>
                <w:rFonts w:hint="eastAsia" w:cs="Times New Roman"/>
                <w:kern w:val="0"/>
                <w:sz w:val="24"/>
                <w:lang w:val="en-US" w:eastAsia="zh-CN"/>
              </w:rPr>
              <w:t>，</w:t>
            </w:r>
            <w:r>
              <w:rPr>
                <w:rFonts w:hint="default" w:ascii="Times New Roman" w:hAnsi="Times New Roman" w:cs="Times New Roman"/>
                <w:kern w:val="0"/>
                <w:sz w:val="24"/>
                <w:lang w:val="en-US" w:eastAsia="zh-CN"/>
              </w:rPr>
              <w:t>项目占地范围内无生态环境保护目标</w:t>
            </w:r>
            <w:r>
              <w:rPr>
                <w:rFonts w:hint="eastAsia" w:ascii="Times New Roman" w:hAnsi="Times New Roman" w:cs="Times New Roman"/>
                <w:kern w:val="0"/>
                <w:sz w:val="24"/>
                <w:lang w:val="en-US" w:eastAsia="zh-CN"/>
              </w:rPr>
              <w:t>，无需进行生态现状调查</w:t>
            </w:r>
            <w:r>
              <w:rPr>
                <w:rFonts w:hint="default" w:ascii="Times New Roman" w:hAnsi="Times New Roman" w:cs="Times New Roman"/>
                <w:kern w:val="0"/>
                <w:sz w:val="24"/>
                <w:lang w:val="en-US" w:eastAsia="zh-CN"/>
              </w:rPr>
              <w:t>。</w:t>
            </w:r>
          </w:p>
        </w:tc>
      </w:tr>
      <w:tr w14:paraId="55C88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242" w:type="pct"/>
            <w:vAlign w:val="center"/>
          </w:tcPr>
          <w:p w14:paraId="34D1B0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环境</w:t>
            </w:r>
          </w:p>
          <w:p w14:paraId="06D897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保护</w:t>
            </w:r>
          </w:p>
          <w:p w14:paraId="333E7C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Cs w:val="21"/>
              </w:rPr>
            </w:pPr>
            <w:r>
              <w:rPr>
                <w:rFonts w:hint="default" w:ascii="Times New Roman" w:hAnsi="Times New Roman" w:cs="Times New Roman"/>
                <w:color w:val="auto"/>
                <w:kern w:val="21"/>
                <w:sz w:val="28"/>
                <w:szCs w:val="28"/>
              </w:rPr>
              <w:t>目标</w:t>
            </w:r>
          </w:p>
        </w:tc>
        <w:tc>
          <w:tcPr>
            <w:tcW w:w="4757" w:type="pct"/>
            <w:vAlign w:val="center"/>
          </w:tcPr>
          <w:p w14:paraId="4BC66D2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kern w:val="2"/>
                <w:sz w:val="24"/>
                <w:szCs w:val="24"/>
                <w:lang w:val="en-US" w:eastAsia="zh-CN" w:bidi="ar"/>
              </w:rPr>
              <w:t>1、</w:t>
            </w:r>
            <w:r>
              <w:rPr>
                <w:rFonts w:hint="default" w:ascii="Times New Roman" w:hAnsi="Times New Roman" w:eastAsia="宋体" w:cs="Times New Roman"/>
                <w:b/>
                <w:bCs/>
                <w:color w:val="auto"/>
                <w:kern w:val="2"/>
                <w:sz w:val="24"/>
                <w:szCs w:val="24"/>
                <w:lang w:val="en-US" w:eastAsia="zh-CN" w:bidi="ar"/>
              </w:rPr>
              <w:t>大气</w:t>
            </w:r>
          </w:p>
          <w:p w14:paraId="4F3BB9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厂界外</w:t>
            </w:r>
            <w:r>
              <w:rPr>
                <w:rFonts w:hint="eastAsia" w:cs="Times New Roman"/>
                <w:color w:val="auto"/>
                <w:kern w:val="2"/>
                <w:sz w:val="24"/>
                <w:szCs w:val="24"/>
                <w:lang w:val="en-US" w:eastAsia="zh-CN" w:bidi="ar"/>
              </w:rPr>
              <w:t>500米范围内有2处村庄（徐家坎、城头上）和一座幼儿园，距本项目最近处为厂界东侧285米处的徐家坎居民，幼儿园距离本项目东侧厂界约360米。</w:t>
            </w:r>
          </w:p>
          <w:p w14:paraId="3EECAF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kern w:val="2"/>
                <w:sz w:val="24"/>
                <w:szCs w:val="24"/>
                <w:lang w:val="en-US" w:eastAsia="zh-CN" w:bidi="ar"/>
              </w:rPr>
              <w:t>2、</w:t>
            </w:r>
            <w:r>
              <w:rPr>
                <w:rFonts w:hint="default" w:ascii="Times New Roman" w:hAnsi="Times New Roman" w:eastAsia="宋体" w:cs="Times New Roman"/>
                <w:b/>
                <w:bCs/>
                <w:color w:val="auto"/>
                <w:kern w:val="2"/>
                <w:sz w:val="24"/>
                <w:szCs w:val="24"/>
                <w:lang w:val="en-US" w:eastAsia="zh-CN" w:bidi="ar"/>
              </w:rPr>
              <w:t>声环境</w:t>
            </w:r>
          </w:p>
          <w:p w14:paraId="36FF42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厂界外50米范围内无声环境保护目标。</w:t>
            </w:r>
          </w:p>
          <w:p w14:paraId="3D2D76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kern w:val="2"/>
                <w:sz w:val="24"/>
                <w:szCs w:val="24"/>
                <w:lang w:val="en-US" w:eastAsia="zh-CN" w:bidi="ar"/>
              </w:rPr>
              <w:t>3、</w:t>
            </w:r>
            <w:r>
              <w:rPr>
                <w:rFonts w:hint="default" w:ascii="Times New Roman" w:hAnsi="Times New Roman" w:eastAsia="宋体" w:cs="Times New Roman"/>
                <w:b/>
                <w:bCs/>
                <w:color w:val="auto"/>
                <w:kern w:val="2"/>
                <w:sz w:val="24"/>
                <w:szCs w:val="24"/>
                <w:lang w:val="en-US" w:eastAsia="zh-CN" w:bidi="ar"/>
              </w:rPr>
              <w:t>地下水</w:t>
            </w:r>
          </w:p>
          <w:p w14:paraId="6D57BC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厂界外500米范围内无地下水集中式饮用水水源和热水、矿泉水、温泉等特殊地下水资源。</w:t>
            </w:r>
          </w:p>
          <w:p w14:paraId="69DC84A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kern w:val="2"/>
                <w:sz w:val="24"/>
                <w:szCs w:val="24"/>
                <w:lang w:val="en-US" w:eastAsia="zh-CN" w:bidi="ar"/>
              </w:rPr>
              <w:t>4、</w:t>
            </w:r>
            <w:r>
              <w:rPr>
                <w:rFonts w:hint="default" w:ascii="Times New Roman" w:hAnsi="Times New Roman" w:eastAsia="宋体" w:cs="Times New Roman"/>
                <w:b/>
                <w:bCs/>
                <w:color w:val="auto"/>
                <w:kern w:val="2"/>
                <w:sz w:val="24"/>
                <w:szCs w:val="24"/>
                <w:lang w:val="en-US" w:eastAsia="zh-CN" w:bidi="ar"/>
              </w:rPr>
              <w:t>生态</w:t>
            </w:r>
          </w:p>
          <w:p w14:paraId="24A6D01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本项目占地范围</w:t>
            </w:r>
            <w:r>
              <w:rPr>
                <w:rFonts w:hint="eastAsia" w:cs="Times New Roman"/>
                <w:color w:val="auto"/>
                <w:kern w:val="2"/>
                <w:sz w:val="24"/>
                <w:szCs w:val="24"/>
                <w:lang w:val="en-US" w:eastAsia="zh-CN" w:bidi="ar"/>
              </w:rPr>
              <w:t>无</w:t>
            </w:r>
            <w:r>
              <w:rPr>
                <w:rFonts w:hint="default" w:ascii="Times New Roman" w:hAnsi="Times New Roman" w:eastAsia="宋体" w:cs="Times New Roman"/>
                <w:color w:val="auto"/>
                <w:kern w:val="2"/>
                <w:sz w:val="24"/>
                <w:szCs w:val="24"/>
                <w:lang w:val="en-US" w:eastAsia="zh-CN" w:bidi="ar"/>
              </w:rPr>
              <w:t>生态环境保护目标。</w:t>
            </w:r>
          </w:p>
          <w:p w14:paraId="30A70F4A">
            <w:pPr>
              <w:keepNext w:val="0"/>
              <w:keepLines w:val="0"/>
              <w:suppressLineNumbers w:val="0"/>
              <w:spacing w:before="0" w:beforeAutospacing="0" w:after="0" w:afterAutospacing="0"/>
              <w:ind w:left="0" w:right="0" w:firstLine="1687" w:firstLineChars="700"/>
              <w:rPr>
                <w:rFonts w:hint="default"/>
                <w:b/>
                <w:bCs/>
                <w:sz w:val="24"/>
                <w:szCs w:val="32"/>
              </w:rPr>
            </w:pPr>
            <w:r>
              <w:rPr>
                <w:rFonts w:hint="default"/>
                <w:b/>
                <w:bCs/>
                <w:sz w:val="24"/>
                <w:szCs w:val="32"/>
              </w:rPr>
              <w:t>表3-</w:t>
            </w:r>
            <w:r>
              <w:rPr>
                <w:rFonts w:hint="eastAsia"/>
                <w:b/>
                <w:bCs/>
                <w:sz w:val="24"/>
                <w:szCs w:val="32"/>
                <w:lang w:val="en-US" w:eastAsia="zh-CN"/>
              </w:rPr>
              <w:t xml:space="preserve">3       </w:t>
            </w:r>
            <w:r>
              <w:rPr>
                <w:rFonts w:hint="default"/>
                <w:b/>
                <w:bCs/>
                <w:sz w:val="24"/>
                <w:szCs w:val="32"/>
              </w:rPr>
              <w:t xml:space="preserve"> 环境</w:t>
            </w:r>
            <w:r>
              <w:rPr>
                <w:rFonts w:hint="eastAsia"/>
                <w:b/>
                <w:bCs/>
                <w:sz w:val="24"/>
                <w:szCs w:val="32"/>
              </w:rPr>
              <w:t>保护目标明细表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67"/>
              <w:gridCol w:w="763"/>
              <w:gridCol w:w="1373"/>
              <w:gridCol w:w="1268"/>
              <w:gridCol w:w="763"/>
              <w:gridCol w:w="1345"/>
              <w:gridCol w:w="858"/>
              <w:gridCol w:w="687"/>
              <w:gridCol w:w="855"/>
            </w:tblGrid>
            <w:tr w14:paraId="0C79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467" w:type="dxa"/>
                  <w:vMerge w:val="restart"/>
                  <w:noWrap w:val="0"/>
                  <w:vAlign w:val="center"/>
                </w:tcPr>
                <w:p w14:paraId="12790DEB">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rPr>
                    <w:t>环境</w:t>
                  </w:r>
                  <w:r>
                    <w:rPr>
                      <w:rFonts w:hint="eastAsia" w:cs="Calibri"/>
                      <w:kern w:val="0"/>
                      <w:szCs w:val="21"/>
                      <w:lang w:val="en-US" w:eastAsia="zh-CN"/>
                    </w:rPr>
                    <w:t>要素</w:t>
                  </w:r>
                </w:p>
              </w:tc>
              <w:tc>
                <w:tcPr>
                  <w:tcW w:w="763" w:type="dxa"/>
                  <w:vMerge w:val="restart"/>
                  <w:noWrap w:val="0"/>
                  <w:vAlign w:val="center"/>
                </w:tcPr>
                <w:p w14:paraId="3DC56A66">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名称</w:t>
                  </w:r>
                </w:p>
              </w:tc>
              <w:tc>
                <w:tcPr>
                  <w:tcW w:w="2641" w:type="dxa"/>
                  <w:gridSpan w:val="2"/>
                  <w:noWrap w:val="0"/>
                  <w:vAlign w:val="center"/>
                </w:tcPr>
                <w:p w14:paraId="488704B8">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坐标</w:t>
                  </w:r>
                </w:p>
              </w:tc>
              <w:tc>
                <w:tcPr>
                  <w:tcW w:w="763" w:type="dxa"/>
                  <w:vMerge w:val="restart"/>
                  <w:noWrap w:val="0"/>
                  <w:vAlign w:val="center"/>
                </w:tcPr>
                <w:p w14:paraId="16CFA78B">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保护对象</w:t>
                  </w:r>
                </w:p>
              </w:tc>
              <w:tc>
                <w:tcPr>
                  <w:tcW w:w="1345" w:type="dxa"/>
                  <w:vMerge w:val="restart"/>
                  <w:noWrap w:val="0"/>
                  <w:vAlign w:val="center"/>
                </w:tcPr>
                <w:p w14:paraId="437CF618">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保护内容</w:t>
                  </w:r>
                </w:p>
              </w:tc>
              <w:tc>
                <w:tcPr>
                  <w:tcW w:w="858" w:type="dxa"/>
                  <w:vMerge w:val="restart"/>
                  <w:noWrap w:val="0"/>
                  <w:vAlign w:val="center"/>
                </w:tcPr>
                <w:p w14:paraId="33FDEE5C">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环境功</w:t>
                  </w:r>
                </w:p>
                <w:p w14:paraId="13AFF821">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能区</w:t>
                  </w:r>
                </w:p>
              </w:tc>
              <w:tc>
                <w:tcPr>
                  <w:tcW w:w="687" w:type="dxa"/>
                  <w:vMerge w:val="restart"/>
                  <w:noWrap w:val="0"/>
                  <w:vAlign w:val="center"/>
                </w:tcPr>
                <w:p w14:paraId="237AF31E">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相对方位</w:t>
                  </w:r>
                </w:p>
              </w:tc>
              <w:tc>
                <w:tcPr>
                  <w:tcW w:w="855" w:type="dxa"/>
                  <w:vMerge w:val="restart"/>
                  <w:noWrap w:val="0"/>
                  <w:vAlign w:val="center"/>
                </w:tcPr>
                <w:p w14:paraId="4871D3D6">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相对厂界</w:t>
                  </w:r>
                </w:p>
                <w:p w14:paraId="2F0BC1F8">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距离(m)</w:t>
                  </w:r>
                </w:p>
              </w:tc>
            </w:tr>
            <w:tr w14:paraId="7CF9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467" w:type="dxa"/>
                  <w:vMerge w:val="continue"/>
                  <w:noWrap w:val="0"/>
                  <w:vAlign w:val="top"/>
                </w:tcPr>
                <w:p w14:paraId="7107B817">
                  <w:pPr>
                    <w:keepNext w:val="0"/>
                    <w:keepLines w:val="0"/>
                    <w:widowControl/>
                    <w:suppressLineNumbers w:val="0"/>
                    <w:spacing w:before="0" w:beforeAutospacing="0" w:after="0" w:afterAutospacing="0"/>
                    <w:ind w:left="0" w:right="0"/>
                    <w:jc w:val="center"/>
                    <w:rPr>
                      <w:rFonts w:hint="default" w:cs="Calibri"/>
                      <w:kern w:val="0"/>
                      <w:szCs w:val="21"/>
                    </w:rPr>
                  </w:pPr>
                </w:p>
              </w:tc>
              <w:tc>
                <w:tcPr>
                  <w:tcW w:w="763" w:type="dxa"/>
                  <w:vMerge w:val="continue"/>
                  <w:noWrap w:val="0"/>
                  <w:vAlign w:val="center"/>
                </w:tcPr>
                <w:p w14:paraId="3A83FE26">
                  <w:pPr>
                    <w:keepNext w:val="0"/>
                    <w:keepLines w:val="0"/>
                    <w:widowControl/>
                    <w:suppressLineNumbers w:val="0"/>
                    <w:spacing w:before="0" w:beforeAutospacing="0" w:after="0" w:afterAutospacing="0"/>
                    <w:ind w:left="0" w:right="0"/>
                    <w:jc w:val="center"/>
                    <w:rPr>
                      <w:rFonts w:hint="default" w:cs="Calibri"/>
                      <w:kern w:val="0"/>
                      <w:szCs w:val="21"/>
                    </w:rPr>
                  </w:pPr>
                </w:p>
              </w:tc>
              <w:tc>
                <w:tcPr>
                  <w:tcW w:w="1373" w:type="dxa"/>
                  <w:noWrap w:val="0"/>
                  <w:vAlign w:val="center"/>
                </w:tcPr>
                <w:p w14:paraId="5A49F25C">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lang w:val="en-US" w:eastAsia="zh-CN"/>
                    </w:rPr>
                    <w:t>经度</w:t>
                  </w:r>
                </w:p>
              </w:tc>
              <w:tc>
                <w:tcPr>
                  <w:tcW w:w="1268" w:type="dxa"/>
                  <w:noWrap w:val="0"/>
                  <w:vAlign w:val="center"/>
                </w:tcPr>
                <w:p w14:paraId="3B338F50">
                  <w:pPr>
                    <w:keepNext w:val="0"/>
                    <w:keepLines w:val="0"/>
                    <w:widowControl/>
                    <w:suppressLineNumbers w:val="0"/>
                    <w:spacing w:before="0" w:beforeAutospacing="0" w:after="0" w:afterAutospacing="0"/>
                    <w:ind w:left="0" w:right="0"/>
                    <w:jc w:val="center"/>
                    <w:rPr>
                      <w:rFonts w:hint="eastAsia" w:eastAsia="宋体" w:cs="Calibri"/>
                      <w:kern w:val="0"/>
                      <w:szCs w:val="21"/>
                      <w:lang w:eastAsia="zh-CN"/>
                    </w:rPr>
                  </w:pPr>
                  <w:r>
                    <w:rPr>
                      <w:rFonts w:hint="eastAsia" w:cs="Calibri"/>
                      <w:kern w:val="0"/>
                      <w:szCs w:val="21"/>
                      <w:lang w:val="en-US" w:eastAsia="zh-CN"/>
                    </w:rPr>
                    <w:t>纬度</w:t>
                  </w:r>
                </w:p>
              </w:tc>
              <w:tc>
                <w:tcPr>
                  <w:tcW w:w="763" w:type="dxa"/>
                  <w:vMerge w:val="continue"/>
                  <w:noWrap w:val="0"/>
                  <w:vAlign w:val="center"/>
                </w:tcPr>
                <w:p w14:paraId="0D27DD09">
                  <w:pPr>
                    <w:keepNext w:val="0"/>
                    <w:keepLines w:val="0"/>
                    <w:widowControl/>
                    <w:suppressLineNumbers w:val="0"/>
                    <w:spacing w:before="0" w:beforeAutospacing="0" w:after="0" w:afterAutospacing="0"/>
                    <w:ind w:left="0" w:right="0"/>
                    <w:jc w:val="center"/>
                    <w:rPr>
                      <w:rFonts w:hint="default" w:cs="Calibri"/>
                      <w:kern w:val="0"/>
                      <w:szCs w:val="21"/>
                    </w:rPr>
                  </w:pPr>
                </w:p>
              </w:tc>
              <w:tc>
                <w:tcPr>
                  <w:tcW w:w="1345" w:type="dxa"/>
                  <w:vMerge w:val="continue"/>
                  <w:noWrap w:val="0"/>
                  <w:vAlign w:val="center"/>
                </w:tcPr>
                <w:p w14:paraId="78419998">
                  <w:pPr>
                    <w:keepNext w:val="0"/>
                    <w:keepLines w:val="0"/>
                    <w:widowControl/>
                    <w:suppressLineNumbers w:val="0"/>
                    <w:spacing w:before="0" w:beforeAutospacing="0" w:after="0" w:afterAutospacing="0"/>
                    <w:ind w:left="0" w:right="0"/>
                    <w:jc w:val="center"/>
                    <w:rPr>
                      <w:rFonts w:hint="default" w:cs="Calibri"/>
                      <w:kern w:val="0"/>
                      <w:szCs w:val="21"/>
                    </w:rPr>
                  </w:pPr>
                </w:p>
              </w:tc>
              <w:tc>
                <w:tcPr>
                  <w:tcW w:w="858" w:type="dxa"/>
                  <w:vMerge w:val="continue"/>
                  <w:noWrap w:val="0"/>
                  <w:vAlign w:val="center"/>
                </w:tcPr>
                <w:p w14:paraId="49976DDA">
                  <w:pPr>
                    <w:keepNext w:val="0"/>
                    <w:keepLines w:val="0"/>
                    <w:widowControl/>
                    <w:suppressLineNumbers w:val="0"/>
                    <w:spacing w:before="0" w:beforeAutospacing="0" w:after="0" w:afterAutospacing="0"/>
                    <w:ind w:left="0" w:right="0"/>
                    <w:jc w:val="center"/>
                    <w:rPr>
                      <w:rFonts w:hint="default" w:cs="Calibri"/>
                      <w:kern w:val="0"/>
                      <w:szCs w:val="21"/>
                    </w:rPr>
                  </w:pPr>
                </w:p>
              </w:tc>
              <w:tc>
                <w:tcPr>
                  <w:tcW w:w="687" w:type="dxa"/>
                  <w:vMerge w:val="continue"/>
                  <w:noWrap w:val="0"/>
                  <w:vAlign w:val="center"/>
                </w:tcPr>
                <w:p w14:paraId="24B13B0F">
                  <w:pPr>
                    <w:keepNext w:val="0"/>
                    <w:keepLines w:val="0"/>
                    <w:widowControl/>
                    <w:suppressLineNumbers w:val="0"/>
                    <w:spacing w:before="0" w:beforeAutospacing="0" w:after="0" w:afterAutospacing="0"/>
                    <w:ind w:left="0" w:right="0"/>
                    <w:jc w:val="center"/>
                    <w:rPr>
                      <w:rFonts w:hint="default" w:cs="Calibri"/>
                      <w:kern w:val="0"/>
                      <w:szCs w:val="21"/>
                    </w:rPr>
                  </w:pPr>
                </w:p>
              </w:tc>
              <w:tc>
                <w:tcPr>
                  <w:tcW w:w="855" w:type="dxa"/>
                  <w:vMerge w:val="continue"/>
                  <w:noWrap w:val="0"/>
                  <w:vAlign w:val="center"/>
                </w:tcPr>
                <w:p w14:paraId="333E3575">
                  <w:pPr>
                    <w:keepNext w:val="0"/>
                    <w:keepLines w:val="0"/>
                    <w:widowControl/>
                    <w:suppressLineNumbers w:val="0"/>
                    <w:spacing w:before="0" w:beforeAutospacing="0" w:after="0" w:afterAutospacing="0"/>
                    <w:ind w:left="0" w:right="0"/>
                    <w:jc w:val="center"/>
                    <w:rPr>
                      <w:rFonts w:hint="default" w:cs="Calibri"/>
                      <w:kern w:val="0"/>
                      <w:szCs w:val="21"/>
                    </w:rPr>
                  </w:pPr>
                </w:p>
              </w:tc>
            </w:tr>
            <w:tr w14:paraId="1059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467" w:type="dxa"/>
                  <w:vMerge w:val="restart"/>
                  <w:noWrap w:val="0"/>
                  <w:vAlign w:val="center"/>
                </w:tcPr>
                <w:p w14:paraId="46D8F9AF">
                  <w:pPr>
                    <w:keepNext w:val="0"/>
                    <w:keepLines w:val="0"/>
                    <w:widowControl/>
                    <w:suppressLineNumbers w:val="0"/>
                    <w:spacing w:before="0" w:beforeAutospacing="0" w:after="0" w:afterAutospacing="0"/>
                    <w:ind w:left="0" w:right="0"/>
                    <w:jc w:val="center"/>
                    <w:rPr>
                      <w:rFonts w:hint="eastAsia" w:eastAsia="宋体" w:cs="Calibri"/>
                      <w:kern w:val="0"/>
                      <w:szCs w:val="21"/>
                      <w:lang w:val="en-US" w:eastAsia="zh-CN"/>
                    </w:rPr>
                  </w:pPr>
                  <w:r>
                    <w:rPr>
                      <w:rFonts w:hint="eastAsia" w:cs="Calibri"/>
                      <w:kern w:val="0"/>
                      <w:szCs w:val="21"/>
                      <w:lang w:val="en-US" w:eastAsia="zh-CN"/>
                    </w:rPr>
                    <w:t>大气</w:t>
                  </w:r>
                </w:p>
              </w:tc>
              <w:tc>
                <w:tcPr>
                  <w:tcW w:w="763" w:type="dxa"/>
                  <w:noWrap w:val="0"/>
                  <w:vAlign w:val="center"/>
                </w:tcPr>
                <w:p w14:paraId="36CCF0EF">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徐家坎</w:t>
                  </w:r>
                </w:p>
              </w:tc>
              <w:tc>
                <w:tcPr>
                  <w:tcW w:w="1373" w:type="dxa"/>
                  <w:noWrap w:val="0"/>
                  <w:vAlign w:val="center"/>
                </w:tcPr>
                <w:p w14:paraId="702CBDC1">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108.94181445</w:t>
                  </w:r>
                </w:p>
              </w:tc>
              <w:tc>
                <w:tcPr>
                  <w:tcW w:w="1268" w:type="dxa"/>
                  <w:noWrap w:val="0"/>
                  <w:vAlign w:val="center"/>
                </w:tcPr>
                <w:p w14:paraId="6FD52E32">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32.721145910</w:t>
                  </w:r>
                </w:p>
              </w:tc>
              <w:tc>
                <w:tcPr>
                  <w:tcW w:w="763" w:type="dxa"/>
                  <w:noWrap w:val="0"/>
                  <w:vAlign w:val="center"/>
                </w:tcPr>
                <w:p w14:paraId="5D95AE47">
                  <w:pPr>
                    <w:keepNext w:val="0"/>
                    <w:keepLines w:val="0"/>
                    <w:widowControl/>
                    <w:suppressLineNumbers w:val="0"/>
                    <w:spacing w:before="0" w:beforeAutospacing="0" w:after="0" w:afterAutospacing="0"/>
                    <w:ind w:left="0" w:right="0"/>
                    <w:jc w:val="center"/>
                    <w:rPr>
                      <w:rFonts w:hint="default" w:cs="Calibri"/>
                      <w:kern w:val="0"/>
                      <w:szCs w:val="21"/>
                    </w:rPr>
                  </w:pPr>
                  <w:r>
                    <w:rPr>
                      <w:rFonts w:hint="default" w:cs="Calibri"/>
                      <w:kern w:val="0"/>
                      <w:szCs w:val="21"/>
                    </w:rPr>
                    <w:t>村民住户</w:t>
                  </w:r>
                </w:p>
              </w:tc>
              <w:tc>
                <w:tcPr>
                  <w:tcW w:w="1345" w:type="dxa"/>
                  <w:noWrap w:val="0"/>
                  <w:vAlign w:val="center"/>
                </w:tcPr>
                <w:p w14:paraId="7E1E5A2B">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lang w:val="en-US" w:eastAsia="zh-CN"/>
                    </w:rPr>
                    <w:t>110</w:t>
                  </w:r>
                  <w:r>
                    <w:rPr>
                      <w:rFonts w:hint="eastAsia" w:cs="Calibri"/>
                      <w:kern w:val="0"/>
                      <w:szCs w:val="21"/>
                    </w:rPr>
                    <w:t>余</w:t>
                  </w:r>
                  <w:r>
                    <w:rPr>
                      <w:rFonts w:hint="default" w:cs="Calibri"/>
                      <w:kern w:val="0"/>
                      <w:szCs w:val="21"/>
                    </w:rPr>
                    <w:t>户</w:t>
                  </w:r>
                  <w:r>
                    <w:rPr>
                      <w:rFonts w:hint="eastAsia" w:cs="Calibri"/>
                      <w:kern w:val="0"/>
                      <w:szCs w:val="21"/>
                      <w:lang w:val="en-US" w:eastAsia="zh-CN"/>
                    </w:rPr>
                    <w:t>/450</w:t>
                  </w:r>
                  <w:r>
                    <w:rPr>
                      <w:rFonts w:hint="eastAsia" w:cs="Calibri"/>
                      <w:kern w:val="0"/>
                      <w:szCs w:val="21"/>
                    </w:rPr>
                    <w:t>余</w:t>
                  </w:r>
                  <w:r>
                    <w:rPr>
                      <w:rFonts w:hint="default" w:cs="Calibri"/>
                      <w:kern w:val="0"/>
                      <w:szCs w:val="21"/>
                    </w:rPr>
                    <w:t>人</w:t>
                  </w:r>
                </w:p>
              </w:tc>
              <w:tc>
                <w:tcPr>
                  <w:tcW w:w="858" w:type="dxa"/>
                  <w:noWrap w:val="0"/>
                  <w:vAlign w:val="center"/>
                </w:tcPr>
                <w:p w14:paraId="719E8AD3">
                  <w:pPr>
                    <w:keepNext w:val="0"/>
                    <w:keepLines w:val="0"/>
                    <w:widowControl/>
                    <w:suppressLineNumbers w:val="0"/>
                    <w:spacing w:before="0" w:beforeAutospacing="0" w:after="0" w:afterAutospacing="0"/>
                    <w:ind w:left="0" w:right="0"/>
                    <w:jc w:val="center"/>
                    <w:rPr>
                      <w:rFonts w:hint="eastAsia" w:cs="Calibri"/>
                      <w:kern w:val="0"/>
                      <w:szCs w:val="21"/>
                    </w:rPr>
                  </w:pPr>
                  <w:r>
                    <w:rPr>
                      <w:rFonts w:hint="eastAsia" w:cs="Calibri"/>
                      <w:kern w:val="0"/>
                      <w:szCs w:val="21"/>
                    </w:rPr>
                    <w:t>二类</w:t>
                  </w:r>
                </w:p>
              </w:tc>
              <w:tc>
                <w:tcPr>
                  <w:tcW w:w="687" w:type="dxa"/>
                  <w:noWrap w:val="0"/>
                  <w:vAlign w:val="center"/>
                </w:tcPr>
                <w:p w14:paraId="33880100">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E</w:t>
                  </w:r>
                </w:p>
              </w:tc>
              <w:tc>
                <w:tcPr>
                  <w:tcW w:w="855" w:type="dxa"/>
                  <w:noWrap w:val="0"/>
                  <w:vAlign w:val="center"/>
                </w:tcPr>
                <w:p w14:paraId="234BE126">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285</w:t>
                  </w:r>
                </w:p>
              </w:tc>
            </w:tr>
            <w:tr w14:paraId="2027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467" w:type="dxa"/>
                  <w:vMerge w:val="continue"/>
                  <w:noWrap w:val="0"/>
                  <w:vAlign w:val="center"/>
                </w:tcPr>
                <w:p w14:paraId="4304E35E">
                  <w:pPr>
                    <w:keepNext w:val="0"/>
                    <w:keepLines w:val="0"/>
                    <w:widowControl/>
                    <w:suppressLineNumbers w:val="0"/>
                    <w:spacing w:before="0" w:beforeAutospacing="0" w:after="0" w:afterAutospacing="0"/>
                    <w:ind w:left="0" w:right="0"/>
                    <w:jc w:val="center"/>
                    <w:rPr>
                      <w:rFonts w:hint="eastAsia" w:cs="Calibri"/>
                      <w:kern w:val="0"/>
                      <w:szCs w:val="21"/>
                      <w:lang w:val="en-US" w:eastAsia="zh-CN"/>
                    </w:rPr>
                  </w:pPr>
                </w:p>
              </w:tc>
              <w:tc>
                <w:tcPr>
                  <w:tcW w:w="763" w:type="dxa"/>
                  <w:noWrap w:val="0"/>
                  <w:vAlign w:val="center"/>
                </w:tcPr>
                <w:p w14:paraId="66DEAA49">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城头上</w:t>
                  </w:r>
                </w:p>
              </w:tc>
              <w:tc>
                <w:tcPr>
                  <w:tcW w:w="1373" w:type="dxa"/>
                  <w:noWrap w:val="0"/>
                  <w:vAlign w:val="center"/>
                </w:tcPr>
                <w:p w14:paraId="66721AFE">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108.94210388</w:t>
                  </w:r>
                </w:p>
              </w:tc>
              <w:tc>
                <w:tcPr>
                  <w:tcW w:w="1268" w:type="dxa"/>
                  <w:noWrap w:val="0"/>
                  <w:vAlign w:val="center"/>
                </w:tcPr>
                <w:p w14:paraId="39084A5D">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32.724662142</w:t>
                  </w:r>
                </w:p>
              </w:tc>
              <w:tc>
                <w:tcPr>
                  <w:tcW w:w="763" w:type="dxa"/>
                  <w:noWrap w:val="0"/>
                  <w:vAlign w:val="center"/>
                </w:tcPr>
                <w:p w14:paraId="175A85B7">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lang w:val="en-US" w:eastAsia="zh-CN"/>
                    </w:rPr>
                    <w:t>村民住户</w:t>
                  </w:r>
                </w:p>
              </w:tc>
              <w:tc>
                <w:tcPr>
                  <w:tcW w:w="1345" w:type="dxa"/>
                  <w:noWrap w:val="0"/>
                  <w:vAlign w:val="center"/>
                </w:tcPr>
                <w:p w14:paraId="232D55F8">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30余户/110余人</w:t>
                  </w:r>
                </w:p>
              </w:tc>
              <w:tc>
                <w:tcPr>
                  <w:tcW w:w="858" w:type="dxa"/>
                  <w:noWrap w:val="0"/>
                  <w:vAlign w:val="center"/>
                </w:tcPr>
                <w:p w14:paraId="432F301E">
                  <w:pPr>
                    <w:keepNext w:val="0"/>
                    <w:keepLines w:val="0"/>
                    <w:widowControl/>
                    <w:suppressLineNumbers w:val="0"/>
                    <w:spacing w:before="0" w:beforeAutospacing="0" w:after="0" w:afterAutospacing="0"/>
                    <w:ind w:left="0" w:right="0"/>
                    <w:jc w:val="center"/>
                    <w:rPr>
                      <w:rFonts w:hint="eastAsia" w:eastAsia="宋体" w:cs="Calibri"/>
                      <w:kern w:val="0"/>
                      <w:szCs w:val="21"/>
                      <w:lang w:val="en-US" w:eastAsia="zh-CN"/>
                    </w:rPr>
                  </w:pPr>
                  <w:r>
                    <w:rPr>
                      <w:rFonts w:hint="eastAsia" w:cs="Calibri"/>
                      <w:kern w:val="0"/>
                      <w:szCs w:val="21"/>
                      <w:lang w:val="en-US" w:eastAsia="zh-CN"/>
                    </w:rPr>
                    <w:t>二类</w:t>
                  </w:r>
                </w:p>
              </w:tc>
              <w:tc>
                <w:tcPr>
                  <w:tcW w:w="687" w:type="dxa"/>
                  <w:noWrap w:val="0"/>
                  <w:vAlign w:val="center"/>
                </w:tcPr>
                <w:p w14:paraId="61303F7B">
                  <w:pPr>
                    <w:keepNext w:val="0"/>
                    <w:keepLines w:val="0"/>
                    <w:widowControl/>
                    <w:suppressLineNumbers w:val="0"/>
                    <w:spacing w:before="0" w:beforeAutospacing="0" w:after="0" w:afterAutospacing="0"/>
                    <w:ind w:left="0" w:right="0"/>
                    <w:jc w:val="center"/>
                    <w:rPr>
                      <w:rFonts w:hint="eastAsia" w:cs="Calibri"/>
                      <w:kern w:val="0"/>
                      <w:szCs w:val="21"/>
                      <w:lang w:val="en-US" w:eastAsia="zh-CN"/>
                    </w:rPr>
                  </w:pPr>
                  <w:r>
                    <w:rPr>
                      <w:rFonts w:hint="eastAsia" w:cs="Calibri"/>
                      <w:kern w:val="0"/>
                      <w:szCs w:val="21"/>
                      <w:lang w:val="en-US" w:eastAsia="zh-CN"/>
                    </w:rPr>
                    <w:t>NE</w:t>
                  </w:r>
                </w:p>
              </w:tc>
              <w:tc>
                <w:tcPr>
                  <w:tcW w:w="855" w:type="dxa"/>
                  <w:noWrap w:val="0"/>
                  <w:vAlign w:val="center"/>
                </w:tcPr>
                <w:p w14:paraId="4EC389FC">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390</w:t>
                  </w:r>
                </w:p>
              </w:tc>
            </w:tr>
            <w:tr w14:paraId="210D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467" w:type="dxa"/>
                  <w:vMerge w:val="continue"/>
                  <w:noWrap w:val="0"/>
                  <w:vAlign w:val="center"/>
                </w:tcPr>
                <w:p w14:paraId="6430DBE9">
                  <w:pPr>
                    <w:keepNext w:val="0"/>
                    <w:keepLines w:val="0"/>
                    <w:widowControl/>
                    <w:suppressLineNumbers w:val="0"/>
                    <w:spacing w:before="0" w:beforeAutospacing="0" w:after="0" w:afterAutospacing="0"/>
                    <w:ind w:left="0" w:right="0"/>
                    <w:jc w:val="center"/>
                    <w:rPr>
                      <w:rFonts w:hint="eastAsia" w:cs="Calibri"/>
                      <w:kern w:val="0"/>
                      <w:szCs w:val="21"/>
                      <w:lang w:val="en-US" w:eastAsia="zh-CN"/>
                    </w:rPr>
                  </w:pPr>
                </w:p>
              </w:tc>
              <w:tc>
                <w:tcPr>
                  <w:tcW w:w="763" w:type="dxa"/>
                  <w:noWrap w:val="0"/>
                  <w:vAlign w:val="center"/>
                </w:tcPr>
                <w:p w14:paraId="020F8162">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安康市高新区欣欣幼儿园</w:t>
                  </w:r>
                </w:p>
              </w:tc>
              <w:tc>
                <w:tcPr>
                  <w:tcW w:w="1373" w:type="dxa"/>
                  <w:noWrap w:val="0"/>
                  <w:vAlign w:val="center"/>
                </w:tcPr>
                <w:p w14:paraId="2359616B">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108.940881049</w:t>
                  </w:r>
                </w:p>
              </w:tc>
              <w:tc>
                <w:tcPr>
                  <w:tcW w:w="1268" w:type="dxa"/>
                  <w:noWrap w:val="0"/>
                  <w:vAlign w:val="center"/>
                </w:tcPr>
                <w:p w14:paraId="0B3BA25E">
                  <w:pPr>
                    <w:keepNext w:val="0"/>
                    <w:keepLines w:val="0"/>
                    <w:pageBreakBefore w:val="0"/>
                    <w:widowControl/>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32.721129816</w:t>
                  </w:r>
                </w:p>
              </w:tc>
              <w:tc>
                <w:tcPr>
                  <w:tcW w:w="763" w:type="dxa"/>
                  <w:noWrap w:val="0"/>
                  <w:vAlign w:val="center"/>
                </w:tcPr>
                <w:p w14:paraId="72C3CEAC">
                  <w:pPr>
                    <w:keepNext w:val="0"/>
                    <w:keepLines w:val="0"/>
                    <w:widowControl/>
                    <w:suppressLineNumbers w:val="0"/>
                    <w:spacing w:before="0" w:beforeAutospacing="0" w:after="0" w:afterAutospacing="0"/>
                    <w:ind w:left="0" w:right="0"/>
                    <w:jc w:val="center"/>
                    <w:rPr>
                      <w:rFonts w:hint="default" w:eastAsia="宋体" w:cs="Calibri"/>
                      <w:kern w:val="0"/>
                      <w:szCs w:val="21"/>
                      <w:lang w:val="en-US" w:eastAsia="zh-CN"/>
                    </w:rPr>
                  </w:pPr>
                  <w:r>
                    <w:rPr>
                      <w:rFonts w:hint="eastAsia" w:cs="Calibri"/>
                      <w:kern w:val="0"/>
                      <w:szCs w:val="21"/>
                      <w:lang w:val="en-US" w:eastAsia="zh-CN"/>
                    </w:rPr>
                    <w:t>学生、教职工</w:t>
                  </w:r>
                </w:p>
              </w:tc>
              <w:tc>
                <w:tcPr>
                  <w:tcW w:w="1345" w:type="dxa"/>
                  <w:noWrap w:val="0"/>
                  <w:vAlign w:val="center"/>
                </w:tcPr>
                <w:p w14:paraId="4C41F892">
                  <w:pPr>
                    <w:keepNext w:val="0"/>
                    <w:keepLines w:val="0"/>
                    <w:widowControl/>
                    <w:suppressLineNumbers w:val="0"/>
                    <w:spacing w:before="0" w:beforeAutospacing="0" w:after="0" w:afterAutospacing="0"/>
                    <w:ind w:left="0" w:right="0"/>
                    <w:jc w:val="center"/>
                    <w:rPr>
                      <w:rFonts w:hint="eastAsia" w:cs="Calibri"/>
                      <w:kern w:val="0"/>
                      <w:szCs w:val="21"/>
                      <w:lang w:val="en-US" w:eastAsia="zh-CN"/>
                    </w:rPr>
                  </w:pPr>
                  <w:r>
                    <w:rPr>
                      <w:rFonts w:hint="eastAsia" w:cs="Calibri"/>
                      <w:kern w:val="0"/>
                      <w:szCs w:val="21"/>
                      <w:lang w:val="en-US" w:eastAsia="zh-CN"/>
                    </w:rPr>
                    <w:t>教职工16人</w:t>
                  </w:r>
                </w:p>
                <w:p w14:paraId="37CFD0C2">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学生180人</w:t>
                  </w:r>
                </w:p>
              </w:tc>
              <w:tc>
                <w:tcPr>
                  <w:tcW w:w="858" w:type="dxa"/>
                  <w:noWrap w:val="0"/>
                  <w:vAlign w:val="center"/>
                </w:tcPr>
                <w:p w14:paraId="4AEA197B">
                  <w:pPr>
                    <w:keepNext w:val="0"/>
                    <w:keepLines w:val="0"/>
                    <w:widowControl/>
                    <w:suppressLineNumbers w:val="0"/>
                    <w:spacing w:before="0" w:beforeAutospacing="0" w:after="0" w:afterAutospacing="0"/>
                    <w:ind w:left="0" w:right="0"/>
                    <w:jc w:val="center"/>
                    <w:rPr>
                      <w:rFonts w:hint="eastAsia" w:eastAsia="宋体" w:cs="Calibri"/>
                      <w:kern w:val="0"/>
                      <w:szCs w:val="21"/>
                      <w:lang w:val="en-US" w:eastAsia="zh-CN"/>
                    </w:rPr>
                  </w:pPr>
                  <w:r>
                    <w:rPr>
                      <w:rFonts w:hint="eastAsia" w:cs="Calibri"/>
                      <w:kern w:val="0"/>
                      <w:szCs w:val="21"/>
                      <w:lang w:val="en-US" w:eastAsia="zh-CN"/>
                    </w:rPr>
                    <w:t>二类</w:t>
                  </w:r>
                </w:p>
              </w:tc>
              <w:tc>
                <w:tcPr>
                  <w:tcW w:w="687" w:type="dxa"/>
                  <w:noWrap w:val="0"/>
                  <w:vAlign w:val="center"/>
                </w:tcPr>
                <w:p w14:paraId="41C2BC61">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E</w:t>
                  </w:r>
                </w:p>
              </w:tc>
              <w:tc>
                <w:tcPr>
                  <w:tcW w:w="855" w:type="dxa"/>
                  <w:noWrap w:val="0"/>
                  <w:vAlign w:val="center"/>
                </w:tcPr>
                <w:p w14:paraId="79628DF2">
                  <w:pPr>
                    <w:keepNext w:val="0"/>
                    <w:keepLines w:val="0"/>
                    <w:widowControl/>
                    <w:suppressLineNumbers w:val="0"/>
                    <w:spacing w:before="0" w:beforeAutospacing="0" w:after="0" w:afterAutospacing="0"/>
                    <w:ind w:left="0" w:right="0"/>
                    <w:jc w:val="center"/>
                    <w:rPr>
                      <w:rFonts w:hint="default" w:cs="Calibri"/>
                      <w:kern w:val="0"/>
                      <w:szCs w:val="21"/>
                      <w:lang w:val="en-US" w:eastAsia="zh-CN"/>
                    </w:rPr>
                  </w:pPr>
                  <w:r>
                    <w:rPr>
                      <w:rFonts w:hint="eastAsia" w:cs="Calibri"/>
                      <w:kern w:val="0"/>
                      <w:szCs w:val="21"/>
                      <w:lang w:val="en-US" w:eastAsia="zh-CN"/>
                    </w:rPr>
                    <w:t>360</w:t>
                  </w:r>
                </w:p>
              </w:tc>
            </w:tr>
          </w:tbl>
          <w:p w14:paraId="58D2CE5A">
            <w:pPr>
              <w:pStyle w:val="9"/>
              <w:keepNext w:val="0"/>
              <w:keepLines w:val="0"/>
              <w:suppressLineNumbers w:val="0"/>
              <w:spacing w:before="0" w:beforeAutospacing="0" w:after="0" w:afterAutospacing="0"/>
              <w:ind w:left="0" w:right="0"/>
              <w:rPr>
                <w:rFonts w:hint="default"/>
                <w:lang w:val="en-US" w:eastAsia="zh-CN"/>
              </w:rPr>
            </w:pPr>
          </w:p>
        </w:tc>
      </w:tr>
      <w:tr w14:paraId="0EF25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242" w:type="pct"/>
            <w:tcBorders>
              <w:bottom w:val="single" w:color="auto" w:sz="8" w:space="0"/>
            </w:tcBorders>
            <w:tcMar>
              <w:left w:w="28" w:type="dxa"/>
              <w:right w:w="28" w:type="dxa"/>
            </w:tcMar>
            <w:vAlign w:val="center"/>
          </w:tcPr>
          <w:p w14:paraId="3E359A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污染</w:t>
            </w:r>
          </w:p>
          <w:p w14:paraId="05C3999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物排</w:t>
            </w:r>
          </w:p>
          <w:p w14:paraId="0106BF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放控</w:t>
            </w:r>
          </w:p>
          <w:p w14:paraId="3B377E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制标</w:t>
            </w:r>
          </w:p>
          <w:p w14:paraId="2C33AE2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准</w:t>
            </w:r>
          </w:p>
        </w:tc>
        <w:tc>
          <w:tcPr>
            <w:tcW w:w="4757" w:type="pct"/>
            <w:tcBorders>
              <w:bottom w:val="single" w:color="auto" w:sz="8" w:space="0"/>
            </w:tcBorders>
          </w:tcPr>
          <w:p w14:paraId="3D324B2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1、废气</w:t>
            </w:r>
          </w:p>
          <w:p w14:paraId="608E3E9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lang w:val="en-US" w:eastAsia="zh-CN" w:bidi="ar"/>
              </w:rPr>
            </w:pPr>
            <w:r>
              <w:rPr>
                <w:rFonts w:hint="eastAsia" w:cs="Times New Roman"/>
                <w:color w:val="auto"/>
                <w:kern w:val="2"/>
                <w:sz w:val="24"/>
                <w:szCs w:val="24"/>
                <w:lang w:val="en-US" w:eastAsia="zh-CN" w:bidi="ar"/>
              </w:rPr>
              <w:t>（1）</w:t>
            </w:r>
            <w:r>
              <w:rPr>
                <w:rFonts w:hint="eastAsia" w:ascii="Times New Roman" w:hAnsi="Times New Roman" w:eastAsia="宋体" w:cs="Times New Roman"/>
                <w:color w:val="auto"/>
                <w:kern w:val="2"/>
                <w:sz w:val="24"/>
                <w:szCs w:val="24"/>
                <w:lang w:val="en-US" w:eastAsia="zh-CN" w:bidi="ar"/>
              </w:rPr>
              <w:t>施工期</w:t>
            </w:r>
          </w:p>
          <w:p w14:paraId="5B31197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废气排放执行《施工场界扬尘排放限值》（DB61/1078-2017）表1规定</w:t>
            </w:r>
            <w:r>
              <w:rPr>
                <w:rFonts w:hint="eastAsia" w:cs="Times New Roman"/>
                <w:color w:val="auto"/>
                <w:kern w:val="2"/>
                <w:sz w:val="24"/>
                <w:szCs w:val="24"/>
                <w:lang w:val="en-US" w:eastAsia="zh-CN" w:bidi="ar"/>
              </w:rPr>
              <w:t>限值详见下表。</w:t>
            </w:r>
          </w:p>
          <w:p w14:paraId="67D89BD5">
            <w:pPr>
              <w:pStyle w:val="9"/>
              <w:keepNext w:val="0"/>
              <w:keepLines w:val="0"/>
              <w:suppressLineNumbers w:val="0"/>
              <w:spacing w:before="0" w:beforeAutospacing="0" w:after="0" w:afterAutospacing="0"/>
              <w:ind w:left="0" w:right="0" w:firstLine="1205" w:firstLineChars="500"/>
              <w:jc w:val="both"/>
              <w:rPr>
                <w:rFonts w:hint="eastAsia"/>
                <w:b/>
                <w:bCs/>
                <w:color w:val="auto"/>
              </w:rPr>
            </w:pPr>
            <w:r>
              <w:rPr>
                <w:rFonts w:hint="eastAsia"/>
                <w:b/>
                <w:bCs/>
                <w:color w:val="auto"/>
              </w:rPr>
              <w:t>表</w:t>
            </w:r>
            <w:r>
              <w:rPr>
                <w:rFonts w:hint="default" w:ascii="Times New Roman" w:hAnsi="Times New Roman" w:cs="Times New Roman"/>
                <w:b/>
                <w:bCs/>
                <w:color w:val="auto"/>
              </w:rPr>
              <w:t>3-</w:t>
            </w:r>
            <w:r>
              <w:rPr>
                <w:rFonts w:hint="eastAsia" w:ascii="Times New Roman" w:hAnsi="Times New Roman" w:cs="Times New Roman"/>
                <w:b/>
                <w:bCs/>
                <w:color w:val="auto"/>
                <w:lang w:val="en-US" w:eastAsia="zh-CN"/>
              </w:rPr>
              <w:t>4</w:t>
            </w:r>
            <w:r>
              <w:rPr>
                <w:rFonts w:hint="default"/>
                <w:b/>
                <w:bCs/>
                <w:color w:val="auto"/>
              </w:rPr>
              <w:t xml:space="preserve"> </w:t>
            </w:r>
            <w:r>
              <w:rPr>
                <w:rFonts w:hint="eastAsia"/>
                <w:b/>
                <w:bCs/>
                <w:color w:val="auto"/>
              </w:rPr>
              <w:t xml:space="preserve"> </w:t>
            </w:r>
            <w:r>
              <w:rPr>
                <w:rFonts w:hint="default"/>
                <w:b/>
                <w:bCs/>
                <w:color w:val="auto"/>
              </w:rPr>
              <w:t xml:space="preserve">     </w:t>
            </w:r>
            <w:r>
              <w:rPr>
                <w:rFonts w:hint="eastAsia"/>
                <w:b/>
                <w:bCs/>
                <w:color w:val="auto"/>
              </w:rPr>
              <w:t>施工期废气排放限值一览表</w:t>
            </w:r>
          </w:p>
          <w:tbl>
            <w:tblPr>
              <w:tblStyle w:val="35"/>
              <w:tblW w:w="8380" w:type="dxa"/>
              <w:tblInd w:w="0" w:type="dxa"/>
              <w:tblLayout w:type="fixed"/>
              <w:tblCellMar>
                <w:top w:w="15" w:type="dxa"/>
                <w:left w:w="15" w:type="dxa"/>
                <w:bottom w:w="15" w:type="dxa"/>
                <w:right w:w="15" w:type="dxa"/>
              </w:tblCellMar>
            </w:tblPr>
            <w:tblGrid>
              <w:gridCol w:w="656"/>
              <w:gridCol w:w="2919"/>
              <w:gridCol w:w="2650"/>
              <w:gridCol w:w="2155"/>
            </w:tblGrid>
            <w:tr w14:paraId="3509E565">
              <w:tblPrEx>
                <w:tblCellMar>
                  <w:top w:w="15" w:type="dxa"/>
                  <w:left w:w="15" w:type="dxa"/>
                  <w:bottom w:w="15" w:type="dxa"/>
                  <w:right w:w="15" w:type="dxa"/>
                </w:tblCellMar>
              </w:tblPrEx>
              <w:trPr>
                <w:trHeight w:val="360"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16F92184">
                  <w:pPr>
                    <w:keepNext w:val="0"/>
                    <w:keepLines w:val="0"/>
                    <w:widowControl/>
                    <w:suppressLineNumbers w:val="0"/>
                    <w:spacing w:before="0" w:beforeAutospacing="0" w:after="0" w:afterAutospacing="0"/>
                    <w:ind w:left="0" w:right="0"/>
                    <w:jc w:val="center"/>
                    <w:rPr>
                      <w:rFonts w:hint="default"/>
                      <w:b/>
                      <w:bCs/>
                      <w:kern w:val="0"/>
                      <w:szCs w:val="21"/>
                    </w:rPr>
                  </w:pPr>
                  <w:r>
                    <w:rPr>
                      <w:rFonts w:hint="default"/>
                      <w:b/>
                      <w:bCs/>
                      <w:kern w:val="0"/>
                      <w:szCs w:val="21"/>
                    </w:rPr>
                    <w:t>序号</w:t>
                  </w:r>
                </w:p>
              </w:tc>
              <w:tc>
                <w:tcPr>
                  <w:tcW w:w="2919" w:type="dxa"/>
                  <w:tcBorders>
                    <w:top w:val="single" w:color="000000" w:sz="4" w:space="0"/>
                    <w:left w:val="single" w:color="000000" w:sz="4" w:space="0"/>
                    <w:bottom w:val="single" w:color="000000" w:sz="4" w:space="0"/>
                    <w:right w:val="single" w:color="000000" w:sz="4" w:space="0"/>
                  </w:tcBorders>
                  <w:noWrap w:val="0"/>
                  <w:vAlign w:val="center"/>
                </w:tcPr>
                <w:p w14:paraId="0BC6570F">
                  <w:pPr>
                    <w:keepNext w:val="0"/>
                    <w:keepLines w:val="0"/>
                    <w:widowControl/>
                    <w:suppressLineNumbers w:val="0"/>
                    <w:spacing w:before="0" w:beforeAutospacing="0" w:after="0" w:afterAutospacing="0"/>
                    <w:ind w:left="0" w:right="0"/>
                    <w:jc w:val="center"/>
                    <w:rPr>
                      <w:rFonts w:hint="default"/>
                      <w:b/>
                      <w:bCs/>
                      <w:kern w:val="0"/>
                      <w:szCs w:val="21"/>
                    </w:rPr>
                  </w:pPr>
                  <w:r>
                    <w:rPr>
                      <w:rFonts w:hint="default"/>
                      <w:b/>
                      <w:bCs/>
                      <w:kern w:val="0"/>
                      <w:szCs w:val="21"/>
                    </w:rPr>
                    <w:t>控制项目</w:t>
                  </w:r>
                </w:p>
              </w:tc>
              <w:tc>
                <w:tcPr>
                  <w:tcW w:w="2650" w:type="dxa"/>
                  <w:tcBorders>
                    <w:top w:val="single" w:color="000000" w:sz="4" w:space="0"/>
                    <w:left w:val="single" w:color="000000" w:sz="4" w:space="0"/>
                    <w:bottom w:val="single" w:color="000000" w:sz="4" w:space="0"/>
                    <w:right w:val="single" w:color="000000" w:sz="4" w:space="0"/>
                  </w:tcBorders>
                  <w:noWrap w:val="0"/>
                  <w:vAlign w:val="center"/>
                </w:tcPr>
                <w:p w14:paraId="69A38E73">
                  <w:pPr>
                    <w:keepNext w:val="0"/>
                    <w:keepLines w:val="0"/>
                    <w:widowControl/>
                    <w:suppressLineNumbers w:val="0"/>
                    <w:spacing w:before="0" w:beforeAutospacing="0" w:after="0" w:afterAutospacing="0"/>
                    <w:ind w:left="0" w:right="0"/>
                    <w:jc w:val="center"/>
                    <w:rPr>
                      <w:rFonts w:hint="default"/>
                      <w:b/>
                      <w:bCs/>
                      <w:kern w:val="0"/>
                      <w:szCs w:val="21"/>
                    </w:rPr>
                  </w:pPr>
                  <w:r>
                    <w:rPr>
                      <w:rFonts w:hint="default"/>
                      <w:b/>
                      <w:bCs/>
                      <w:kern w:val="0"/>
                      <w:szCs w:val="21"/>
                    </w:rPr>
                    <w:t>最高允许排放浓度</w:t>
                  </w:r>
                </w:p>
              </w:tc>
              <w:tc>
                <w:tcPr>
                  <w:tcW w:w="2155" w:type="dxa"/>
                  <w:tcBorders>
                    <w:top w:val="single" w:color="000000" w:sz="4" w:space="0"/>
                    <w:left w:val="single" w:color="000000" w:sz="4" w:space="0"/>
                    <w:bottom w:val="single" w:color="000000" w:sz="4" w:space="0"/>
                    <w:right w:val="single" w:color="000000" w:sz="4" w:space="0"/>
                  </w:tcBorders>
                  <w:noWrap w:val="0"/>
                  <w:vAlign w:val="center"/>
                </w:tcPr>
                <w:p w14:paraId="1A65CC5E">
                  <w:pPr>
                    <w:keepNext w:val="0"/>
                    <w:keepLines w:val="0"/>
                    <w:widowControl/>
                    <w:suppressLineNumbers w:val="0"/>
                    <w:spacing w:before="0" w:beforeAutospacing="0" w:after="0" w:afterAutospacing="0"/>
                    <w:ind w:left="0" w:right="0"/>
                    <w:jc w:val="center"/>
                    <w:rPr>
                      <w:rFonts w:hint="default"/>
                      <w:b/>
                      <w:bCs/>
                      <w:kern w:val="0"/>
                      <w:szCs w:val="21"/>
                    </w:rPr>
                  </w:pPr>
                  <w:r>
                    <w:rPr>
                      <w:rFonts w:hint="default"/>
                      <w:b/>
                      <w:bCs/>
                      <w:kern w:val="0"/>
                      <w:szCs w:val="21"/>
                    </w:rPr>
                    <w:t>执行标准</w:t>
                  </w:r>
                </w:p>
              </w:tc>
            </w:tr>
            <w:tr w14:paraId="5DFA5AF7">
              <w:tblPrEx>
                <w:tblCellMar>
                  <w:top w:w="15" w:type="dxa"/>
                  <w:left w:w="15" w:type="dxa"/>
                  <w:bottom w:w="15" w:type="dxa"/>
                  <w:right w:w="15" w:type="dxa"/>
                </w:tblCellMar>
              </w:tblPrEx>
              <w:trPr>
                <w:trHeight w:val="64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4F292708">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w:t>
                  </w:r>
                </w:p>
              </w:tc>
              <w:tc>
                <w:tcPr>
                  <w:tcW w:w="2919" w:type="dxa"/>
                  <w:tcBorders>
                    <w:top w:val="single" w:color="000000" w:sz="4" w:space="0"/>
                    <w:left w:val="single" w:color="000000" w:sz="4" w:space="0"/>
                    <w:bottom w:val="single" w:color="000000" w:sz="4" w:space="0"/>
                    <w:right w:val="single" w:color="000000" w:sz="4" w:space="0"/>
                  </w:tcBorders>
                  <w:noWrap w:val="0"/>
                  <w:vAlign w:val="center"/>
                </w:tcPr>
                <w:p w14:paraId="56DDD3FB">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拆除、土方及地基处理颗粒物</w:t>
                  </w:r>
                </w:p>
              </w:tc>
              <w:tc>
                <w:tcPr>
                  <w:tcW w:w="2650" w:type="dxa"/>
                  <w:tcBorders>
                    <w:top w:val="single" w:color="000000" w:sz="4" w:space="0"/>
                    <w:left w:val="single" w:color="000000" w:sz="4" w:space="0"/>
                    <w:bottom w:val="single" w:color="000000" w:sz="4" w:space="0"/>
                    <w:right w:val="single" w:color="000000" w:sz="4" w:space="0"/>
                  </w:tcBorders>
                  <w:noWrap w:val="0"/>
                  <w:vAlign w:val="center"/>
                </w:tcPr>
                <w:p w14:paraId="5BCFDE79">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1h平均浓度限值≤0.8mg/m</w:t>
                  </w:r>
                  <w:r>
                    <w:rPr>
                      <w:rFonts w:hint="default"/>
                      <w:kern w:val="0"/>
                      <w:szCs w:val="21"/>
                      <w:vertAlign w:val="superscript"/>
                    </w:rPr>
                    <w:t>3</w:t>
                  </w:r>
                </w:p>
              </w:tc>
              <w:tc>
                <w:tcPr>
                  <w:tcW w:w="2155" w:type="dxa"/>
                  <w:vMerge w:val="restart"/>
                  <w:tcBorders>
                    <w:top w:val="single" w:color="000000" w:sz="4" w:space="0"/>
                    <w:left w:val="single" w:color="000000" w:sz="4" w:space="0"/>
                    <w:bottom w:val="single" w:color="000000" w:sz="4" w:space="0"/>
                    <w:right w:val="single" w:color="000000" w:sz="4" w:space="0"/>
                  </w:tcBorders>
                  <w:noWrap w:val="0"/>
                  <w:vAlign w:val="center"/>
                </w:tcPr>
                <w:p w14:paraId="14FA3486">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《施工场界扬尘排放限值》</w:t>
                  </w:r>
                </w:p>
                <w:p w14:paraId="24F2E09B">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（DB61/1078-2017）</w:t>
                  </w:r>
                </w:p>
              </w:tc>
            </w:tr>
            <w:tr w14:paraId="02901365">
              <w:tblPrEx>
                <w:tblCellMar>
                  <w:top w:w="15" w:type="dxa"/>
                  <w:left w:w="15" w:type="dxa"/>
                  <w:bottom w:w="15" w:type="dxa"/>
                  <w:right w:w="15" w:type="dxa"/>
                </w:tblCellMar>
              </w:tblPrEx>
              <w:trPr>
                <w:trHeight w:val="61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0DC6A511">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2</w:t>
                  </w:r>
                </w:p>
              </w:tc>
              <w:tc>
                <w:tcPr>
                  <w:tcW w:w="2919" w:type="dxa"/>
                  <w:tcBorders>
                    <w:top w:val="single" w:color="000000" w:sz="4" w:space="0"/>
                    <w:left w:val="single" w:color="000000" w:sz="4" w:space="0"/>
                    <w:bottom w:val="single" w:color="000000" w:sz="4" w:space="0"/>
                    <w:right w:val="single" w:color="000000" w:sz="4" w:space="0"/>
                  </w:tcBorders>
                  <w:noWrap w:val="0"/>
                  <w:vAlign w:val="center"/>
                </w:tcPr>
                <w:p w14:paraId="28FE0824">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基础、主体结构及装饰工程颗粒物</w:t>
                  </w:r>
                </w:p>
              </w:tc>
              <w:tc>
                <w:tcPr>
                  <w:tcW w:w="2650" w:type="dxa"/>
                  <w:tcBorders>
                    <w:top w:val="single" w:color="000000" w:sz="4" w:space="0"/>
                    <w:left w:val="single" w:color="000000" w:sz="4" w:space="0"/>
                    <w:bottom w:val="single" w:color="000000" w:sz="4" w:space="0"/>
                    <w:right w:val="single" w:color="000000" w:sz="4" w:space="0"/>
                  </w:tcBorders>
                  <w:noWrap w:val="0"/>
                  <w:vAlign w:val="center"/>
                </w:tcPr>
                <w:p w14:paraId="67B2B66E">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1h平均浓度限值&lt;0.7mg/m</w:t>
                  </w:r>
                  <w:r>
                    <w:rPr>
                      <w:rFonts w:hint="default"/>
                      <w:kern w:val="0"/>
                      <w:szCs w:val="21"/>
                      <w:vertAlign w:val="superscript"/>
                    </w:rPr>
                    <w:t>3</w:t>
                  </w:r>
                </w:p>
              </w:tc>
              <w:tc>
                <w:tcPr>
                  <w:tcW w:w="21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1A247">
                  <w:pPr>
                    <w:keepNext w:val="0"/>
                    <w:keepLines w:val="0"/>
                    <w:widowControl/>
                    <w:suppressLineNumbers w:val="0"/>
                    <w:spacing w:before="0" w:beforeAutospacing="0" w:after="0" w:afterAutospacing="0"/>
                    <w:ind w:left="0" w:right="0"/>
                    <w:jc w:val="center"/>
                    <w:rPr>
                      <w:rFonts w:hint="default"/>
                      <w:kern w:val="0"/>
                      <w:szCs w:val="21"/>
                    </w:rPr>
                  </w:pPr>
                </w:p>
              </w:tc>
            </w:tr>
          </w:tbl>
          <w:p w14:paraId="3408E8D1">
            <w:pPr>
              <w:keepNext w:val="0"/>
              <w:keepLines w:val="0"/>
              <w:pageBreakBefore w:val="0"/>
              <w:widowControl w:val="0"/>
              <w:numPr>
                <w:ilvl w:val="0"/>
                <w:numId w:val="10"/>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运营期</w:t>
            </w:r>
          </w:p>
          <w:p w14:paraId="0F52652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①</w:t>
            </w:r>
            <w:r>
              <w:rPr>
                <w:rFonts w:hint="eastAsia" w:ascii="Times New Roman" w:hAnsi="Times New Roman" w:eastAsia="宋体" w:cs="Times New Roman"/>
                <w:color w:val="auto"/>
                <w:kern w:val="2"/>
                <w:sz w:val="24"/>
                <w:szCs w:val="24"/>
                <w:lang w:val="en-US" w:eastAsia="zh-CN" w:bidi="ar"/>
              </w:rPr>
              <w:t>焊接废气排放标准</w:t>
            </w:r>
          </w:p>
          <w:p w14:paraId="54C4375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本项目焊接废气排放执行《大气污染物综合排放标准》（GB16297-1996）新污染源中的二级标准，具体标准值见下表。</w:t>
            </w:r>
          </w:p>
          <w:p w14:paraId="63181529">
            <w:pPr>
              <w:pStyle w:val="9"/>
              <w:keepNext w:val="0"/>
              <w:keepLines w:val="0"/>
              <w:suppressLineNumbers w:val="0"/>
              <w:spacing w:before="0" w:beforeAutospacing="0" w:after="0" w:afterAutospacing="0"/>
              <w:ind w:left="0" w:right="0" w:firstLine="1928" w:firstLineChars="800"/>
              <w:jc w:val="both"/>
              <w:rPr>
                <w:rFonts w:hint="eastAsia"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表3-5    大气污染物综合排放标准</w:t>
            </w:r>
          </w:p>
          <w:tbl>
            <w:tblPr>
              <w:tblStyle w:val="63"/>
              <w:tblW w:w="8198"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5"/>
              <w:gridCol w:w="1664"/>
              <w:gridCol w:w="3126"/>
              <w:gridCol w:w="1203"/>
            </w:tblGrid>
            <w:tr w14:paraId="225BD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2205" w:type="dxa"/>
                  <w:vMerge w:val="restart"/>
                  <w:tcBorders>
                    <w:bottom w:val="nil"/>
                  </w:tcBorders>
                  <w:vAlign w:val="top"/>
                </w:tcPr>
                <w:p w14:paraId="2AA05783">
                  <w:pPr>
                    <w:pStyle w:val="69"/>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污染物项目</w:t>
                  </w:r>
                </w:p>
              </w:tc>
              <w:tc>
                <w:tcPr>
                  <w:tcW w:w="1664" w:type="dxa"/>
                  <w:vMerge w:val="restart"/>
                  <w:tcBorders>
                    <w:bottom w:val="nil"/>
                  </w:tcBorders>
                  <w:vAlign w:val="top"/>
                </w:tcPr>
                <w:p w14:paraId="5117BBBF">
                  <w:pPr>
                    <w:pStyle w:val="69"/>
                    <w:keepNext w:val="0"/>
                    <w:keepLines w:val="0"/>
                    <w:pageBreakBefore w:val="0"/>
                    <w:widowControl w:val="0"/>
                    <w:kinsoku/>
                    <w:wordWrap/>
                    <w:overflowPunct/>
                    <w:topLinePunct w:val="0"/>
                    <w:autoSpaceDE/>
                    <w:autoSpaceDN/>
                    <w:bidi w:val="0"/>
                    <w:adjustRightInd/>
                    <w:snapToGrid/>
                    <w:spacing w:line="360" w:lineRule="exact"/>
                    <w:ind w:left="0" w:right="0" w:hanging="57"/>
                    <w:jc w:val="center"/>
                    <w:textAlignment w:val="auto"/>
                    <w:rPr>
                      <w:rFonts w:hint="default" w:ascii="Times New Roman" w:hAnsi="Times New Roman" w:eastAsia="Times New Roman" w:cs="Times New Roman"/>
                      <w:b/>
                      <w:bCs/>
                      <w:sz w:val="21"/>
                      <w:szCs w:val="21"/>
                    </w:rPr>
                  </w:pPr>
                  <w:r>
                    <w:rPr>
                      <w:rFonts w:hint="default" w:ascii="Times New Roman" w:hAnsi="Times New Roman" w:cs="Times New Roman"/>
                      <w:b/>
                      <w:bCs/>
                      <w:spacing w:val="-2"/>
                      <w:sz w:val="21"/>
                      <w:szCs w:val="21"/>
                    </w:rPr>
                    <w:t>最高允许排放</w:t>
                  </w:r>
                  <w:r>
                    <w:rPr>
                      <w:rFonts w:hint="default" w:ascii="Times New Roman" w:hAnsi="Times New Roman" w:cs="Times New Roman"/>
                      <w:b/>
                      <w:bCs/>
                      <w:spacing w:val="-1"/>
                      <w:sz w:val="21"/>
                      <w:szCs w:val="21"/>
                    </w:rPr>
                    <w:t>浓度</w:t>
                  </w:r>
                  <w:r>
                    <w:rPr>
                      <w:rFonts w:hint="default" w:ascii="Times New Roman" w:hAnsi="Times New Roman" w:eastAsia="Times New Roman" w:cs="Times New Roman"/>
                      <w:b/>
                      <w:bCs/>
                      <w:spacing w:val="-1"/>
                      <w:sz w:val="21"/>
                      <w:szCs w:val="21"/>
                    </w:rPr>
                    <w:t>(mg/</w:t>
                  </w:r>
                  <w:r>
                    <w:rPr>
                      <w:rFonts w:hint="default" w:ascii="Times New Roman" w:hAnsi="Times New Roman" w:cs="Times New Roman"/>
                      <w:b/>
                      <w:bCs/>
                      <w:kern w:val="0"/>
                      <w:sz w:val="21"/>
                      <w:szCs w:val="22"/>
                    </w:rPr>
                    <w:t>m</w:t>
                  </w:r>
                  <w:r>
                    <w:rPr>
                      <w:rFonts w:hint="default" w:ascii="Times New Roman" w:hAnsi="Times New Roman" w:cs="Times New Roman"/>
                      <w:b/>
                      <w:bCs/>
                      <w:kern w:val="0"/>
                      <w:sz w:val="21"/>
                      <w:szCs w:val="22"/>
                      <w:vertAlign w:val="superscript"/>
                    </w:rPr>
                    <w:t>3</w:t>
                  </w:r>
                  <w:r>
                    <w:rPr>
                      <w:rFonts w:hint="default" w:ascii="Times New Roman" w:hAnsi="Times New Roman" w:eastAsia="Times New Roman" w:cs="Times New Roman"/>
                      <w:b/>
                      <w:bCs/>
                      <w:spacing w:val="-1"/>
                      <w:sz w:val="21"/>
                      <w:szCs w:val="21"/>
                    </w:rPr>
                    <w:t>)</w:t>
                  </w:r>
                </w:p>
              </w:tc>
              <w:tc>
                <w:tcPr>
                  <w:tcW w:w="4329" w:type="dxa"/>
                  <w:gridSpan w:val="2"/>
                  <w:vAlign w:val="top"/>
                </w:tcPr>
                <w:p w14:paraId="11EDF92C">
                  <w:pPr>
                    <w:pStyle w:val="69"/>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position w:val="2"/>
                      <w:sz w:val="21"/>
                      <w:szCs w:val="21"/>
                    </w:rPr>
                    <w:t>最高允许排放速率（</w:t>
                  </w:r>
                  <w:r>
                    <w:rPr>
                      <w:rFonts w:hint="default" w:ascii="Times New Roman" w:hAnsi="Times New Roman" w:eastAsia="Times New Roman" w:cs="Times New Roman"/>
                      <w:b/>
                      <w:bCs/>
                      <w:spacing w:val="-5"/>
                      <w:position w:val="2"/>
                      <w:sz w:val="21"/>
                      <w:szCs w:val="21"/>
                    </w:rPr>
                    <w:t>kg/h</w:t>
                  </w:r>
                  <w:r>
                    <w:rPr>
                      <w:rFonts w:hint="default" w:ascii="Times New Roman" w:hAnsi="Times New Roman" w:cs="Times New Roman"/>
                      <w:b/>
                      <w:bCs/>
                      <w:spacing w:val="-5"/>
                      <w:position w:val="2"/>
                      <w:sz w:val="21"/>
                      <w:szCs w:val="21"/>
                    </w:rPr>
                    <w:t>）</w:t>
                  </w:r>
                </w:p>
              </w:tc>
            </w:tr>
            <w:tr w14:paraId="7A57C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205" w:type="dxa"/>
                  <w:vMerge w:val="continue"/>
                  <w:tcBorders>
                    <w:top w:val="nil"/>
                  </w:tcBorders>
                  <w:vAlign w:val="top"/>
                </w:tcPr>
                <w:p w14:paraId="2A59BAB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p>
              </w:tc>
              <w:tc>
                <w:tcPr>
                  <w:tcW w:w="1664" w:type="dxa"/>
                  <w:vMerge w:val="continue"/>
                  <w:tcBorders>
                    <w:top w:val="nil"/>
                  </w:tcBorders>
                  <w:vAlign w:val="top"/>
                </w:tcPr>
                <w:p w14:paraId="5F0B351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p>
              </w:tc>
              <w:tc>
                <w:tcPr>
                  <w:tcW w:w="3126" w:type="dxa"/>
                  <w:vAlign w:val="top"/>
                </w:tcPr>
                <w:p w14:paraId="764AA593">
                  <w:pPr>
                    <w:pStyle w:val="69"/>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9"/>
                      <w:sz w:val="21"/>
                      <w:szCs w:val="21"/>
                    </w:rPr>
                    <w:t>排气筒高度（</w:t>
                  </w:r>
                  <w:r>
                    <w:rPr>
                      <w:rFonts w:hint="default" w:ascii="Times New Roman" w:hAnsi="Times New Roman" w:eastAsia="Times New Roman" w:cs="Times New Roman"/>
                      <w:b/>
                      <w:bCs/>
                      <w:spacing w:val="-9"/>
                      <w:sz w:val="21"/>
                      <w:szCs w:val="21"/>
                    </w:rPr>
                    <w:t>m</w:t>
                  </w:r>
                  <w:r>
                    <w:rPr>
                      <w:rFonts w:hint="default" w:ascii="Times New Roman" w:hAnsi="Times New Roman" w:cs="Times New Roman"/>
                      <w:b/>
                      <w:bCs/>
                      <w:spacing w:val="-9"/>
                      <w:sz w:val="21"/>
                      <w:szCs w:val="21"/>
                    </w:rPr>
                    <w:t>）</w:t>
                  </w:r>
                </w:p>
              </w:tc>
              <w:tc>
                <w:tcPr>
                  <w:tcW w:w="1203" w:type="dxa"/>
                  <w:vAlign w:val="top"/>
                </w:tcPr>
                <w:p w14:paraId="7DDA786E">
                  <w:pPr>
                    <w:pStyle w:val="69"/>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sz w:val="21"/>
                      <w:szCs w:val="21"/>
                    </w:rPr>
                    <w:t>二级</w:t>
                  </w:r>
                </w:p>
              </w:tc>
            </w:tr>
            <w:tr w14:paraId="2955F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205" w:type="dxa"/>
                  <w:vAlign w:val="top"/>
                </w:tcPr>
                <w:p w14:paraId="7A3F2642">
                  <w:pPr>
                    <w:pStyle w:val="69"/>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颗粒物</w:t>
                  </w:r>
                </w:p>
              </w:tc>
              <w:tc>
                <w:tcPr>
                  <w:tcW w:w="1664" w:type="dxa"/>
                  <w:vAlign w:val="top"/>
                </w:tcPr>
                <w:p w14:paraId="79F9400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7"/>
                      <w:sz w:val="21"/>
                      <w:szCs w:val="21"/>
                    </w:rPr>
                    <w:t>120</w:t>
                  </w:r>
                </w:p>
              </w:tc>
              <w:tc>
                <w:tcPr>
                  <w:tcW w:w="3126" w:type="dxa"/>
                  <w:vAlign w:val="top"/>
                </w:tcPr>
                <w:p w14:paraId="2973E2E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10"/>
                      <w:sz w:val="21"/>
                      <w:szCs w:val="21"/>
                      <w:lang w:val="en-US" w:eastAsia="zh-CN"/>
                    </w:rPr>
                    <w:t>30</w:t>
                  </w:r>
                </w:p>
              </w:tc>
              <w:tc>
                <w:tcPr>
                  <w:tcW w:w="1203" w:type="dxa"/>
                  <w:vAlign w:val="top"/>
                </w:tcPr>
                <w:p w14:paraId="6FDB9D2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2"/>
                      <w:sz w:val="21"/>
                      <w:szCs w:val="21"/>
                      <w:lang w:val="en-US" w:eastAsia="zh-CN"/>
                    </w:rPr>
                    <w:t>23</w:t>
                  </w:r>
                </w:p>
              </w:tc>
            </w:tr>
            <w:tr w14:paraId="0045C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205" w:type="dxa"/>
                  <w:vAlign w:val="top"/>
                </w:tcPr>
                <w:p w14:paraId="6CAECD40">
                  <w:pPr>
                    <w:pStyle w:val="69"/>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非甲烷总烃</w:t>
                  </w:r>
                </w:p>
              </w:tc>
              <w:tc>
                <w:tcPr>
                  <w:tcW w:w="1664" w:type="dxa"/>
                  <w:vAlign w:val="top"/>
                </w:tcPr>
                <w:p w14:paraId="743A187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7"/>
                      <w:sz w:val="21"/>
                      <w:szCs w:val="21"/>
                    </w:rPr>
                    <w:t>120</w:t>
                  </w:r>
                </w:p>
              </w:tc>
              <w:tc>
                <w:tcPr>
                  <w:tcW w:w="3126" w:type="dxa"/>
                  <w:vAlign w:val="top"/>
                </w:tcPr>
                <w:p w14:paraId="46EC29AC">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10"/>
                      <w:sz w:val="21"/>
                      <w:szCs w:val="21"/>
                      <w:lang w:val="en-US" w:eastAsia="zh-CN"/>
                    </w:rPr>
                    <w:t>30</w:t>
                  </w:r>
                </w:p>
              </w:tc>
              <w:tc>
                <w:tcPr>
                  <w:tcW w:w="1203" w:type="dxa"/>
                  <w:vAlign w:val="top"/>
                </w:tcPr>
                <w:p w14:paraId="7F2A744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10"/>
                      <w:sz w:val="21"/>
                      <w:szCs w:val="21"/>
                      <w:lang w:val="en-US" w:eastAsia="zh-CN"/>
                    </w:rPr>
                    <w:t>53</w:t>
                  </w:r>
                </w:p>
              </w:tc>
            </w:tr>
          </w:tbl>
          <w:p w14:paraId="25B1ED9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②注塑废气</w:t>
            </w:r>
            <w:r>
              <w:rPr>
                <w:rFonts w:hint="eastAsia" w:cs="Times New Roman"/>
                <w:color w:val="auto"/>
                <w:kern w:val="2"/>
                <w:sz w:val="24"/>
                <w:szCs w:val="24"/>
                <w:lang w:val="en-US" w:eastAsia="zh-CN" w:bidi="ar"/>
              </w:rPr>
              <w:t>、点胶固化废气、破碎粉尘</w:t>
            </w:r>
            <w:r>
              <w:rPr>
                <w:rFonts w:hint="default" w:ascii="Times New Roman" w:hAnsi="Times New Roman" w:eastAsia="宋体" w:cs="Times New Roman"/>
                <w:color w:val="auto"/>
                <w:kern w:val="2"/>
                <w:sz w:val="24"/>
                <w:szCs w:val="24"/>
                <w:lang w:val="en-US" w:eastAsia="zh-CN" w:bidi="ar"/>
              </w:rPr>
              <w:t>排放标准</w:t>
            </w:r>
          </w:p>
          <w:p w14:paraId="449B2E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本项目注塑废气污染物</w:t>
            </w:r>
            <w:r>
              <w:rPr>
                <w:rFonts w:hint="eastAsia" w:cs="Times New Roman"/>
                <w:color w:val="auto"/>
                <w:kern w:val="2"/>
                <w:sz w:val="24"/>
                <w:szCs w:val="24"/>
                <w:lang w:val="en-US" w:eastAsia="zh-CN" w:bidi="ar"/>
              </w:rPr>
              <w:t>非甲烷总烃、破碎粉尘</w:t>
            </w:r>
            <w:r>
              <w:rPr>
                <w:rFonts w:hint="default" w:ascii="Times New Roman" w:hAnsi="Times New Roman" w:eastAsia="宋体" w:cs="Times New Roman"/>
                <w:color w:val="auto"/>
                <w:kern w:val="2"/>
                <w:sz w:val="24"/>
                <w:szCs w:val="24"/>
                <w:lang w:val="en-US" w:eastAsia="zh-CN" w:bidi="ar"/>
              </w:rPr>
              <w:t>排放执行《合成树脂工业污染物排放标准》（GB31572-2015）</w:t>
            </w:r>
            <w:r>
              <w:rPr>
                <w:rFonts w:hint="eastAsia" w:cs="Times New Roman"/>
                <w:color w:val="auto"/>
                <w:kern w:val="2"/>
                <w:sz w:val="24"/>
                <w:szCs w:val="24"/>
                <w:lang w:val="en-US" w:eastAsia="zh-CN" w:bidi="ar"/>
              </w:rPr>
              <w:t>及2024修改单</w:t>
            </w:r>
            <w:r>
              <w:rPr>
                <w:rFonts w:hint="default" w:ascii="Times New Roman" w:hAnsi="Times New Roman" w:eastAsia="宋体" w:cs="Times New Roman"/>
                <w:color w:val="auto"/>
                <w:kern w:val="2"/>
                <w:sz w:val="24"/>
                <w:szCs w:val="24"/>
                <w:lang w:val="en-US" w:eastAsia="zh-CN" w:bidi="ar"/>
              </w:rPr>
              <w:t>中的表</w:t>
            </w:r>
            <w:r>
              <w:rPr>
                <w:rFonts w:hint="eastAsia" w:cs="Times New Roman"/>
                <w:color w:val="auto"/>
                <w:kern w:val="2"/>
                <w:sz w:val="24"/>
                <w:szCs w:val="24"/>
                <w:lang w:val="en-US" w:eastAsia="zh-CN" w:bidi="ar"/>
              </w:rPr>
              <w:t>4</w:t>
            </w:r>
            <w:r>
              <w:rPr>
                <w:rFonts w:hint="default" w:ascii="Times New Roman" w:hAnsi="Times New Roman" w:eastAsia="宋体" w:cs="Times New Roman"/>
                <w:color w:val="auto"/>
                <w:kern w:val="2"/>
                <w:sz w:val="24"/>
                <w:szCs w:val="24"/>
                <w:lang w:val="en-US" w:eastAsia="zh-CN" w:bidi="ar"/>
              </w:rPr>
              <w:t>大气污染物排放限值，</w:t>
            </w:r>
            <w:r>
              <w:rPr>
                <w:rFonts w:hint="eastAsia" w:cs="Times New Roman"/>
                <w:color w:val="auto"/>
                <w:kern w:val="2"/>
                <w:sz w:val="24"/>
                <w:szCs w:val="24"/>
                <w:lang w:val="en-US" w:eastAsia="zh-CN" w:bidi="ar"/>
              </w:rPr>
              <w:t>点胶固化无组织非甲烷总烃及无组织粉尘排放标</w:t>
            </w:r>
            <w:r>
              <w:rPr>
                <w:rFonts w:hint="default" w:ascii="Times New Roman" w:hAnsi="Times New Roman" w:eastAsia="宋体" w:cs="Times New Roman"/>
                <w:color w:val="auto"/>
                <w:kern w:val="2"/>
                <w:sz w:val="24"/>
                <w:szCs w:val="24"/>
                <w:lang w:val="en-US" w:eastAsia="zh-CN" w:bidi="ar"/>
              </w:rPr>
              <w:t>准执行《合成树脂工业污染物排放标准》表9规定的限值，具体标准见表3-</w:t>
            </w:r>
            <w:r>
              <w:rPr>
                <w:rFonts w:hint="eastAsia" w:cs="Times New Roman"/>
                <w:color w:val="auto"/>
                <w:kern w:val="2"/>
                <w:sz w:val="24"/>
                <w:szCs w:val="24"/>
                <w:lang w:val="en-US" w:eastAsia="zh-CN" w:bidi="ar"/>
              </w:rPr>
              <w:t>6</w:t>
            </w:r>
            <w:r>
              <w:rPr>
                <w:rFonts w:hint="default" w:ascii="Times New Roman" w:hAnsi="Times New Roman" w:eastAsia="宋体" w:cs="Times New Roman"/>
                <w:color w:val="auto"/>
                <w:kern w:val="2"/>
                <w:sz w:val="24"/>
                <w:szCs w:val="24"/>
                <w:lang w:val="en-US" w:eastAsia="zh-CN" w:bidi="ar"/>
              </w:rPr>
              <w:t>、表3-</w:t>
            </w:r>
            <w:r>
              <w:rPr>
                <w:rFonts w:hint="eastAsia" w:cs="Times New Roman"/>
                <w:color w:val="auto"/>
                <w:kern w:val="2"/>
                <w:sz w:val="24"/>
                <w:szCs w:val="24"/>
                <w:lang w:val="en-US" w:eastAsia="zh-CN" w:bidi="ar"/>
              </w:rPr>
              <w:t>7</w:t>
            </w:r>
            <w:r>
              <w:rPr>
                <w:rFonts w:hint="default" w:ascii="Times New Roman" w:hAnsi="Times New Roman" w:eastAsia="宋体" w:cs="Times New Roman"/>
                <w:color w:val="auto"/>
                <w:kern w:val="2"/>
                <w:sz w:val="24"/>
                <w:szCs w:val="24"/>
                <w:lang w:val="en-US" w:eastAsia="zh-CN" w:bidi="ar"/>
              </w:rPr>
              <w:t>。</w:t>
            </w:r>
          </w:p>
          <w:p w14:paraId="3E1DB5FF">
            <w:pPr>
              <w:pStyle w:val="9"/>
              <w:keepNext w:val="0"/>
              <w:keepLines w:val="0"/>
              <w:suppressLineNumbers w:val="0"/>
              <w:spacing w:before="0" w:beforeAutospacing="0" w:after="0" w:afterAutospacing="0"/>
              <w:ind w:left="0" w:right="0" w:firstLine="632" w:firstLineChars="300"/>
              <w:jc w:val="both"/>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表3-</w:t>
            </w:r>
            <w:r>
              <w:rPr>
                <w:rFonts w:hint="eastAsia" w:ascii="Times New Roman" w:hAnsi="Times New Roman" w:eastAsia="宋体" w:cs="Times New Roman"/>
                <w:b/>
                <w:bCs/>
                <w:color w:val="auto"/>
                <w:kern w:val="2"/>
                <w:sz w:val="21"/>
                <w:szCs w:val="21"/>
                <w:lang w:val="en-US" w:eastAsia="zh-CN" w:bidi="ar"/>
              </w:rPr>
              <w:t>6</w:t>
            </w:r>
            <w:r>
              <w:rPr>
                <w:rFonts w:hint="default" w:ascii="Times New Roman" w:hAnsi="Times New Roman" w:eastAsia="宋体" w:cs="Times New Roman"/>
                <w:b/>
                <w:bCs/>
                <w:color w:val="auto"/>
                <w:kern w:val="2"/>
                <w:sz w:val="21"/>
                <w:szCs w:val="21"/>
                <w:lang w:val="en-US" w:eastAsia="zh-CN" w:bidi="ar"/>
              </w:rPr>
              <w:t xml:space="preserve">   《合成树脂工业污染物排放标准》（GB31572-2015）</w:t>
            </w:r>
            <w:r>
              <w:rPr>
                <w:rFonts w:hint="eastAsia" w:ascii="Times New Roman" w:hAnsi="Times New Roman" w:eastAsia="宋体" w:cs="Times New Roman"/>
                <w:b/>
                <w:bCs/>
                <w:color w:val="auto"/>
                <w:kern w:val="2"/>
                <w:sz w:val="21"/>
                <w:szCs w:val="21"/>
                <w:lang w:val="en-US" w:eastAsia="zh-CN" w:bidi="ar"/>
              </w:rPr>
              <w:t>及2024年修改单</w:t>
            </w:r>
          </w:p>
          <w:tbl>
            <w:tblPr>
              <w:tblStyle w:val="63"/>
              <w:tblW w:w="8415"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1412"/>
              <w:gridCol w:w="1396"/>
              <w:gridCol w:w="3467"/>
              <w:gridCol w:w="1550"/>
            </w:tblGrid>
            <w:tr w14:paraId="755B2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90" w:type="dxa"/>
                  <w:vAlign w:val="center"/>
                </w:tcPr>
                <w:p w14:paraId="703F61A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序号</w:t>
                  </w:r>
                </w:p>
              </w:tc>
              <w:tc>
                <w:tcPr>
                  <w:tcW w:w="1412" w:type="dxa"/>
                  <w:vAlign w:val="center"/>
                </w:tcPr>
                <w:p w14:paraId="4118FC4F">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污染物</w:t>
                  </w:r>
                </w:p>
              </w:tc>
              <w:tc>
                <w:tcPr>
                  <w:tcW w:w="1396" w:type="dxa"/>
                  <w:vAlign w:val="center"/>
                </w:tcPr>
                <w:p w14:paraId="238CBEDD">
                  <w:pPr>
                    <w:pStyle w:val="69"/>
                    <w:keepNext w:val="0"/>
                    <w:keepLines w:val="0"/>
                    <w:pageBreakBefore w:val="0"/>
                    <w:widowControl w:val="0"/>
                    <w:kinsoku/>
                    <w:wordWrap/>
                    <w:overflowPunct/>
                    <w:topLinePunct w:val="0"/>
                    <w:autoSpaceDE/>
                    <w:autoSpaceDN/>
                    <w:bidi w:val="0"/>
                    <w:adjustRightInd/>
                    <w:snapToGrid/>
                    <w:spacing w:line="240" w:lineRule="auto"/>
                    <w:ind w:left="0" w:right="0" w:firstLine="45"/>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排放限值</w:t>
                  </w:r>
                  <w:r>
                    <w:rPr>
                      <w:rFonts w:hint="default" w:ascii="Times New Roman" w:hAnsi="Times New Roman" w:cs="Times New Roman"/>
                      <w:sz w:val="21"/>
                      <w:szCs w:val="21"/>
                    </w:rPr>
                    <w:t xml:space="preserve"> </w:t>
                  </w:r>
                  <w:r>
                    <w:rPr>
                      <w:rFonts w:hint="default" w:ascii="Times New Roman" w:hAnsi="Times New Roman" w:cs="Times New Roman"/>
                      <w:spacing w:val="-5"/>
                      <w:sz w:val="21"/>
                      <w:szCs w:val="21"/>
                    </w:rPr>
                    <w:t>（</w:t>
                  </w:r>
                  <w:r>
                    <w:rPr>
                      <w:rFonts w:hint="default" w:ascii="Times New Roman" w:hAnsi="Times New Roman" w:eastAsia="Times New Roman" w:cs="Times New Roman"/>
                      <w:spacing w:val="-5"/>
                      <w:sz w:val="21"/>
                      <w:szCs w:val="21"/>
                    </w:rPr>
                    <w:t>mg/m</w:t>
                  </w:r>
                  <w:r>
                    <w:rPr>
                      <w:rFonts w:hint="eastAsia" w:ascii="Times New Roman" w:hAnsi="Times New Roman" w:eastAsia="宋体" w:cs="Times New Roman"/>
                      <w:spacing w:val="-5"/>
                      <w:sz w:val="21"/>
                      <w:szCs w:val="21"/>
                      <w:vertAlign w:val="superscript"/>
                      <w:lang w:val="en-US" w:eastAsia="zh-CN"/>
                    </w:rPr>
                    <w:t>3</w:t>
                  </w:r>
                  <w:r>
                    <w:rPr>
                      <w:rFonts w:hint="default" w:ascii="Times New Roman" w:hAnsi="Times New Roman" w:cs="Times New Roman"/>
                      <w:spacing w:val="-5"/>
                      <w:sz w:val="21"/>
                      <w:szCs w:val="21"/>
                    </w:rPr>
                    <w:t>）</w:t>
                  </w:r>
                </w:p>
              </w:tc>
              <w:tc>
                <w:tcPr>
                  <w:tcW w:w="3467" w:type="dxa"/>
                  <w:tcBorders>
                    <w:bottom w:val="single" w:color="auto" w:sz="4" w:space="0"/>
                  </w:tcBorders>
                  <w:vAlign w:val="center"/>
                </w:tcPr>
                <w:p w14:paraId="773C4BA7">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适用的合成树脂类型</w:t>
                  </w:r>
                </w:p>
              </w:tc>
              <w:tc>
                <w:tcPr>
                  <w:tcW w:w="1550" w:type="dxa"/>
                  <w:tcBorders>
                    <w:bottom w:val="single" w:color="auto" w:sz="4" w:space="0"/>
                  </w:tcBorders>
                  <w:vAlign w:val="center"/>
                </w:tcPr>
                <w:p w14:paraId="10806D2A">
                  <w:pPr>
                    <w:pStyle w:val="69"/>
                    <w:keepNext w:val="0"/>
                    <w:keepLines w:val="0"/>
                    <w:pageBreakBefore w:val="0"/>
                    <w:widowControl w:val="0"/>
                    <w:kinsoku/>
                    <w:wordWrap/>
                    <w:overflowPunct/>
                    <w:topLinePunct w:val="0"/>
                    <w:autoSpaceDE/>
                    <w:autoSpaceDN/>
                    <w:bidi w:val="0"/>
                    <w:adjustRightInd/>
                    <w:snapToGrid/>
                    <w:spacing w:line="240" w:lineRule="auto"/>
                    <w:ind w:left="0" w:right="0" w:hanging="88"/>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污染物排放监控位置</w:t>
                  </w:r>
                </w:p>
              </w:tc>
            </w:tr>
            <w:tr w14:paraId="7BF77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0" w:type="dxa"/>
                  <w:vAlign w:val="center"/>
                </w:tcPr>
                <w:p w14:paraId="0416428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w:t>
                  </w:r>
                </w:p>
              </w:tc>
              <w:tc>
                <w:tcPr>
                  <w:tcW w:w="1412" w:type="dxa"/>
                  <w:vAlign w:val="center"/>
                </w:tcPr>
                <w:p w14:paraId="6B74BABC">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非甲烷总烃</w:t>
                  </w:r>
                </w:p>
              </w:tc>
              <w:tc>
                <w:tcPr>
                  <w:tcW w:w="1396" w:type="dxa"/>
                  <w:tcBorders>
                    <w:right w:val="single" w:color="auto" w:sz="4" w:space="0"/>
                  </w:tcBorders>
                  <w:vAlign w:val="center"/>
                </w:tcPr>
                <w:p w14:paraId="2C35F86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pacing w:val="-4"/>
                      <w:sz w:val="21"/>
                      <w:szCs w:val="21"/>
                      <w:lang w:val="en-US" w:eastAsia="zh-CN"/>
                    </w:rPr>
                    <w:t>100</w:t>
                  </w:r>
                </w:p>
              </w:tc>
              <w:tc>
                <w:tcPr>
                  <w:tcW w:w="3467" w:type="dxa"/>
                  <w:vMerge w:val="restart"/>
                  <w:tcBorders>
                    <w:top w:val="single" w:color="auto" w:sz="4" w:space="0"/>
                    <w:left w:val="single" w:color="auto" w:sz="4" w:space="0"/>
                    <w:right w:val="single" w:color="auto" w:sz="4" w:space="0"/>
                  </w:tcBorders>
                  <w:vAlign w:val="center"/>
                </w:tcPr>
                <w:p w14:paraId="412A0695">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所有合成树脂</w:t>
                  </w:r>
                </w:p>
              </w:tc>
              <w:tc>
                <w:tcPr>
                  <w:tcW w:w="1550" w:type="dxa"/>
                  <w:vMerge w:val="restart"/>
                  <w:tcBorders>
                    <w:top w:val="single" w:color="auto" w:sz="4" w:space="0"/>
                    <w:left w:val="single" w:color="auto" w:sz="4" w:space="0"/>
                    <w:right w:val="single" w:color="auto" w:sz="4" w:space="0"/>
                  </w:tcBorders>
                  <w:vAlign w:val="center"/>
                </w:tcPr>
                <w:p w14:paraId="13E8D43D">
                  <w:pPr>
                    <w:pStyle w:val="69"/>
                    <w:keepNext w:val="0"/>
                    <w:keepLines w:val="0"/>
                    <w:pageBreakBefore w:val="0"/>
                    <w:widowControl w:val="0"/>
                    <w:kinsoku/>
                    <w:wordWrap/>
                    <w:overflowPunct/>
                    <w:topLinePunct w:val="0"/>
                    <w:autoSpaceDE/>
                    <w:autoSpaceDN/>
                    <w:bidi w:val="0"/>
                    <w:adjustRightInd/>
                    <w:snapToGrid/>
                    <w:spacing w:line="240" w:lineRule="auto"/>
                    <w:ind w:left="0" w:right="0" w:hanging="1"/>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车间或生产设施排放口</w:t>
                  </w:r>
                </w:p>
              </w:tc>
            </w:tr>
            <w:tr w14:paraId="08C0F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0" w:type="dxa"/>
                  <w:vAlign w:val="center"/>
                </w:tcPr>
                <w:p w14:paraId="23ED3AE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412" w:type="dxa"/>
                  <w:vAlign w:val="center"/>
                </w:tcPr>
                <w:p w14:paraId="1C19B655">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spacing w:val="-2"/>
                      <w:sz w:val="21"/>
                      <w:szCs w:val="21"/>
                    </w:rPr>
                  </w:pPr>
                  <w:r>
                    <w:rPr>
                      <w:rFonts w:hint="eastAsia" w:ascii="Times New Roman" w:hAnsi="Times New Roman" w:cs="Times New Roman"/>
                      <w:spacing w:val="-2"/>
                      <w:sz w:val="21"/>
                      <w:szCs w:val="21"/>
                      <w:lang w:val="en-US" w:eastAsia="zh-CN"/>
                    </w:rPr>
                    <w:t>颗粒物</w:t>
                  </w:r>
                </w:p>
              </w:tc>
              <w:tc>
                <w:tcPr>
                  <w:tcW w:w="1396" w:type="dxa"/>
                  <w:tcBorders>
                    <w:right w:val="single" w:color="auto" w:sz="4" w:space="0"/>
                  </w:tcBorders>
                  <w:vAlign w:val="center"/>
                </w:tcPr>
                <w:p w14:paraId="58ECEB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s="Times New Roman"/>
                      <w:spacing w:val="-4"/>
                      <w:sz w:val="21"/>
                      <w:szCs w:val="21"/>
                      <w:lang w:val="en-US" w:eastAsia="zh-CN"/>
                    </w:rPr>
                  </w:pPr>
                  <w:r>
                    <w:rPr>
                      <w:rFonts w:hint="eastAsia" w:cs="Times New Roman"/>
                      <w:spacing w:val="-4"/>
                      <w:sz w:val="21"/>
                      <w:szCs w:val="21"/>
                      <w:lang w:val="en-US" w:eastAsia="zh-CN"/>
                    </w:rPr>
                    <w:t>30</w:t>
                  </w:r>
                </w:p>
              </w:tc>
              <w:tc>
                <w:tcPr>
                  <w:tcW w:w="3467" w:type="dxa"/>
                  <w:vMerge w:val="continue"/>
                  <w:tcBorders>
                    <w:left w:val="single" w:color="auto" w:sz="4" w:space="0"/>
                    <w:bottom w:val="single" w:color="auto" w:sz="4" w:space="0"/>
                    <w:right w:val="single" w:color="auto" w:sz="4" w:space="0"/>
                  </w:tcBorders>
                  <w:vAlign w:val="center"/>
                </w:tcPr>
                <w:p w14:paraId="3331AF5B">
                  <w:pPr>
                    <w:pStyle w:val="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spacing w:val="-2"/>
                      <w:sz w:val="21"/>
                      <w:szCs w:val="21"/>
                    </w:rPr>
                  </w:pPr>
                </w:p>
              </w:tc>
              <w:tc>
                <w:tcPr>
                  <w:tcW w:w="1550" w:type="dxa"/>
                  <w:vMerge w:val="continue"/>
                  <w:tcBorders>
                    <w:left w:val="single" w:color="auto" w:sz="4" w:space="0"/>
                    <w:bottom w:val="single" w:color="auto" w:sz="4" w:space="0"/>
                    <w:right w:val="single" w:color="auto" w:sz="4" w:space="0"/>
                  </w:tcBorders>
                  <w:vAlign w:val="center"/>
                </w:tcPr>
                <w:p w14:paraId="5EB4FCB0">
                  <w:pPr>
                    <w:pStyle w:val="69"/>
                    <w:keepNext w:val="0"/>
                    <w:keepLines w:val="0"/>
                    <w:pageBreakBefore w:val="0"/>
                    <w:widowControl w:val="0"/>
                    <w:kinsoku/>
                    <w:wordWrap/>
                    <w:overflowPunct/>
                    <w:topLinePunct w:val="0"/>
                    <w:autoSpaceDE/>
                    <w:autoSpaceDN/>
                    <w:bidi w:val="0"/>
                    <w:adjustRightInd/>
                    <w:snapToGrid/>
                    <w:spacing w:line="240" w:lineRule="auto"/>
                    <w:ind w:left="0" w:right="0" w:hanging="1"/>
                    <w:jc w:val="center"/>
                    <w:textAlignment w:val="auto"/>
                    <w:rPr>
                      <w:rFonts w:hint="default" w:ascii="Times New Roman" w:hAnsi="Times New Roman" w:cs="Times New Roman"/>
                      <w:spacing w:val="-2"/>
                      <w:sz w:val="21"/>
                      <w:szCs w:val="21"/>
                    </w:rPr>
                  </w:pPr>
                </w:p>
              </w:tc>
            </w:tr>
          </w:tbl>
          <w:p w14:paraId="3C44068F">
            <w:pPr>
              <w:pStyle w:val="69"/>
              <w:keepNext w:val="0"/>
              <w:keepLines w:val="0"/>
              <w:suppressLineNumbers w:val="0"/>
              <w:spacing w:before="31" w:beforeAutospacing="0" w:after="0" w:afterAutospacing="0" w:line="223" w:lineRule="auto"/>
              <w:ind w:left="0" w:right="0" w:firstLine="644" w:firstLineChars="300"/>
              <w:rPr>
                <w:rFonts w:hint="default"/>
                <w:b/>
                <w:bCs/>
                <w:spacing w:val="7"/>
              </w:rPr>
            </w:pPr>
          </w:p>
          <w:p w14:paraId="2CC3ED5B">
            <w:pPr>
              <w:pStyle w:val="69"/>
              <w:keepNext w:val="0"/>
              <w:keepLines w:val="0"/>
              <w:suppressLineNumbers w:val="0"/>
              <w:spacing w:before="31" w:beforeAutospacing="0" w:after="0" w:afterAutospacing="0" w:line="223" w:lineRule="auto"/>
              <w:ind w:left="0" w:right="0" w:firstLine="644" w:firstLineChars="300"/>
              <w:rPr>
                <w:rFonts w:hint="default"/>
                <w:b/>
                <w:bCs/>
                <w:spacing w:val="7"/>
              </w:rPr>
            </w:pPr>
          </w:p>
          <w:p w14:paraId="730E7D50">
            <w:pPr>
              <w:pStyle w:val="69"/>
              <w:keepNext w:val="0"/>
              <w:keepLines w:val="0"/>
              <w:suppressLineNumbers w:val="0"/>
              <w:spacing w:before="31" w:beforeAutospacing="0" w:after="0" w:afterAutospacing="0" w:line="223" w:lineRule="auto"/>
              <w:ind w:left="0" w:right="0" w:firstLine="644" w:firstLineChars="300"/>
              <w:rPr>
                <w:rFonts w:hint="default"/>
                <w:b/>
                <w:bCs/>
                <w:spacing w:val="7"/>
              </w:rPr>
            </w:pPr>
          </w:p>
          <w:p w14:paraId="4F466CBD">
            <w:pPr>
              <w:pStyle w:val="69"/>
              <w:keepNext w:val="0"/>
              <w:keepLines w:val="0"/>
              <w:suppressLineNumbers w:val="0"/>
              <w:spacing w:before="31" w:beforeAutospacing="0" w:after="0" w:afterAutospacing="0" w:line="223" w:lineRule="auto"/>
              <w:ind w:left="0" w:right="0" w:firstLine="644" w:firstLineChars="300"/>
              <w:rPr>
                <w:rFonts w:hint="default" w:eastAsia="宋体"/>
                <w:lang w:val="en-US" w:eastAsia="zh-CN"/>
              </w:rPr>
            </w:pPr>
            <w:r>
              <w:rPr>
                <w:rFonts w:hint="default"/>
                <w:b/>
                <w:bCs/>
                <w:spacing w:val="7"/>
              </w:rPr>
              <w:t>表</w:t>
            </w:r>
            <w:r>
              <w:rPr>
                <w:rFonts w:hint="default"/>
                <w:spacing w:val="-36"/>
              </w:rPr>
              <w:t xml:space="preserve"> </w:t>
            </w:r>
            <w:r>
              <w:rPr>
                <w:rFonts w:hint="default" w:ascii="Times New Roman" w:hAnsi="Times New Roman" w:eastAsia="Times New Roman" w:cs="Times New Roman"/>
                <w:b/>
                <w:bCs/>
                <w:spacing w:val="7"/>
              </w:rPr>
              <w:t>3-</w:t>
            </w:r>
            <w:r>
              <w:rPr>
                <w:rFonts w:hint="eastAsia" w:ascii="Times New Roman" w:hAnsi="Times New Roman" w:eastAsia="宋体" w:cs="Times New Roman"/>
                <w:b/>
                <w:bCs/>
                <w:spacing w:val="7"/>
                <w:lang w:val="en-US" w:eastAsia="zh-CN"/>
              </w:rPr>
              <w:t>7</w:t>
            </w:r>
            <w:r>
              <w:rPr>
                <w:rFonts w:hint="default" w:ascii="Times New Roman" w:hAnsi="Times New Roman" w:eastAsia="Times New Roman" w:cs="Times New Roman"/>
                <w:b/>
                <w:bCs/>
                <w:spacing w:val="7"/>
              </w:rPr>
              <w:t xml:space="preserve"> </w:t>
            </w:r>
            <w:r>
              <w:rPr>
                <w:rFonts w:hint="default" w:ascii="Times New Roman" w:hAnsi="Times New Roman" w:eastAsia="宋体" w:cs="Times New Roman"/>
                <w:b/>
                <w:bCs/>
                <w:color w:val="auto"/>
                <w:kern w:val="2"/>
                <w:sz w:val="21"/>
                <w:szCs w:val="21"/>
                <w:lang w:val="en-US" w:eastAsia="zh-CN" w:bidi="ar"/>
              </w:rPr>
              <w:t>《合成树脂工业污染物排放标准》（GB31572-2015）</w:t>
            </w:r>
            <w:r>
              <w:rPr>
                <w:rFonts w:hint="eastAsia" w:ascii="Times New Roman" w:hAnsi="Times New Roman" w:eastAsia="宋体" w:cs="Times New Roman"/>
                <w:b/>
                <w:bCs/>
                <w:color w:val="auto"/>
                <w:kern w:val="2"/>
                <w:sz w:val="21"/>
                <w:szCs w:val="21"/>
                <w:lang w:val="en-US" w:eastAsia="zh-CN" w:bidi="ar"/>
              </w:rPr>
              <w:t>及2024年修改单</w:t>
            </w:r>
          </w:p>
          <w:tbl>
            <w:tblPr>
              <w:tblStyle w:val="63"/>
              <w:tblW w:w="8358"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1"/>
              <w:gridCol w:w="2503"/>
              <w:gridCol w:w="1977"/>
              <w:gridCol w:w="1977"/>
            </w:tblGrid>
            <w:tr w14:paraId="0F86A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01" w:type="dxa"/>
                  <w:vAlign w:val="center"/>
                </w:tcPr>
                <w:p w14:paraId="4BB5565B">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4"/>
                      <w:sz w:val="21"/>
                      <w:szCs w:val="21"/>
                    </w:rPr>
                    <w:t>序号</w:t>
                  </w:r>
                </w:p>
              </w:tc>
              <w:tc>
                <w:tcPr>
                  <w:tcW w:w="2503" w:type="dxa"/>
                  <w:vAlign w:val="center"/>
                </w:tcPr>
                <w:p w14:paraId="7934C4E7">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2"/>
                      <w:sz w:val="21"/>
                      <w:szCs w:val="21"/>
                    </w:rPr>
                    <w:t>污染物项目</w:t>
                  </w:r>
                </w:p>
              </w:tc>
              <w:tc>
                <w:tcPr>
                  <w:tcW w:w="1977" w:type="dxa"/>
                  <w:vAlign w:val="center"/>
                </w:tcPr>
                <w:p w14:paraId="1E40B369">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2"/>
                      <w:position w:val="2"/>
                      <w:sz w:val="21"/>
                      <w:szCs w:val="21"/>
                    </w:rPr>
                    <w:t>限值（</w:t>
                  </w:r>
                  <w:r>
                    <w:rPr>
                      <w:rFonts w:ascii="Times New Roman" w:hAnsi="Times New Roman" w:eastAsia="Times New Roman" w:cs="Times New Roman"/>
                      <w:spacing w:val="-2"/>
                      <w:position w:val="2"/>
                      <w:sz w:val="21"/>
                      <w:szCs w:val="21"/>
                    </w:rPr>
                    <w:t>mg/m</w:t>
                  </w:r>
                  <w:r>
                    <w:rPr>
                      <w:rFonts w:ascii="Times New Roman" w:hAnsi="Times New Roman" w:eastAsia="Times New Roman" w:cs="Times New Roman"/>
                      <w:spacing w:val="-2"/>
                      <w:position w:val="7"/>
                      <w:sz w:val="21"/>
                      <w:szCs w:val="21"/>
                    </w:rPr>
                    <w:t>3</w:t>
                  </w:r>
                  <w:r>
                    <w:rPr>
                      <w:spacing w:val="-2"/>
                      <w:position w:val="2"/>
                      <w:sz w:val="21"/>
                      <w:szCs w:val="21"/>
                    </w:rPr>
                    <w:t>）</w:t>
                  </w:r>
                </w:p>
              </w:tc>
              <w:tc>
                <w:tcPr>
                  <w:tcW w:w="1977" w:type="dxa"/>
                  <w:vAlign w:val="center"/>
                </w:tcPr>
                <w:p w14:paraId="3276D70C">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spacing w:val="-2"/>
                      <w:position w:val="2"/>
                      <w:sz w:val="21"/>
                      <w:szCs w:val="21"/>
                      <w:lang w:val="en-US" w:eastAsia="zh-CN"/>
                    </w:rPr>
                  </w:pPr>
                  <w:r>
                    <w:rPr>
                      <w:rFonts w:hint="eastAsia"/>
                      <w:spacing w:val="-2"/>
                      <w:position w:val="2"/>
                      <w:sz w:val="21"/>
                      <w:szCs w:val="21"/>
                      <w:lang w:val="en-US" w:eastAsia="zh-CN"/>
                    </w:rPr>
                    <w:t>污染物排放监控位置</w:t>
                  </w:r>
                </w:p>
              </w:tc>
            </w:tr>
            <w:tr w14:paraId="7C94E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901" w:type="dxa"/>
                  <w:vAlign w:val="center"/>
                </w:tcPr>
                <w:p w14:paraId="3CDA19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03" w:type="dxa"/>
                  <w:vAlign w:val="center"/>
                </w:tcPr>
                <w:p w14:paraId="5221928E">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2"/>
                      <w:sz w:val="21"/>
                      <w:szCs w:val="21"/>
                    </w:rPr>
                    <w:t>非甲烷总烃</w:t>
                  </w:r>
                </w:p>
              </w:tc>
              <w:tc>
                <w:tcPr>
                  <w:tcW w:w="1977" w:type="dxa"/>
                  <w:vAlign w:val="center"/>
                </w:tcPr>
                <w:p w14:paraId="714916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977" w:type="dxa"/>
                  <w:vMerge w:val="restart"/>
                  <w:vAlign w:val="center"/>
                </w:tcPr>
                <w:p w14:paraId="33FE43E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pacing w:val="-1"/>
                      <w:sz w:val="21"/>
                      <w:szCs w:val="21"/>
                      <w:lang w:val="en-US" w:eastAsia="zh-CN"/>
                    </w:rPr>
                  </w:pPr>
                  <w:r>
                    <w:rPr>
                      <w:rFonts w:hint="eastAsia" w:eastAsia="宋体" w:cs="Times New Roman"/>
                      <w:spacing w:val="-1"/>
                      <w:sz w:val="21"/>
                      <w:szCs w:val="21"/>
                      <w:lang w:val="en-US" w:eastAsia="zh-CN"/>
                    </w:rPr>
                    <w:t>厂界</w:t>
                  </w:r>
                </w:p>
              </w:tc>
            </w:tr>
            <w:tr w14:paraId="4CCE3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901" w:type="dxa"/>
                  <w:vAlign w:val="center"/>
                </w:tcPr>
                <w:p w14:paraId="71DDBC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03" w:type="dxa"/>
                  <w:vAlign w:val="center"/>
                </w:tcPr>
                <w:p w14:paraId="7AACB64F">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1"/>
                      <w:szCs w:val="21"/>
                    </w:rPr>
                  </w:pPr>
                  <w:r>
                    <w:rPr>
                      <w:spacing w:val="-3"/>
                      <w:sz w:val="21"/>
                      <w:szCs w:val="21"/>
                    </w:rPr>
                    <w:t>颗粒物</w:t>
                  </w:r>
                </w:p>
              </w:tc>
              <w:tc>
                <w:tcPr>
                  <w:tcW w:w="1977" w:type="dxa"/>
                  <w:vAlign w:val="center"/>
                </w:tcPr>
                <w:p w14:paraId="061454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1.0</w:t>
                  </w:r>
                </w:p>
              </w:tc>
              <w:tc>
                <w:tcPr>
                  <w:tcW w:w="1977" w:type="dxa"/>
                  <w:vMerge w:val="continue"/>
                  <w:vAlign w:val="center"/>
                </w:tcPr>
                <w:p w14:paraId="6678769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pacing w:val="-7"/>
                      <w:sz w:val="21"/>
                      <w:szCs w:val="21"/>
                    </w:rPr>
                  </w:pPr>
                </w:p>
              </w:tc>
            </w:tr>
          </w:tbl>
          <w:p w14:paraId="0CB54D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厂区内挥发性有机物无组织排放应执行《挥发性有机物无组织排放控制标准》（GB37822-2019）中表A.1中的排放限值，详见表3-</w:t>
            </w:r>
            <w:r>
              <w:rPr>
                <w:rFonts w:hint="eastAsia" w:cs="Times New Roman"/>
                <w:color w:val="auto"/>
                <w:kern w:val="2"/>
                <w:sz w:val="24"/>
                <w:szCs w:val="24"/>
                <w:lang w:val="en-US" w:eastAsia="zh-CN" w:bidi="ar"/>
              </w:rPr>
              <w:t>8</w:t>
            </w:r>
            <w:r>
              <w:rPr>
                <w:rFonts w:hint="default" w:ascii="Times New Roman" w:hAnsi="Times New Roman" w:eastAsia="宋体" w:cs="Times New Roman"/>
                <w:color w:val="auto"/>
                <w:kern w:val="2"/>
                <w:sz w:val="24"/>
                <w:szCs w:val="24"/>
                <w:lang w:val="en-US" w:eastAsia="zh-CN" w:bidi="ar"/>
              </w:rPr>
              <w:t>。</w:t>
            </w:r>
          </w:p>
          <w:p w14:paraId="450CAA97">
            <w:pPr>
              <w:pStyle w:val="69"/>
              <w:keepNext w:val="0"/>
              <w:keepLines w:val="0"/>
              <w:suppressLineNumbers w:val="0"/>
              <w:spacing w:before="16" w:beforeAutospacing="0" w:after="0" w:afterAutospacing="0" w:line="222" w:lineRule="auto"/>
              <w:ind w:left="2557" w:right="0"/>
              <w:rPr>
                <w:rFonts w:hint="default"/>
              </w:rPr>
            </w:pPr>
            <w:r>
              <w:rPr>
                <w:rFonts w:hint="default"/>
                <w:b/>
                <w:bCs/>
                <w:spacing w:val="9"/>
              </w:rPr>
              <w:t>表</w:t>
            </w:r>
            <w:r>
              <w:rPr>
                <w:rFonts w:hint="default"/>
                <w:spacing w:val="-35"/>
              </w:rPr>
              <w:t xml:space="preserve"> </w:t>
            </w:r>
            <w:r>
              <w:rPr>
                <w:rFonts w:hint="default" w:ascii="Times New Roman" w:hAnsi="Times New Roman" w:eastAsia="Times New Roman" w:cs="Times New Roman"/>
                <w:b/>
                <w:bCs/>
                <w:spacing w:val="9"/>
              </w:rPr>
              <w:t>3-</w:t>
            </w:r>
            <w:r>
              <w:rPr>
                <w:rFonts w:hint="eastAsia" w:ascii="Times New Roman" w:hAnsi="Times New Roman" w:eastAsia="宋体" w:cs="Times New Roman"/>
                <w:b/>
                <w:bCs/>
                <w:spacing w:val="9"/>
                <w:lang w:val="en-US" w:eastAsia="zh-CN"/>
              </w:rPr>
              <w:t>8</w:t>
            </w:r>
            <w:r>
              <w:rPr>
                <w:rFonts w:hint="default" w:ascii="Times New Roman" w:hAnsi="Times New Roman" w:eastAsia="Times New Roman" w:cs="Times New Roman"/>
                <w:b/>
                <w:bCs/>
                <w:spacing w:val="9"/>
              </w:rPr>
              <w:t xml:space="preserve">   </w:t>
            </w:r>
            <w:r>
              <w:rPr>
                <w:rFonts w:hint="default"/>
                <w:b/>
                <w:bCs/>
                <w:spacing w:val="9"/>
              </w:rPr>
              <w:t>厂区内</w:t>
            </w:r>
            <w:r>
              <w:rPr>
                <w:rFonts w:hint="default" w:ascii="Times New Roman" w:hAnsi="Times New Roman" w:eastAsia="Times New Roman" w:cs="Times New Roman"/>
                <w:b/>
                <w:bCs/>
              </w:rPr>
              <w:t>VOCs</w:t>
            </w:r>
            <w:r>
              <w:rPr>
                <w:rFonts w:hint="default" w:ascii="Times New Roman" w:hAnsi="Times New Roman" w:eastAsia="Times New Roman" w:cs="Times New Roman"/>
                <w:b/>
                <w:bCs/>
                <w:spacing w:val="9"/>
              </w:rPr>
              <w:t xml:space="preserve"> </w:t>
            </w:r>
            <w:r>
              <w:rPr>
                <w:rFonts w:hint="default"/>
                <w:b/>
                <w:bCs/>
                <w:spacing w:val="9"/>
              </w:rPr>
              <w:t>无组织排放限值</w:t>
            </w:r>
          </w:p>
          <w:tbl>
            <w:tblPr>
              <w:tblStyle w:val="63"/>
              <w:tblW w:w="841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8"/>
              <w:gridCol w:w="1497"/>
              <w:gridCol w:w="2990"/>
              <w:gridCol w:w="2498"/>
            </w:tblGrid>
            <w:tr w14:paraId="51DBB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28" w:type="dxa"/>
                  <w:vAlign w:val="center"/>
                </w:tcPr>
                <w:p w14:paraId="353F259D">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污染物项目</w:t>
                  </w:r>
                </w:p>
              </w:tc>
              <w:tc>
                <w:tcPr>
                  <w:tcW w:w="1497" w:type="dxa"/>
                  <w:vAlign w:val="center"/>
                </w:tcPr>
                <w:p w14:paraId="53A231E3">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特别排放限值</w:t>
                  </w:r>
                </w:p>
              </w:tc>
              <w:tc>
                <w:tcPr>
                  <w:tcW w:w="2990" w:type="dxa"/>
                  <w:vAlign w:val="center"/>
                </w:tcPr>
                <w:p w14:paraId="131D22D3">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5"/>
                      <w:sz w:val="21"/>
                      <w:szCs w:val="21"/>
                    </w:rPr>
                    <w:t>限值含义</w:t>
                  </w:r>
                </w:p>
              </w:tc>
              <w:tc>
                <w:tcPr>
                  <w:tcW w:w="2498" w:type="dxa"/>
                  <w:vAlign w:val="center"/>
                </w:tcPr>
                <w:p w14:paraId="61F2457B">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b/>
                      <w:bCs/>
                      <w:sz w:val="21"/>
                      <w:szCs w:val="21"/>
                    </w:rPr>
                  </w:pPr>
                  <w:r>
                    <w:rPr>
                      <w:rFonts w:hint="default" w:ascii="Times New Roman" w:hAnsi="Times New Roman" w:cs="Times New Roman"/>
                      <w:b/>
                      <w:bCs/>
                      <w:spacing w:val="-1"/>
                      <w:sz w:val="21"/>
                      <w:szCs w:val="21"/>
                    </w:rPr>
                    <w:t>无组织排放监控位置</w:t>
                  </w:r>
                </w:p>
              </w:tc>
            </w:tr>
            <w:tr w14:paraId="6409E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28" w:type="dxa"/>
                  <w:vMerge w:val="restart"/>
                  <w:tcBorders>
                    <w:bottom w:val="nil"/>
                  </w:tcBorders>
                  <w:vAlign w:val="center"/>
                </w:tcPr>
                <w:p w14:paraId="113AC4D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NMHC</w:t>
                  </w:r>
                </w:p>
              </w:tc>
              <w:tc>
                <w:tcPr>
                  <w:tcW w:w="1497" w:type="dxa"/>
                  <w:vAlign w:val="center"/>
                </w:tcPr>
                <w:p w14:paraId="26022A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val="en-US" w:eastAsia="zh-CN"/>
                    </w:rPr>
                  </w:pPr>
                  <w:r>
                    <w:rPr>
                      <w:rFonts w:hint="eastAsia" w:eastAsia="宋体" w:cs="Times New Roman"/>
                      <w:spacing w:val="-1"/>
                      <w:position w:val="2"/>
                      <w:sz w:val="21"/>
                      <w:szCs w:val="21"/>
                      <w:lang w:val="en-US" w:eastAsia="zh-CN"/>
                    </w:rPr>
                    <w:t>10</w:t>
                  </w:r>
                  <w:r>
                    <w:rPr>
                      <w:rFonts w:hint="default" w:ascii="Times New Roman" w:hAnsi="Times New Roman" w:eastAsia="Times New Roman" w:cs="Times New Roman"/>
                      <w:spacing w:val="-1"/>
                      <w:position w:val="2"/>
                      <w:sz w:val="21"/>
                      <w:szCs w:val="21"/>
                    </w:rPr>
                    <w:t xml:space="preserve"> mg/m</w:t>
                  </w:r>
                  <w:r>
                    <w:rPr>
                      <w:rFonts w:hint="eastAsia" w:eastAsia="宋体" w:cs="Times New Roman"/>
                      <w:spacing w:val="-1"/>
                      <w:position w:val="2"/>
                      <w:sz w:val="21"/>
                      <w:szCs w:val="21"/>
                      <w:vertAlign w:val="superscript"/>
                      <w:lang w:val="en-US" w:eastAsia="zh-CN"/>
                    </w:rPr>
                    <w:t>3</w:t>
                  </w:r>
                </w:p>
              </w:tc>
              <w:tc>
                <w:tcPr>
                  <w:tcW w:w="2990" w:type="dxa"/>
                  <w:vAlign w:val="center"/>
                </w:tcPr>
                <w:p w14:paraId="02831ADE">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监控点处</w:t>
                  </w:r>
                  <w:r>
                    <w:rPr>
                      <w:rFonts w:hint="default" w:ascii="Times New Roman" w:hAnsi="Times New Roman" w:eastAsia="Times New Roman" w:cs="Times New Roman"/>
                      <w:spacing w:val="-3"/>
                      <w:sz w:val="21"/>
                      <w:szCs w:val="21"/>
                    </w:rPr>
                    <w:t>1h</w:t>
                  </w:r>
                  <w:r>
                    <w:rPr>
                      <w:rFonts w:hint="default" w:ascii="Times New Roman" w:hAnsi="Times New Roman" w:cs="Times New Roman"/>
                      <w:spacing w:val="-3"/>
                      <w:sz w:val="21"/>
                      <w:szCs w:val="21"/>
                    </w:rPr>
                    <w:t>平均浓度值</w:t>
                  </w:r>
                </w:p>
              </w:tc>
              <w:tc>
                <w:tcPr>
                  <w:tcW w:w="2498" w:type="dxa"/>
                  <w:vMerge w:val="restart"/>
                  <w:tcBorders>
                    <w:bottom w:val="nil"/>
                  </w:tcBorders>
                  <w:vAlign w:val="center"/>
                </w:tcPr>
                <w:p w14:paraId="1477DA41">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在厂房外设置监控点</w:t>
                  </w:r>
                </w:p>
              </w:tc>
            </w:tr>
            <w:tr w14:paraId="73D0F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28" w:type="dxa"/>
                  <w:vMerge w:val="continue"/>
                  <w:tcBorders>
                    <w:top w:val="nil"/>
                  </w:tcBorders>
                  <w:vAlign w:val="center"/>
                </w:tcPr>
                <w:p w14:paraId="4A4AE7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1497" w:type="dxa"/>
                  <w:vAlign w:val="center"/>
                </w:tcPr>
                <w:p w14:paraId="6996A8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val="en-US" w:eastAsia="zh-CN"/>
                    </w:rPr>
                  </w:pPr>
                  <w:r>
                    <w:rPr>
                      <w:rFonts w:hint="eastAsia" w:eastAsia="宋体" w:cs="Times New Roman"/>
                      <w:spacing w:val="-1"/>
                      <w:position w:val="3"/>
                      <w:sz w:val="21"/>
                      <w:szCs w:val="21"/>
                      <w:lang w:val="en-US" w:eastAsia="zh-CN"/>
                    </w:rPr>
                    <w:t>3</w:t>
                  </w:r>
                  <w:r>
                    <w:rPr>
                      <w:rFonts w:hint="default" w:ascii="Times New Roman" w:hAnsi="Times New Roman" w:eastAsia="Times New Roman" w:cs="Times New Roman"/>
                      <w:spacing w:val="-1"/>
                      <w:position w:val="3"/>
                      <w:sz w:val="21"/>
                      <w:szCs w:val="21"/>
                    </w:rPr>
                    <w:t>0 mg/m</w:t>
                  </w:r>
                  <w:r>
                    <w:rPr>
                      <w:rFonts w:hint="eastAsia" w:eastAsia="宋体" w:cs="Times New Roman"/>
                      <w:spacing w:val="-1"/>
                      <w:position w:val="3"/>
                      <w:sz w:val="21"/>
                      <w:szCs w:val="21"/>
                      <w:vertAlign w:val="superscript"/>
                      <w:lang w:val="en-US" w:eastAsia="zh-CN"/>
                    </w:rPr>
                    <w:t>3</w:t>
                  </w:r>
                </w:p>
              </w:tc>
              <w:tc>
                <w:tcPr>
                  <w:tcW w:w="2990" w:type="dxa"/>
                  <w:vAlign w:val="center"/>
                </w:tcPr>
                <w:p w14:paraId="54C809D2">
                  <w:pPr>
                    <w:pStyle w:val="6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监控点处任意一次浓度值</w:t>
                  </w:r>
                </w:p>
              </w:tc>
              <w:tc>
                <w:tcPr>
                  <w:tcW w:w="2498" w:type="dxa"/>
                  <w:vMerge w:val="continue"/>
                  <w:tcBorders>
                    <w:top w:val="nil"/>
                  </w:tcBorders>
                  <w:vAlign w:val="center"/>
                </w:tcPr>
                <w:p w14:paraId="20E6457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r>
          </w:tbl>
          <w:p w14:paraId="1C6791DF">
            <w:pPr>
              <w:pStyle w:val="69"/>
              <w:keepNext w:val="0"/>
              <w:keepLines w:val="0"/>
              <w:suppressLineNumbers w:val="0"/>
              <w:spacing w:before="31" w:beforeAutospacing="0" w:after="0" w:afterAutospacing="0" w:line="367" w:lineRule="auto"/>
              <w:ind w:left="105" w:right="97" w:firstLine="416"/>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③</w:t>
            </w:r>
            <w:r>
              <w:rPr>
                <w:rFonts w:hint="eastAsia" w:ascii="Times New Roman" w:hAnsi="Times New Roman" w:eastAsia="宋体" w:cs="Times New Roman"/>
                <w:color w:val="auto"/>
                <w:kern w:val="2"/>
                <w:sz w:val="24"/>
                <w:szCs w:val="24"/>
                <w:lang w:val="en-US" w:eastAsia="zh-CN" w:bidi="ar"/>
              </w:rPr>
              <w:t>食堂油烟排放标准</w:t>
            </w:r>
          </w:p>
          <w:p w14:paraId="28FE8BB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项目食堂设3个灶头，厨房油烟参照执行《饮食业油烟排放标准（试行）》（GB18483-2001）中型规模排放标准，具体见表3-</w:t>
            </w:r>
            <w:r>
              <w:rPr>
                <w:rFonts w:hint="eastAsia" w:ascii="Times New Roman" w:hAnsi="Times New Roman" w:cs="Times New Roman"/>
                <w:color w:val="auto"/>
                <w:kern w:val="2"/>
                <w:sz w:val="24"/>
                <w:szCs w:val="24"/>
                <w:lang w:val="en-US" w:eastAsia="zh-CN" w:bidi="ar"/>
              </w:rPr>
              <w:t>9</w:t>
            </w:r>
            <w:r>
              <w:rPr>
                <w:rFonts w:hint="eastAsia" w:ascii="Times New Roman" w:hAnsi="Times New Roman" w:eastAsia="宋体" w:cs="Times New Roman"/>
                <w:color w:val="auto"/>
                <w:kern w:val="2"/>
                <w:sz w:val="24"/>
                <w:szCs w:val="24"/>
                <w:lang w:val="en-US" w:eastAsia="zh-CN" w:bidi="ar"/>
              </w:rPr>
              <w:t>。</w:t>
            </w:r>
          </w:p>
          <w:p w14:paraId="09842456">
            <w:pPr>
              <w:keepNext w:val="0"/>
              <w:keepLines w:val="0"/>
              <w:suppressLineNumbers w:val="0"/>
              <w:bidi w:val="0"/>
              <w:spacing w:before="0" w:beforeAutospacing="0" w:after="0" w:afterAutospacing="0"/>
              <w:ind w:left="0" w:right="0" w:firstLine="1687" w:firstLineChars="800"/>
              <w:rPr>
                <w:rFonts w:hint="eastAsia" w:ascii="Times New Roman" w:hAnsi="Times New Roman" w:eastAsia="宋体" w:cs="Times New Roman"/>
                <w:b/>
                <w:bCs/>
                <w:sz w:val="21"/>
                <w:szCs w:val="24"/>
              </w:rPr>
            </w:pPr>
            <w:r>
              <w:rPr>
                <w:rFonts w:hint="eastAsia" w:ascii="Times New Roman" w:hAnsi="Times New Roman" w:eastAsia="宋体" w:cs="Times New Roman"/>
                <w:b/>
                <w:bCs/>
                <w:sz w:val="21"/>
                <w:szCs w:val="24"/>
              </w:rPr>
              <w:t>表3</w:t>
            </w:r>
            <w:r>
              <w:rPr>
                <w:rFonts w:hint="default" w:ascii="Times New Roman" w:hAnsi="Times New Roman" w:eastAsia="宋体" w:cs="Times New Roman"/>
                <w:b/>
                <w:bCs/>
                <w:sz w:val="21"/>
                <w:szCs w:val="24"/>
              </w:rPr>
              <w:t>-</w:t>
            </w:r>
            <w:r>
              <w:rPr>
                <w:rFonts w:hint="eastAsia" w:cs="Times New Roman"/>
                <w:b/>
                <w:bCs/>
                <w:sz w:val="21"/>
                <w:szCs w:val="24"/>
                <w:lang w:val="en-US" w:eastAsia="zh-CN"/>
              </w:rPr>
              <w:t>9</w:t>
            </w:r>
            <w:r>
              <w:rPr>
                <w:rFonts w:hint="default" w:ascii="Times New Roman" w:hAnsi="Times New Roman" w:eastAsia="宋体" w:cs="Times New Roman"/>
                <w:b/>
                <w:bCs/>
                <w:sz w:val="21"/>
                <w:szCs w:val="24"/>
              </w:rPr>
              <w:t xml:space="preserve">   </w:t>
            </w:r>
            <w:r>
              <w:rPr>
                <w:rFonts w:hint="eastAsia" w:ascii="Times New Roman" w:hAnsi="Times New Roman" w:eastAsia="宋体" w:cs="Times New Roman"/>
                <w:b/>
                <w:bCs/>
                <w:sz w:val="21"/>
                <w:szCs w:val="24"/>
              </w:rPr>
              <w:t>《饮食业油烟排放标准》（GB18483-2001）</w:t>
            </w:r>
          </w:p>
          <w:tbl>
            <w:tblPr>
              <w:tblStyle w:val="3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233"/>
              <w:gridCol w:w="2684"/>
              <w:gridCol w:w="2353"/>
            </w:tblGrid>
            <w:tr w14:paraId="2F3B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7" w:type="dxa"/>
                  <w:noWrap w:val="0"/>
                  <w:vAlign w:val="center"/>
                </w:tcPr>
                <w:p w14:paraId="07332E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sz w:val="21"/>
                      <w:szCs w:val="21"/>
                      <w:highlight w:val="none"/>
                    </w:rPr>
                    <w:t>规模</w:t>
                  </w:r>
                </w:p>
              </w:tc>
              <w:tc>
                <w:tcPr>
                  <w:tcW w:w="2233" w:type="dxa"/>
                  <w:noWrap w:val="0"/>
                  <w:vAlign w:val="center"/>
                </w:tcPr>
                <w:p w14:paraId="0989C3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sz w:val="21"/>
                      <w:szCs w:val="21"/>
                      <w:highlight w:val="none"/>
                    </w:rPr>
                    <w:t>最低允许排放浓度</w:t>
                  </w:r>
                </w:p>
              </w:tc>
              <w:tc>
                <w:tcPr>
                  <w:tcW w:w="2684" w:type="dxa"/>
                  <w:noWrap w:val="0"/>
                  <w:vAlign w:val="center"/>
                </w:tcPr>
                <w:p w14:paraId="05ED77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sz w:val="21"/>
                      <w:szCs w:val="21"/>
                      <w:highlight w:val="none"/>
                    </w:rPr>
                    <w:t>净化设施最低去除效率</w:t>
                  </w:r>
                </w:p>
              </w:tc>
              <w:tc>
                <w:tcPr>
                  <w:tcW w:w="2353" w:type="dxa"/>
                  <w:noWrap w:val="0"/>
                  <w:vAlign w:val="center"/>
                </w:tcPr>
                <w:p w14:paraId="6ABF2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eastAsia="宋体" w:cs="Times New Roman"/>
                      <w:kern w:val="0"/>
                      <w:sz w:val="21"/>
                      <w:szCs w:val="21"/>
                    </w:rPr>
                    <w:t>监控位置</w:t>
                  </w:r>
                </w:p>
              </w:tc>
            </w:tr>
            <w:tr w14:paraId="01DC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7" w:type="dxa"/>
                  <w:noWrap w:val="0"/>
                  <w:vAlign w:val="center"/>
                </w:tcPr>
                <w:p w14:paraId="2A3A86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lang w:val="en-US" w:eastAsia="zh-CN"/>
                    </w:rPr>
                    <w:t>中</w:t>
                  </w:r>
                  <w:r>
                    <w:rPr>
                      <w:rFonts w:hint="default" w:ascii="Times New Roman" w:hAnsi="Times New Roman"/>
                      <w:sz w:val="21"/>
                      <w:szCs w:val="21"/>
                      <w:highlight w:val="none"/>
                    </w:rPr>
                    <w:t>型</w:t>
                  </w:r>
                </w:p>
              </w:tc>
              <w:tc>
                <w:tcPr>
                  <w:tcW w:w="2233" w:type="dxa"/>
                  <w:noWrap w:val="0"/>
                  <w:vAlign w:val="center"/>
                </w:tcPr>
                <w:p w14:paraId="1D479D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default" w:ascii="Times New Roman" w:hAnsi="Times New Roman"/>
                      <w:sz w:val="21"/>
                      <w:szCs w:val="21"/>
                      <w:highlight w:val="none"/>
                    </w:rPr>
                    <w:t>2.0mg/m</w:t>
                  </w:r>
                  <w:r>
                    <w:rPr>
                      <w:rFonts w:hint="default" w:ascii="Times New Roman" w:hAnsi="Times New Roman"/>
                      <w:sz w:val="21"/>
                      <w:szCs w:val="21"/>
                      <w:highlight w:val="none"/>
                      <w:vertAlign w:val="superscript"/>
                    </w:rPr>
                    <w:t>3</w:t>
                  </w:r>
                </w:p>
              </w:tc>
              <w:tc>
                <w:tcPr>
                  <w:tcW w:w="2684" w:type="dxa"/>
                  <w:noWrap w:val="0"/>
                  <w:vAlign w:val="center"/>
                </w:tcPr>
                <w:p w14:paraId="2F5A55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sz w:val="21"/>
                      <w:szCs w:val="21"/>
                      <w:highlight w:val="none"/>
                    </w:rPr>
                  </w:pPr>
                  <w:r>
                    <w:rPr>
                      <w:rFonts w:hint="eastAsia" w:ascii="Times New Roman" w:hAnsi="Times New Roman"/>
                      <w:sz w:val="21"/>
                      <w:szCs w:val="21"/>
                      <w:highlight w:val="none"/>
                      <w:lang w:val="en-US" w:eastAsia="zh-CN"/>
                    </w:rPr>
                    <w:t>75</w:t>
                  </w:r>
                  <w:r>
                    <w:rPr>
                      <w:rFonts w:hint="default" w:ascii="Times New Roman" w:hAnsi="Times New Roman"/>
                      <w:sz w:val="21"/>
                      <w:szCs w:val="21"/>
                      <w:highlight w:val="none"/>
                    </w:rPr>
                    <w:t>%</w:t>
                  </w:r>
                </w:p>
              </w:tc>
              <w:tc>
                <w:tcPr>
                  <w:tcW w:w="2353" w:type="dxa"/>
                  <w:noWrap w:val="0"/>
                  <w:vAlign w:val="center"/>
                </w:tcPr>
                <w:p w14:paraId="3C9FB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sz w:val="21"/>
                      <w:szCs w:val="21"/>
                      <w:highlight w:val="none"/>
                      <w:lang w:val="en-US" w:eastAsia="zh-CN"/>
                    </w:rPr>
                  </w:pPr>
                  <w:r>
                    <w:rPr>
                      <w:rFonts w:hint="default" w:ascii="Times New Roman" w:hAnsi="Times New Roman" w:eastAsia="宋体" w:cs="Times New Roman"/>
                      <w:sz w:val="21"/>
                      <w:szCs w:val="21"/>
                    </w:rPr>
                    <w:t>油烟净化器出口管道</w:t>
                  </w:r>
                </w:p>
              </w:tc>
            </w:tr>
          </w:tbl>
          <w:p w14:paraId="18045E8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2、废水</w:t>
            </w:r>
          </w:p>
          <w:p w14:paraId="48F03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 w:val="24"/>
                <w:lang w:val="zh-CN"/>
              </w:rPr>
            </w:pPr>
            <w:r>
              <w:rPr>
                <w:rFonts w:hint="default"/>
                <w:bCs/>
                <w:sz w:val="24"/>
              </w:rPr>
              <w:t>运营期</w:t>
            </w:r>
            <w:r>
              <w:rPr>
                <w:rFonts w:hint="eastAsia"/>
                <w:bCs/>
                <w:sz w:val="24"/>
              </w:rPr>
              <w:t>生活污水</w:t>
            </w:r>
            <w:r>
              <w:rPr>
                <w:rFonts w:hint="eastAsia"/>
                <w:bCs/>
                <w:sz w:val="24"/>
                <w:lang w:val="en-US" w:eastAsia="zh-CN"/>
              </w:rPr>
              <w:t>与生产废水</w:t>
            </w:r>
            <w:r>
              <w:rPr>
                <w:rFonts w:hint="default"/>
                <w:bCs/>
                <w:sz w:val="24"/>
              </w:rPr>
              <w:t>排放执行</w:t>
            </w:r>
            <w:r>
              <w:rPr>
                <w:rFonts w:hint="default"/>
                <w:sz w:val="24"/>
                <w:szCs w:val="28"/>
              </w:rPr>
              <w:t>《污水综合排放标准》（GB8978-1996）三级标准</w:t>
            </w:r>
            <w:r>
              <w:rPr>
                <w:rFonts w:hint="default"/>
                <w:sz w:val="24"/>
              </w:rPr>
              <w:t>和《污水排入城镇下水道水质标准》（GB/T</w:t>
            </w:r>
            <w:r>
              <w:rPr>
                <w:rFonts w:hint="eastAsia"/>
                <w:sz w:val="24"/>
                <w:lang w:val="en-US" w:eastAsia="zh-CN"/>
              </w:rPr>
              <w:t xml:space="preserve"> 3</w:t>
            </w:r>
            <w:r>
              <w:rPr>
                <w:rFonts w:hint="default"/>
                <w:sz w:val="24"/>
              </w:rPr>
              <w:t>1962-2015）</w:t>
            </w:r>
            <w:r>
              <w:rPr>
                <w:rFonts w:hint="eastAsia"/>
                <w:sz w:val="24"/>
              </w:rPr>
              <w:t>B</w:t>
            </w:r>
            <w:r>
              <w:rPr>
                <w:rFonts w:hint="default"/>
                <w:sz w:val="24"/>
              </w:rPr>
              <w:t>级标准</w:t>
            </w:r>
            <w:r>
              <w:rPr>
                <w:rFonts w:hint="eastAsia"/>
                <w:sz w:val="24"/>
              </w:rPr>
              <w:t>，具体见表3-</w:t>
            </w:r>
            <w:r>
              <w:rPr>
                <w:rFonts w:hint="eastAsia"/>
                <w:sz w:val="24"/>
                <w:lang w:val="en-US" w:eastAsia="zh-CN"/>
              </w:rPr>
              <w:t>10</w:t>
            </w:r>
            <w:r>
              <w:rPr>
                <w:rFonts w:hint="default"/>
                <w:sz w:val="24"/>
              </w:rPr>
              <w:t>。</w:t>
            </w:r>
          </w:p>
          <w:p w14:paraId="3B9648AD">
            <w:pPr>
              <w:keepNext w:val="0"/>
              <w:keepLines w:val="0"/>
              <w:numPr>
                <w:ilvl w:val="0"/>
                <w:numId w:val="0"/>
              </w:numPr>
              <w:suppressLineNumbers w:val="0"/>
              <w:tabs>
                <w:tab w:val="left" w:pos="0"/>
              </w:tabs>
              <w:spacing w:before="0" w:beforeAutospacing="0" w:after="0" w:afterAutospacing="0"/>
              <w:ind w:left="0" w:right="0" w:rightChars="0" w:firstLine="1897" w:firstLineChars="900"/>
              <w:jc w:val="both"/>
              <w:rPr>
                <w:rFonts w:hint="eastAsia"/>
                <w:b/>
                <w:bCs/>
                <w:sz w:val="24"/>
                <w:szCs w:val="24"/>
              </w:rPr>
            </w:pPr>
            <w:r>
              <w:rPr>
                <w:rFonts w:hint="eastAsia"/>
                <w:b/>
                <w:bCs/>
                <w:sz w:val="21"/>
                <w:szCs w:val="21"/>
                <w:lang w:val="en-US" w:eastAsia="zh-CN"/>
              </w:rPr>
              <w:t xml:space="preserve">表3-10    </w:t>
            </w:r>
            <w:r>
              <w:rPr>
                <w:rFonts w:hint="eastAsia"/>
                <w:b/>
                <w:bCs/>
                <w:sz w:val="21"/>
                <w:szCs w:val="21"/>
              </w:rPr>
              <w:t>废水排放标准       单位：mg/L</w:t>
            </w:r>
          </w:p>
          <w:tbl>
            <w:tblPr>
              <w:tblStyle w:val="35"/>
              <w:tblW w:w="85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2"/>
              <w:gridCol w:w="800"/>
              <w:gridCol w:w="867"/>
              <w:gridCol w:w="648"/>
              <w:gridCol w:w="709"/>
              <w:gridCol w:w="709"/>
              <w:gridCol w:w="736"/>
              <w:gridCol w:w="969"/>
            </w:tblGrid>
            <w:tr w14:paraId="611BC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19" w:type="pct"/>
                  <w:noWrap w:val="0"/>
                  <w:vAlign w:val="center"/>
                </w:tcPr>
                <w:p w14:paraId="0E6A8284">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执行标准</w:t>
                  </w:r>
                </w:p>
              </w:tc>
              <w:tc>
                <w:tcPr>
                  <w:tcW w:w="467" w:type="pct"/>
                  <w:noWrap w:val="0"/>
                  <w:vAlign w:val="center"/>
                </w:tcPr>
                <w:p w14:paraId="0E16C7AF">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COD</w:t>
                  </w:r>
                </w:p>
              </w:tc>
              <w:tc>
                <w:tcPr>
                  <w:tcW w:w="507" w:type="pct"/>
                  <w:noWrap w:val="0"/>
                  <w:vAlign w:val="center"/>
                </w:tcPr>
                <w:p w14:paraId="1B2BBED8">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BOD</w:t>
                  </w:r>
                  <w:r>
                    <w:rPr>
                      <w:rFonts w:hint="default" w:ascii="Times New Roman" w:hAnsi="Times New Roman" w:eastAsia="宋体" w:cs="Times New Roman"/>
                      <w:b w:val="0"/>
                      <w:bCs/>
                      <w:kern w:val="2"/>
                      <w:szCs w:val="21"/>
                      <w:vertAlign w:val="subscript"/>
                    </w:rPr>
                    <w:t>5</w:t>
                  </w:r>
                </w:p>
              </w:tc>
              <w:tc>
                <w:tcPr>
                  <w:tcW w:w="378" w:type="pct"/>
                  <w:tcBorders>
                    <w:right w:val="single" w:color="auto" w:sz="4" w:space="0"/>
                  </w:tcBorders>
                  <w:noWrap w:val="0"/>
                  <w:vAlign w:val="center"/>
                </w:tcPr>
                <w:p w14:paraId="26565AAD">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SS</w:t>
                  </w:r>
                </w:p>
              </w:tc>
              <w:tc>
                <w:tcPr>
                  <w:tcW w:w="414" w:type="pct"/>
                  <w:tcBorders>
                    <w:left w:val="single" w:color="auto" w:sz="4" w:space="0"/>
                    <w:right w:val="single" w:color="auto" w:sz="4" w:space="0"/>
                  </w:tcBorders>
                  <w:noWrap w:val="0"/>
                  <w:vAlign w:val="center"/>
                </w:tcPr>
                <w:p w14:paraId="5FFFD10D">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szCs w:val="21"/>
                    </w:rPr>
                    <w:t>氨氮</w:t>
                  </w:r>
                </w:p>
              </w:tc>
              <w:tc>
                <w:tcPr>
                  <w:tcW w:w="414" w:type="pct"/>
                  <w:tcBorders>
                    <w:left w:val="single" w:color="auto" w:sz="4" w:space="0"/>
                    <w:right w:val="single" w:color="auto" w:sz="4" w:space="0"/>
                  </w:tcBorders>
                  <w:noWrap w:val="0"/>
                  <w:vAlign w:val="center"/>
                </w:tcPr>
                <w:p w14:paraId="09D6A885">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总氮</w:t>
                  </w:r>
                </w:p>
              </w:tc>
              <w:tc>
                <w:tcPr>
                  <w:tcW w:w="430" w:type="pct"/>
                  <w:tcBorders>
                    <w:left w:val="single" w:color="auto" w:sz="4" w:space="0"/>
                    <w:right w:val="single" w:color="auto" w:sz="4" w:space="0"/>
                  </w:tcBorders>
                  <w:noWrap w:val="0"/>
                  <w:vAlign w:val="center"/>
                </w:tcPr>
                <w:p w14:paraId="25144616">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kern w:val="2"/>
                      <w:szCs w:val="21"/>
                    </w:rPr>
                  </w:pPr>
                  <w:r>
                    <w:rPr>
                      <w:rFonts w:hint="default" w:ascii="Times New Roman" w:hAnsi="Times New Roman" w:eastAsia="宋体" w:cs="Times New Roman"/>
                      <w:b w:val="0"/>
                      <w:bCs/>
                      <w:kern w:val="2"/>
                      <w:szCs w:val="21"/>
                    </w:rPr>
                    <w:t>总磷</w:t>
                  </w:r>
                </w:p>
              </w:tc>
              <w:tc>
                <w:tcPr>
                  <w:tcW w:w="566" w:type="pct"/>
                  <w:tcBorders>
                    <w:left w:val="single" w:color="auto" w:sz="4" w:space="0"/>
                    <w:right w:val="single" w:color="auto" w:sz="4" w:space="0"/>
                  </w:tcBorders>
                  <w:noWrap w:val="0"/>
                  <w:vAlign w:val="center"/>
                </w:tcPr>
                <w:p w14:paraId="35B712D3">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b w:val="0"/>
                      <w:bCs/>
                      <w:kern w:val="2"/>
                      <w:szCs w:val="21"/>
                      <w:lang w:val="en-US" w:eastAsia="zh-CN"/>
                    </w:rPr>
                  </w:pPr>
                  <w:r>
                    <w:rPr>
                      <w:rFonts w:hint="eastAsia" w:cs="Times New Roman"/>
                      <w:b w:val="0"/>
                      <w:bCs/>
                      <w:kern w:val="2"/>
                      <w:szCs w:val="21"/>
                      <w:lang w:val="en-US" w:eastAsia="zh-CN"/>
                    </w:rPr>
                    <w:t>石油类</w:t>
                  </w:r>
                </w:p>
              </w:tc>
            </w:tr>
            <w:tr w14:paraId="357D3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819" w:type="pct"/>
                  <w:noWrap w:val="0"/>
                  <w:vAlign w:val="center"/>
                </w:tcPr>
                <w:p w14:paraId="30E0CB1A">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spacing w:val="-6"/>
                      <w:szCs w:val="21"/>
                    </w:rPr>
                  </w:pPr>
                  <w:bookmarkStart w:id="1" w:name="_Hlk33467416"/>
                  <w:r>
                    <w:rPr>
                      <w:rFonts w:hint="default" w:ascii="Times New Roman" w:hAnsi="Times New Roman" w:eastAsia="宋体" w:cs="Times New Roman"/>
                      <w:b w:val="0"/>
                      <w:bCs/>
                      <w:spacing w:val="-6"/>
                      <w:szCs w:val="21"/>
                    </w:rPr>
                    <w:t>《污水综合排放标准》</w:t>
                  </w:r>
                </w:p>
                <w:p w14:paraId="577D2E66">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spacing w:val="-6"/>
                      <w:kern w:val="2"/>
                      <w:szCs w:val="21"/>
                    </w:rPr>
                  </w:pPr>
                  <w:r>
                    <w:rPr>
                      <w:rFonts w:hint="default" w:ascii="Times New Roman" w:hAnsi="Times New Roman" w:eastAsia="宋体" w:cs="Times New Roman"/>
                      <w:b w:val="0"/>
                      <w:bCs/>
                      <w:spacing w:val="-6"/>
                      <w:szCs w:val="21"/>
                    </w:rPr>
                    <w:t>（GB8978-1996）三级标准</w:t>
                  </w:r>
                </w:p>
              </w:tc>
              <w:tc>
                <w:tcPr>
                  <w:tcW w:w="467" w:type="pct"/>
                  <w:noWrap w:val="0"/>
                  <w:vAlign w:val="center"/>
                </w:tcPr>
                <w:p w14:paraId="48D6E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500</w:t>
                  </w:r>
                </w:p>
              </w:tc>
              <w:tc>
                <w:tcPr>
                  <w:tcW w:w="507" w:type="pct"/>
                  <w:noWrap w:val="0"/>
                  <w:vAlign w:val="center"/>
                </w:tcPr>
                <w:p w14:paraId="32E92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300</w:t>
                  </w:r>
                </w:p>
              </w:tc>
              <w:tc>
                <w:tcPr>
                  <w:tcW w:w="378" w:type="pct"/>
                  <w:tcBorders>
                    <w:right w:val="single" w:color="auto" w:sz="4" w:space="0"/>
                  </w:tcBorders>
                  <w:noWrap w:val="0"/>
                  <w:vAlign w:val="center"/>
                </w:tcPr>
                <w:p w14:paraId="4DC4C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400</w:t>
                  </w:r>
                </w:p>
              </w:tc>
              <w:tc>
                <w:tcPr>
                  <w:tcW w:w="414" w:type="pct"/>
                  <w:tcBorders>
                    <w:left w:val="single" w:color="auto" w:sz="4" w:space="0"/>
                    <w:right w:val="single" w:color="auto" w:sz="4" w:space="0"/>
                  </w:tcBorders>
                  <w:noWrap w:val="0"/>
                  <w:vAlign w:val="center"/>
                </w:tcPr>
                <w:p w14:paraId="19EB4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rPr>
                    <w:t>—</w:t>
                  </w:r>
                </w:p>
              </w:tc>
              <w:tc>
                <w:tcPr>
                  <w:tcW w:w="414" w:type="pct"/>
                  <w:tcBorders>
                    <w:left w:val="single" w:color="auto" w:sz="4" w:space="0"/>
                    <w:right w:val="single" w:color="auto" w:sz="4" w:space="0"/>
                  </w:tcBorders>
                  <w:noWrap w:val="0"/>
                  <w:vAlign w:val="center"/>
                </w:tcPr>
                <w:p w14:paraId="67B76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430" w:type="pct"/>
                  <w:tcBorders>
                    <w:left w:val="single" w:color="auto" w:sz="4" w:space="0"/>
                    <w:right w:val="single" w:color="auto" w:sz="4" w:space="0"/>
                  </w:tcBorders>
                  <w:noWrap w:val="0"/>
                  <w:vAlign w:val="center"/>
                </w:tcPr>
                <w:p w14:paraId="21432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566" w:type="pct"/>
                  <w:tcBorders>
                    <w:left w:val="single" w:color="auto" w:sz="4" w:space="0"/>
                    <w:right w:val="single" w:color="auto" w:sz="4" w:space="0"/>
                  </w:tcBorders>
                  <w:noWrap w:val="0"/>
                  <w:vAlign w:val="center"/>
                </w:tcPr>
                <w:p w14:paraId="1F5D7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rPr>
                    <w:t>—</w:t>
                  </w:r>
                </w:p>
              </w:tc>
            </w:tr>
            <w:bookmarkEnd w:id="1"/>
            <w:tr w14:paraId="72D36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jc w:val="center"/>
              </w:trPr>
              <w:tc>
                <w:tcPr>
                  <w:tcW w:w="1819" w:type="pct"/>
                  <w:noWrap w:val="0"/>
                  <w:vAlign w:val="center"/>
                </w:tcPr>
                <w:p w14:paraId="7D8185CF">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val="0"/>
                      <w:bCs/>
                      <w:spacing w:val="-6"/>
                      <w:kern w:val="2"/>
                      <w:szCs w:val="21"/>
                    </w:rPr>
                  </w:pPr>
                  <w:r>
                    <w:rPr>
                      <w:rFonts w:hint="default" w:ascii="Times New Roman" w:hAnsi="Times New Roman" w:eastAsia="宋体" w:cs="Times New Roman"/>
                      <w:b w:val="0"/>
                      <w:bCs/>
                      <w:spacing w:val="-6"/>
                      <w:szCs w:val="21"/>
                    </w:rPr>
                    <w:t>《污水排入城镇下水道水质标准》（GB/T31962-2015）B级标准</w:t>
                  </w:r>
                </w:p>
              </w:tc>
              <w:tc>
                <w:tcPr>
                  <w:tcW w:w="467" w:type="pct"/>
                  <w:noWrap w:val="0"/>
                  <w:vAlign w:val="center"/>
                </w:tcPr>
                <w:p w14:paraId="1AE17E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507" w:type="pct"/>
                  <w:noWrap w:val="0"/>
                  <w:vAlign w:val="center"/>
                </w:tcPr>
                <w:p w14:paraId="054C5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378" w:type="pct"/>
                  <w:tcBorders>
                    <w:right w:val="single" w:color="auto" w:sz="4" w:space="0"/>
                  </w:tcBorders>
                  <w:noWrap w:val="0"/>
                  <w:vAlign w:val="center"/>
                </w:tcPr>
                <w:p w14:paraId="08E11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414" w:type="pct"/>
                  <w:tcBorders>
                    <w:left w:val="single" w:color="auto" w:sz="4" w:space="0"/>
                    <w:right w:val="single" w:color="auto" w:sz="4" w:space="0"/>
                  </w:tcBorders>
                  <w:noWrap w:val="0"/>
                  <w:vAlign w:val="center"/>
                </w:tcPr>
                <w:p w14:paraId="4ABA8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45</w:t>
                  </w:r>
                </w:p>
              </w:tc>
              <w:tc>
                <w:tcPr>
                  <w:tcW w:w="414" w:type="pct"/>
                  <w:tcBorders>
                    <w:left w:val="single" w:color="auto" w:sz="4" w:space="0"/>
                    <w:right w:val="single" w:color="auto" w:sz="4" w:space="0"/>
                  </w:tcBorders>
                  <w:noWrap w:val="0"/>
                  <w:vAlign w:val="center"/>
                </w:tcPr>
                <w:p w14:paraId="63AC2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70</w:t>
                  </w:r>
                </w:p>
              </w:tc>
              <w:tc>
                <w:tcPr>
                  <w:tcW w:w="430" w:type="pct"/>
                  <w:tcBorders>
                    <w:left w:val="single" w:color="auto" w:sz="4" w:space="0"/>
                    <w:right w:val="single" w:color="auto" w:sz="4" w:space="0"/>
                  </w:tcBorders>
                  <w:noWrap w:val="0"/>
                  <w:vAlign w:val="center"/>
                </w:tcPr>
                <w:p w14:paraId="70B2B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8</w:t>
                  </w:r>
                </w:p>
              </w:tc>
              <w:tc>
                <w:tcPr>
                  <w:tcW w:w="566" w:type="pct"/>
                  <w:tcBorders>
                    <w:left w:val="single" w:color="auto" w:sz="4" w:space="0"/>
                    <w:right w:val="single" w:color="auto" w:sz="4" w:space="0"/>
                  </w:tcBorders>
                  <w:noWrap w:val="0"/>
                  <w:vAlign w:val="center"/>
                </w:tcPr>
                <w:p w14:paraId="57E4D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szCs w:val="21"/>
                      <w:lang w:val="en-US" w:eastAsia="zh-CN"/>
                    </w:rPr>
                  </w:pPr>
                  <w:r>
                    <w:rPr>
                      <w:rFonts w:hint="eastAsia" w:ascii="Times New Roman" w:hAnsi="Times New Roman" w:eastAsia="宋体" w:cs="Times New Roman"/>
                      <w:b w:val="0"/>
                      <w:bCs/>
                      <w:szCs w:val="21"/>
                      <w:lang w:val="en-US" w:eastAsia="zh-CN"/>
                    </w:rPr>
                    <w:t>15</w:t>
                  </w:r>
                </w:p>
              </w:tc>
            </w:tr>
          </w:tbl>
          <w:p w14:paraId="542D829D">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3、噪声</w:t>
            </w:r>
          </w:p>
          <w:p w14:paraId="6ED97C7D">
            <w:pPr>
              <w:keepNext w:val="0"/>
              <w:keepLines w:val="0"/>
              <w:suppressLineNumbers w:val="0"/>
              <w:spacing w:before="0" w:beforeAutospacing="0" w:after="0" w:afterAutospacing="0" w:line="360" w:lineRule="auto"/>
              <w:ind w:left="0" w:right="0" w:firstLine="480" w:firstLineChars="200"/>
              <w:rPr>
                <w:rFonts w:hint="eastAsia"/>
                <w:sz w:val="24"/>
              </w:rPr>
            </w:pPr>
            <w:r>
              <w:rPr>
                <w:rFonts w:hint="eastAsia"/>
                <w:sz w:val="24"/>
              </w:rPr>
              <w:t>（1）</w:t>
            </w:r>
            <w:r>
              <w:rPr>
                <w:rFonts w:hint="default"/>
                <w:sz w:val="24"/>
              </w:rPr>
              <w:t>施工期噪声执行《建筑施工场界环境噪声排放标准》（GB12523-2011），具体见</w:t>
            </w:r>
            <w:r>
              <w:rPr>
                <w:rFonts w:hint="eastAsia"/>
                <w:sz w:val="24"/>
              </w:rPr>
              <w:t>下</w:t>
            </w:r>
            <w:r>
              <w:rPr>
                <w:rFonts w:hint="default"/>
                <w:sz w:val="24"/>
              </w:rPr>
              <w:t>表</w:t>
            </w:r>
            <w:r>
              <w:rPr>
                <w:rFonts w:hint="eastAsia"/>
                <w:sz w:val="24"/>
              </w:rPr>
              <w:t>。</w:t>
            </w:r>
          </w:p>
          <w:p w14:paraId="0DDC8B9F">
            <w:pPr>
              <w:keepNext w:val="0"/>
              <w:keepLines w:val="0"/>
              <w:suppressLineNumbers w:val="0"/>
              <w:spacing w:before="0" w:beforeAutospacing="0" w:after="0" w:afterAutospacing="0"/>
              <w:ind w:left="0" w:right="0" w:firstLine="1265" w:firstLineChars="600"/>
              <w:rPr>
                <w:rFonts w:hint="default"/>
                <w:b/>
                <w:bCs/>
                <w:sz w:val="21"/>
                <w:szCs w:val="24"/>
              </w:rPr>
            </w:pPr>
            <w:r>
              <w:rPr>
                <w:rFonts w:hint="default"/>
                <w:b/>
                <w:bCs/>
                <w:sz w:val="21"/>
                <w:szCs w:val="24"/>
              </w:rPr>
              <w:t>表3-</w:t>
            </w:r>
            <w:r>
              <w:rPr>
                <w:rFonts w:hint="eastAsia"/>
                <w:b/>
                <w:bCs/>
                <w:sz w:val="21"/>
                <w:szCs w:val="24"/>
                <w:lang w:val="en-US" w:eastAsia="zh-CN"/>
              </w:rPr>
              <w:t>11</w:t>
            </w:r>
            <w:r>
              <w:rPr>
                <w:rFonts w:hint="default"/>
                <w:b/>
                <w:bCs/>
                <w:sz w:val="21"/>
                <w:szCs w:val="24"/>
              </w:rPr>
              <w:t xml:space="preserve">     建筑施工场界环境噪声排放标准      单位：dB(A)</w:t>
            </w:r>
          </w:p>
          <w:tbl>
            <w:tblPr>
              <w:tblStyle w:val="35"/>
              <w:tblW w:w="0" w:type="auto"/>
              <w:tblInd w:w="2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3401"/>
              <w:gridCol w:w="2717"/>
            </w:tblGrid>
            <w:tr w14:paraId="50EC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9" w:type="dxa"/>
                  <w:noWrap w:val="0"/>
                  <w:vAlign w:val="center"/>
                </w:tcPr>
                <w:p w14:paraId="0B874E62">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类别</w:t>
                  </w:r>
                </w:p>
              </w:tc>
              <w:tc>
                <w:tcPr>
                  <w:tcW w:w="3401" w:type="dxa"/>
                  <w:noWrap w:val="0"/>
                  <w:vAlign w:val="center"/>
                </w:tcPr>
                <w:p w14:paraId="5B6CD4BF">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昼间</w:t>
                  </w:r>
                </w:p>
              </w:tc>
              <w:tc>
                <w:tcPr>
                  <w:tcW w:w="2717" w:type="dxa"/>
                  <w:noWrap w:val="0"/>
                  <w:vAlign w:val="center"/>
                </w:tcPr>
                <w:p w14:paraId="622A1B9D">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夜间</w:t>
                  </w:r>
                </w:p>
              </w:tc>
            </w:tr>
            <w:tr w14:paraId="189F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9" w:type="dxa"/>
                  <w:noWrap w:val="0"/>
                  <w:vAlign w:val="center"/>
                </w:tcPr>
                <w:p w14:paraId="7115309F">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标准值</w:t>
                  </w:r>
                </w:p>
              </w:tc>
              <w:tc>
                <w:tcPr>
                  <w:tcW w:w="3401" w:type="dxa"/>
                  <w:noWrap w:val="0"/>
                  <w:vAlign w:val="center"/>
                </w:tcPr>
                <w:p w14:paraId="223913FB">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70</w:t>
                  </w:r>
                </w:p>
              </w:tc>
              <w:tc>
                <w:tcPr>
                  <w:tcW w:w="2717" w:type="dxa"/>
                  <w:noWrap w:val="0"/>
                  <w:vAlign w:val="center"/>
                </w:tcPr>
                <w:p w14:paraId="1CBE4D2B">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55</w:t>
                  </w:r>
                </w:p>
              </w:tc>
            </w:tr>
          </w:tbl>
          <w:p w14:paraId="3DC38152">
            <w:pPr>
              <w:keepNext w:val="0"/>
              <w:keepLines w:val="0"/>
              <w:suppressLineNumbers w:val="0"/>
              <w:spacing w:before="120" w:beforeLines="50" w:beforeAutospacing="0" w:after="0" w:afterAutospacing="0" w:line="360" w:lineRule="auto"/>
              <w:ind w:left="0" w:right="0" w:firstLine="480" w:firstLineChars="200"/>
              <w:rPr>
                <w:rFonts w:hint="default"/>
                <w:sz w:val="24"/>
              </w:rPr>
            </w:pPr>
            <w:r>
              <w:rPr>
                <w:rFonts w:hint="eastAsia"/>
                <w:sz w:val="24"/>
              </w:rPr>
              <w:t>（2）</w:t>
            </w:r>
            <w:r>
              <w:rPr>
                <w:rFonts w:hint="default" w:ascii="Times New Roman" w:hAnsi="Times New Roman" w:cs="Times New Roman"/>
                <w:sz w:val="24"/>
              </w:rPr>
              <w:t>运营期噪声执行《工业企业厂界环境噪声排放标准》（GB12348-2008）</w:t>
            </w:r>
            <w:r>
              <w:rPr>
                <w:rFonts w:hint="default" w:ascii="Times New Roman" w:hAnsi="Times New Roman" w:cs="Times New Roman"/>
                <w:sz w:val="24"/>
                <w:lang w:val="en-US" w:eastAsia="zh-CN"/>
              </w:rPr>
              <w:t>3</w:t>
            </w:r>
            <w:r>
              <w:rPr>
                <w:rFonts w:hint="default" w:ascii="Times New Roman" w:hAnsi="Times New Roman" w:cs="Times New Roman"/>
                <w:sz w:val="24"/>
              </w:rPr>
              <w:t>类，具体标准限值见下表。</w:t>
            </w:r>
          </w:p>
          <w:p w14:paraId="4D0FBE3A">
            <w:pPr>
              <w:keepNext w:val="0"/>
              <w:keepLines w:val="0"/>
              <w:suppressLineNumbers w:val="0"/>
              <w:spacing w:before="0" w:beforeAutospacing="0" w:after="0" w:afterAutospacing="0"/>
              <w:ind w:left="0" w:right="0" w:firstLine="1265" w:firstLineChars="600"/>
              <w:rPr>
                <w:rFonts w:hint="default"/>
                <w:b/>
                <w:bCs/>
                <w:sz w:val="21"/>
                <w:szCs w:val="24"/>
              </w:rPr>
            </w:pPr>
            <w:r>
              <w:rPr>
                <w:rFonts w:hint="default"/>
                <w:b/>
                <w:bCs/>
                <w:sz w:val="21"/>
                <w:szCs w:val="24"/>
              </w:rPr>
              <w:t>表3-</w:t>
            </w:r>
            <w:r>
              <w:rPr>
                <w:rFonts w:hint="eastAsia"/>
                <w:b/>
                <w:bCs/>
                <w:sz w:val="21"/>
                <w:szCs w:val="24"/>
                <w:lang w:val="en-US" w:eastAsia="zh-CN"/>
              </w:rPr>
              <w:t>12</w:t>
            </w:r>
            <w:r>
              <w:rPr>
                <w:rFonts w:hint="default"/>
                <w:b/>
                <w:bCs/>
                <w:sz w:val="21"/>
                <w:szCs w:val="24"/>
              </w:rPr>
              <w:t xml:space="preserve">      工业企业厂界环境噪声排放标准       单位：dB(A)</w:t>
            </w:r>
          </w:p>
          <w:tbl>
            <w:tblPr>
              <w:tblStyle w:val="35"/>
              <w:tblW w:w="7917" w:type="dxa"/>
              <w:tblInd w:w="258"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815"/>
              <w:gridCol w:w="3100"/>
              <w:gridCol w:w="3002"/>
            </w:tblGrid>
            <w:tr w14:paraId="6707078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1815" w:type="dxa"/>
                  <w:tcBorders>
                    <w:bottom w:val="single" w:color="auto" w:sz="4" w:space="0"/>
                    <w:right w:val="single" w:color="auto" w:sz="4" w:space="0"/>
                  </w:tcBorders>
                  <w:noWrap w:val="0"/>
                  <w:vAlign w:val="center"/>
                </w:tcPr>
                <w:p w14:paraId="33EF46BF">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类别</w:t>
                  </w:r>
                </w:p>
              </w:tc>
              <w:tc>
                <w:tcPr>
                  <w:tcW w:w="3100" w:type="dxa"/>
                  <w:tcBorders>
                    <w:left w:val="single" w:color="auto" w:sz="4" w:space="0"/>
                    <w:bottom w:val="single" w:color="auto" w:sz="4" w:space="0"/>
                    <w:right w:val="single" w:color="auto" w:sz="4" w:space="0"/>
                  </w:tcBorders>
                  <w:noWrap w:val="0"/>
                  <w:vAlign w:val="center"/>
                </w:tcPr>
                <w:p w14:paraId="3345E0A9">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昼间</w:t>
                  </w:r>
                </w:p>
              </w:tc>
              <w:tc>
                <w:tcPr>
                  <w:tcW w:w="3002" w:type="dxa"/>
                  <w:tcBorders>
                    <w:left w:val="single" w:color="auto" w:sz="4" w:space="0"/>
                    <w:bottom w:val="single" w:color="auto" w:sz="4" w:space="0"/>
                  </w:tcBorders>
                  <w:noWrap w:val="0"/>
                  <w:vAlign w:val="center"/>
                </w:tcPr>
                <w:p w14:paraId="7FEBFB1E">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夜间</w:t>
                  </w:r>
                </w:p>
              </w:tc>
            </w:tr>
            <w:tr w14:paraId="0B13218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21" w:hRule="atLeast"/>
              </w:trPr>
              <w:tc>
                <w:tcPr>
                  <w:tcW w:w="1815" w:type="dxa"/>
                  <w:tcBorders>
                    <w:top w:val="single" w:color="auto" w:sz="4" w:space="0"/>
                    <w:right w:val="single" w:color="auto" w:sz="4" w:space="0"/>
                  </w:tcBorders>
                  <w:noWrap w:val="0"/>
                  <w:vAlign w:val="center"/>
                </w:tcPr>
                <w:p w14:paraId="762C7B45">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3</w:t>
                  </w:r>
                  <w:r>
                    <w:rPr>
                      <w:rFonts w:hint="eastAsia"/>
                      <w:szCs w:val="21"/>
                    </w:rPr>
                    <w:t>类</w:t>
                  </w:r>
                </w:p>
              </w:tc>
              <w:tc>
                <w:tcPr>
                  <w:tcW w:w="3100" w:type="dxa"/>
                  <w:tcBorders>
                    <w:top w:val="single" w:color="auto" w:sz="4" w:space="0"/>
                    <w:left w:val="single" w:color="auto" w:sz="4" w:space="0"/>
                    <w:right w:val="single" w:color="auto" w:sz="4" w:space="0"/>
                  </w:tcBorders>
                  <w:noWrap w:val="0"/>
                  <w:vAlign w:val="center"/>
                </w:tcPr>
                <w:p w14:paraId="0B5A328B">
                  <w:pPr>
                    <w:keepNext w:val="0"/>
                    <w:keepLines w:val="0"/>
                    <w:suppressLineNumbers w:val="0"/>
                    <w:spacing w:before="0" w:beforeAutospacing="0" w:after="0" w:afterAutospacing="0" w:line="360" w:lineRule="exact"/>
                    <w:ind w:left="0" w:right="0"/>
                    <w:jc w:val="center"/>
                    <w:rPr>
                      <w:rFonts w:hint="eastAsia" w:eastAsia="宋体"/>
                      <w:szCs w:val="21"/>
                      <w:lang w:val="en-US" w:eastAsia="zh-CN"/>
                    </w:rPr>
                  </w:pPr>
                  <w:r>
                    <w:rPr>
                      <w:rFonts w:hint="default"/>
                      <w:szCs w:val="21"/>
                    </w:rPr>
                    <w:t>6</w:t>
                  </w:r>
                  <w:r>
                    <w:rPr>
                      <w:rFonts w:hint="eastAsia"/>
                      <w:szCs w:val="21"/>
                      <w:lang w:val="en-US" w:eastAsia="zh-CN"/>
                    </w:rPr>
                    <w:t>5</w:t>
                  </w:r>
                </w:p>
              </w:tc>
              <w:tc>
                <w:tcPr>
                  <w:tcW w:w="3002" w:type="dxa"/>
                  <w:tcBorders>
                    <w:top w:val="single" w:color="auto" w:sz="4" w:space="0"/>
                    <w:left w:val="single" w:color="auto" w:sz="4" w:space="0"/>
                  </w:tcBorders>
                  <w:noWrap w:val="0"/>
                  <w:vAlign w:val="center"/>
                </w:tcPr>
                <w:p w14:paraId="1C23FAA5">
                  <w:pPr>
                    <w:keepNext w:val="0"/>
                    <w:keepLines w:val="0"/>
                    <w:suppressLineNumbers w:val="0"/>
                    <w:spacing w:before="0" w:beforeAutospacing="0" w:after="0" w:afterAutospacing="0" w:line="360" w:lineRule="exact"/>
                    <w:ind w:left="0" w:right="0"/>
                    <w:jc w:val="center"/>
                    <w:rPr>
                      <w:rFonts w:hint="eastAsia" w:eastAsia="宋体"/>
                      <w:szCs w:val="21"/>
                      <w:lang w:eastAsia="zh-CN"/>
                    </w:rPr>
                  </w:pPr>
                  <w:r>
                    <w:rPr>
                      <w:rFonts w:hint="default"/>
                      <w:szCs w:val="21"/>
                    </w:rPr>
                    <w:t>5</w:t>
                  </w:r>
                  <w:r>
                    <w:rPr>
                      <w:rFonts w:hint="eastAsia"/>
                      <w:szCs w:val="21"/>
                      <w:lang w:val="en-US" w:eastAsia="zh-CN"/>
                    </w:rPr>
                    <w:t>5</w:t>
                  </w:r>
                </w:p>
              </w:tc>
            </w:tr>
          </w:tbl>
          <w:p w14:paraId="243CAF50">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b/>
                <w:bCs/>
                <w:sz w:val="24"/>
              </w:rPr>
            </w:pPr>
            <w:r>
              <w:rPr>
                <w:rFonts w:hint="eastAsia"/>
                <w:b/>
                <w:bCs/>
                <w:sz w:val="24"/>
                <w:lang w:val="en-US" w:eastAsia="zh-CN"/>
              </w:rPr>
              <w:t>4</w:t>
            </w:r>
            <w:r>
              <w:rPr>
                <w:rFonts w:hint="eastAsia"/>
                <w:b/>
                <w:bCs/>
                <w:sz w:val="24"/>
              </w:rPr>
              <w:t>、固体废物</w:t>
            </w:r>
          </w:p>
          <w:p w14:paraId="31FA6DE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color w:val="auto"/>
                <w:sz w:val="24"/>
                <w:highlight w:val="none"/>
              </w:rPr>
            </w:pPr>
            <w:r>
              <w:rPr>
                <w:rFonts w:hint="eastAsia"/>
                <w:sz w:val="24"/>
              </w:rPr>
              <w:t>一般固体废物执行《一般工业固体废物贮存和填埋污染控制标准》（GB18599-2020）；危险废物执行《危险废物贮存污染控制标准》（GB18597-20</w:t>
            </w:r>
            <w:r>
              <w:rPr>
                <w:rFonts w:hint="default"/>
                <w:sz w:val="24"/>
              </w:rPr>
              <w:t>23</w:t>
            </w:r>
            <w:r>
              <w:rPr>
                <w:rFonts w:hint="eastAsia"/>
                <w:sz w:val="24"/>
              </w:rPr>
              <w:t>）。</w:t>
            </w:r>
          </w:p>
        </w:tc>
      </w:tr>
      <w:tr w14:paraId="6D039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242" w:type="pct"/>
            <w:tcBorders>
              <w:top w:val="single" w:color="auto" w:sz="8" w:space="0"/>
            </w:tcBorders>
            <w:tcMar>
              <w:left w:w="57" w:type="dxa"/>
              <w:right w:w="57" w:type="dxa"/>
            </w:tcMar>
            <w:vAlign w:val="center"/>
          </w:tcPr>
          <w:p w14:paraId="0D5274B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总量控制指标</w:t>
            </w:r>
          </w:p>
        </w:tc>
        <w:tc>
          <w:tcPr>
            <w:tcW w:w="4757" w:type="pct"/>
            <w:tcBorders>
              <w:top w:val="single" w:color="auto" w:sz="8" w:space="0"/>
            </w:tcBorders>
            <w:vAlign w:val="center"/>
          </w:tcPr>
          <w:p w14:paraId="11B049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根据《</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十四五</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主要污染物总量控制规划编制技术指南》及陕西省有关规定，</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陕西</w:t>
            </w:r>
            <w:r>
              <w:rPr>
                <w:rFonts w:hint="eastAsia" w:ascii="Times New Roman" w:hAnsi="Times New Roman" w:cs="Times New Roman" w:eastAsiaTheme="minorEastAsia"/>
                <w:color w:val="000000" w:themeColor="text1"/>
                <w:kern w:val="0"/>
                <w:sz w:val="24"/>
                <w:lang w:val="en-US" w:eastAsia="zh-CN"/>
                <w14:textFill>
                  <w14:solidFill>
                    <w14:schemeClr w14:val="tx1"/>
                  </w14:solidFill>
                </w14:textFill>
              </w:rPr>
              <w:t>省</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十四五</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主要污染物控制因子为：COD、氨氮、NO</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X</w:t>
            </w:r>
            <w:r>
              <w:rPr>
                <w:rFonts w:hint="default" w:ascii="Times New Roman" w:hAnsi="Times New Roman" w:cs="Times New Roman" w:eastAsiaTheme="minorEastAsia"/>
                <w:color w:val="000000" w:themeColor="text1"/>
                <w:kern w:val="0"/>
                <w:sz w:val="24"/>
                <w14:textFill>
                  <w14:solidFill>
                    <w14:schemeClr w14:val="tx1"/>
                  </w14:solidFill>
                </w14:textFill>
              </w:rPr>
              <w:t>、VOC</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S</w:t>
            </w:r>
            <w:r>
              <w:rPr>
                <w:rFonts w:hint="default" w:ascii="Times New Roman" w:hAnsi="Times New Roman" w:cs="Times New Roman" w:eastAsiaTheme="minorEastAsia"/>
                <w:color w:val="000000" w:themeColor="text1"/>
                <w:kern w:val="0"/>
                <w:sz w:val="24"/>
                <w14:textFill>
                  <w14:solidFill>
                    <w14:schemeClr w14:val="tx1"/>
                  </w14:solidFill>
                </w14:textFill>
              </w:rPr>
              <w:t>。</w:t>
            </w:r>
          </w:p>
          <w:p w14:paraId="5B0FA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rPr>
            </w:pPr>
            <w:r>
              <w:rPr>
                <w:rFonts w:hint="default" w:ascii="Times New Roman" w:hAnsi="Times New Roman" w:cs="Times New Roman" w:eastAsiaTheme="minorEastAsia"/>
                <w:color w:val="000000" w:themeColor="text1"/>
                <w:kern w:val="0"/>
                <w:sz w:val="24"/>
                <w14:textFill>
                  <w14:solidFill>
                    <w14:schemeClr w14:val="tx1"/>
                  </w14:solidFill>
                </w14:textFill>
              </w:rPr>
              <w:t>本项目</w:t>
            </w:r>
            <w:r>
              <w:rPr>
                <w:rFonts w:hint="eastAsia" w:cs="Times New Roman" w:eastAsiaTheme="minorEastAsia"/>
                <w:color w:val="000000" w:themeColor="text1"/>
                <w:kern w:val="0"/>
                <w:sz w:val="24"/>
                <w:lang w:val="en-US" w:eastAsia="zh-CN"/>
                <w14:textFill>
                  <w14:solidFill>
                    <w14:schemeClr w14:val="tx1"/>
                  </w14:solidFill>
                </w14:textFill>
              </w:rPr>
              <w:t>废水排入市政污水管网，最终经污水处理厂处理，</w:t>
            </w:r>
            <w:r>
              <w:rPr>
                <w:rFonts w:hint="default" w:ascii="Times New Roman" w:hAnsi="Times New Roman" w:cs="Times New Roman" w:eastAsiaTheme="minorEastAsia"/>
                <w:color w:val="000000" w:themeColor="text1"/>
                <w:kern w:val="0"/>
                <w:sz w:val="24"/>
                <w14:textFill>
                  <w14:solidFill>
                    <w14:schemeClr w14:val="tx1"/>
                  </w14:solidFill>
                </w14:textFill>
              </w:rPr>
              <w:t>COD、氨氮</w:t>
            </w:r>
            <w:r>
              <w:rPr>
                <w:rFonts w:hint="eastAsia" w:cs="Times New Roman" w:eastAsiaTheme="minorEastAsia"/>
                <w:color w:val="000000" w:themeColor="text1"/>
                <w:kern w:val="0"/>
                <w:sz w:val="24"/>
                <w:lang w:val="en-US" w:eastAsia="zh-CN"/>
                <w14:textFill>
                  <w14:solidFill>
                    <w14:schemeClr w14:val="tx1"/>
                  </w14:solidFill>
                </w14:textFill>
              </w:rPr>
              <w:t>计入污水处理厂总量指标。</w:t>
            </w:r>
            <w:r>
              <w:rPr>
                <w:rFonts w:hint="eastAsia" w:cs="Times New Roman" w:eastAsiaTheme="minorEastAsia"/>
                <w:color w:val="FF0000"/>
                <w:kern w:val="0"/>
                <w:sz w:val="24"/>
                <w:lang w:val="en-US" w:eastAsia="zh-CN"/>
              </w:rPr>
              <w:t>本项目大气污染物总量建议指标如下：</w:t>
            </w:r>
            <w:r>
              <w:rPr>
                <w:rFonts w:hint="default" w:ascii="Times New Roman" w:hAnsi="Times New Roman" w:cs="Times New Roman" w:eastAsiaTheme="minorEastAsia"/>
                <w:color w:val="FF0000"/>
                <w:kern w:val="0"/>
                <w:sz w:val="24"/>
              </w:rPr>
              <w:t>VOC</w:t>
            </w:r>
            <w:r>
              <w:rPr>
                <w:rFonts w:hint="default" w:ascii="Times New Roman" w:hAnsi="Times New Roman" w:cs="Times New Roman" w:eastAsiaTheme="minorEastAsia"/>
                <w:color w:val="FF0000"/>
                <w:kern w:val="0"/>
                <w:sz w:val="24"/>
                <w:vertAlign w:val="subscript"/>
              </w:rPr>
              <w:t>S</w:t>
            </w:r>
            <w:r>
              <w:rPr>
                <w:rFonts w:hint="eastAsia" w:cs="Times New Roman" w:eastAsiaTheme="minorEastAsia"/>
                <w:color w:val="FF0000"/>
                <w:kern w:val="0"/>
                <w:sz w:val="24"/>
                <w:vertAlign w:val="baseline"/>
                <w:lang w:val="en-US" w:eastAsia="zh-CN"/>
              </w:rPr>
              <w:t>0.068t/a。</w:t>
            </w:r>
            <w:r>
              <w:rPr>
                <w:rFonts w:hint="default" w:ascii="Times New Roman" w:hAnsi="Times New Roman" w:cs="Times New Roman" w:eastAsiaTheme="minorEastAsia"/>
                <w:color w:val="FF0000"/>
                <w:kern w:val="0"/>
                <w:sz w:val="24"/>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p>
          <w:p w14:paraId="0B9B7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p>
          <w:p w14:paraId="389C2F8D">
            <w:pPr>
              <w:keepNext w:val="0"/>
              <w:keepLines w:val="0"/>
              <w:suppressLineNumbers w:val="0"/>
              <w:spacing w:before="0" w:beforeAutospacing="0" w:after="0" w:afterAutospacing="0"/>
              <w:ind w:left="0" w:right="0"/>
              <w:rPr>
                <w:rFonts w:hint="default"/>
              </w:rPr>
            </w:pPr>
          </w:p>
          <w:p w14:paraId="24F52CCD">
            <w:pPr>
              <w:pStyle w:val="9"/>
              <w:keepNext w:val="0"/>
              <w:keepLines w:val="0"/>
              <w:suppressLineNumbers w:val="0"/>
              <w:spacing w:before="0" w:beforeAutospacing="0" w:after="0" w:afterAutospacing="0"/>
              <w:ind w:left="0" w:right="0"/>
              <w:rPr>
                <w:rFonts w:hint="default"/>
              </w:rPr>
            </w:pPr>
          </w:p>
          <w:p w14:paraId="041C745A">
            <w:pPr>
              <w:pStyle w:val="11"/>
              <w:keepNext w:val="0"/>
              <w:keepLines w:val="0"/>
              <w:suppressLineNumbers w:val="0"/>
              <w:spacing w:before="0" w:beforeAutospacing="0" w:after="0" w:afterAutospacing="0"/>
              <w:ind w:left="0" w:right="0"/>
              <w:jc w:val="both"/>
              <w:rPr>
                <w:rFonts w:hint="default"/>
              </w:rPr>
            </w:pPr>
          </w:p>
          <w:p w14:paraId="4876CB9C">
            <w:pPr>
              <w:keepNext w:val="0"/>
              <w:keepLines w:val="0"/>
              <w:suppressLineNumbers w:val="0"/>
              <w:spacing w:before="0" w:beforeAutospacing="0" w:after="0" w:afterAutospacing="0"/>
              <w:ind w:left="0" w:right="0"/>
              <w:rPr>
                <w:rFonts w:hint="default"/>
              </w:rPr>
            </w:pPr>
          </w:p>
          <w:p w14:paraId="202D9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p>
          <w:p w14:paraId="06B05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p>
          <w:p w14:paraId="5AF28E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rPr>
            </w:pPr>
            <w:r>
              <w:rPr>
                <w:rFonts w:hint="default" w:ascii="Times New Roman" w:hAnsi="Times New Roman" w:cs="Times New Roman" w:eastAsiaTheme="minorEastAsia"/>
                <w:color w:val="000000" w:themeColor="text1"/>
                <w:kern w:val="0"/>
                <w:sz w:val="24"/>
                <w14:textFill>
                  <w14:solidFill>
                    <w14:schemeClr w14:val="tx1"/>
                  </w14:solidFill>
                </w14:textFill>
              </w:rPr>
              <w:br w:type="textWrapping"/>
            </w:r>
          </w:p>
        </w:tc>
      </w:tr>
    </w:tbl>
    <w:p w14:paraId="0B8D67E2">
      <w:pPr>
        <w:pStyle w:val="30"/>
        <w:adjustRightInd w:val="0"/>
        <w:snapToGrid w:val="0"/>
        <w:jc w:val="center"/>
        <w:outlineLvl w:val="0"/>
        <w:rPr>
          <w:rFonts w:hint="default" w:ascii="Times New Roman" w:hAnsi="Times New Roman" w:eastAsia="黑体" w:cs="Times New Roman"/>
          <w:snapToGrid w:val="0"/>
          <w:color w:val="auto"/>
          <w:kern w:val="21"/>
          <w:sz w:val="30"/>
          <w:szCs w:val="30"/>
        </w:rPr>
      </w:pPr>
      <w:r>
        <w:rPr>
          <w:rFonts w:hint="default" w:ascii="Times New Roman" w:hAnsi="Times New Roman" w:eastAsia="黑体" w:cs="Times New Roman"/>
          <w:snapToGrid w:val="0"/>
          <w:color w:val="auto"/>
          <w:kern w:val="21"/>
          <w:sz w:val="36"/>
          <w:szCs w:val="36"/>
        </w:rPr>
        <w:br w:type="page"/>
      </w:r>
      <w:r>
        <w:rPr>
          <w:rFonts w:hint="default" w:ascii="Times New Roman" w:hAnsi="Times New Roman" w:eastAsia="黑体" w:cs="Times New Roman"/>
          <w:snapToGrid w:val="0"/>
          <w:color w:val="auto"/>
          <w:kern w:val="21"/>
          <w:sz w:val="30"/>
          <w:szCs w:val="30"/>
        </w:rPr>
        <w:t>四、主要环境影响和保护措施</w:t>
      </w:r>
    </w:p>
    <w:tbl>
      <w:tblPr>
        <w:tblStyle w:val="35"/>
        <w:tblW w:w="50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8557"/>
      </w:tblGrid>
      <w:tr w14:paraId="52A53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8" w:type="pct"/>
            <w:tcMar>
              <w:left w:w="28" w:type="dxa"/>
              <w:right w:w="28" w:type="dxa"/>
            </w:tcMar>
            <w:vAlign w:val="center"/>
          </w:tcPr>
          <w:p w14:paraId="21B6FB55">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施工</w:t>
            </w:r>
          </w:p>
          <w:p w14:paraId="7E8E188E">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期环</w:t>
            </w:r>
          </w:p>
          <w:p w14:paraId="3BDE1838">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境保</w:t>
            </w:r>
          </w:p>
          <w:p w14:paraId="46F830DC">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1"/>
                <w:sz w:val="28"/>
                <w:szCs w:val="28"/>
              </w:rPr>
            </w:pPr>
            <w:r>
              <w:rPr>
                <w:rFonts w:hint="default" w:ascii="Times New Roman" w:hAnsi="Times New Roman" w:cs="Times New Roman"/>
                <w:color w:val="auto"/>
                <w:kern w:val="21"/>
                <w:sz w:val="28"/>
                <w:szCs w:val="28"/>
              </w:rPr>
              <w:t>护措</w:t>
            </w:r>
          </w:p>
          <w:p w14:paraId="7F1AFB6D">
            <w:pPr>
              <w:pStyle w:val="3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Cs w:val="24"/>
              </w:rPr>
            </w:pPr>
            <w:r>
              <w:rPr>
                <w:rFonts w:hint="default" w:ascii="Times New Roman" w:hAnsi="Times New Roman" w:cs="Times New Roman"/>
                <w:color w:val="auto"/>
                <w:kern w:val="21"/>
                <w:sz w:val="28"/>
                <w:szCs w:val="28"/>
              </w:rPr>
              <w:t>施</w:t>
            </w:r>
          </w:p>
        </w:tc>
        <w:tc>
          <w:tcPr>
            <w:tcW w:w="4751" w:type="pct"/>
            <w:vAlign w:val="center"/>
          </w:tcPr>
          <w:p w14:paraId="398A67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left"/>
              <w:textAlignment w:val="auto"/>
              <w:rPr>
                <w:rFonts w:hint="eastAsia" w:ascii="宋体" w:hAnsi="宋体" w:eastAsia="宋体" w:cs="Times New Roman"/>
                <w:b/>
                <w:bCs/>
                <w:sz w:val="24"/>
                <w:lang w:val="en-US" w:eastAsia="zh-CN"/>
              </w:rPr>
            </w:pPr>
            <w:r>
              <w:rPr>
                <w:rFonts w:hint="default"/>
                <w:snapToGrid w:val="0"/>
                <w:color w:val="FF0000"/>
                <w:spacing w:val="20"/>
                <w:kern w:val="0"/>
                <w:sz w:val="24"/>
              </w:rPr>
              <w:t>项目施工期</w:t>
            </w:r>
            <w:r>
              <w:rPr>
                <w:rFonts w:hint="eastAsia"/>
                <w:snapToGrid w:val="0"/>
                <w:color w:val="FF0000"/>
                <w:spacing w:val="20"/>
                <w:kern w:val="0"/>
                <w:sz w:val="24"/>
                <w:lang w:val="en-US" w:eastAsia="zh-CN"/>
              </w:rPr>
              <w:t>对环境产生的影响主要有施工废气、施工废水、施工人员产生的生活污水、施工噪声和固体废物等。</w:t>
            </w:r>
          </w:p>
          <w:p w14:paraId="1CBD0C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default" w:ascii="宋体" w:hAnsi="宋体" w:eastAsia="宋体" w:cs="Times New Roman"/>
                <w:b/>
                <w:bCs/>
                <w:sz w:val="24"/>
                <w:lang w:val="en-US" w:eastAsia="zh-CN"/>
              </w:rPr>
            </w:pPr>
            <w:r>
              <w:rPr>
                <w:rFonts w:hint="eastAsia" w:ascii="宋体" w:hAnsi="宋体" w:eastAsia="宋体" w:cs="Times New Roman"/>
                <w:b/>
                <w:bCs/>
                <w:sz w:val="24"/>
                <w:lang w:val="en-US" w:eastAsia="zh-CN"/>
              </w:rPr>
              <w:t>1、废气</w:t>
            </w:r>
          </w:p>
          <w:p w14:paraId="3BFA5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rPr>
            </w:pPr>
            <w:r>
              <w:rPr>
                <w:rFonts w:hint="eastAsia"/>
                <w:color w:val="FF0000"/>
                <w:sz w:val="24"/>
                <w:lang w:val="en-US" w:eastAsia="zh-CN"/>
              </w:rPr>
              <w:t>施工期产生的废气主要有施工扬尘和施工机械废气，其中以施工扬尘较为显著。</w:t>
            </w:r>
            <w:r>
              <w:rPr>
                <w:rFonts w:hint="eastAsia"/>
                <w:sz w:val="24"/>
                <w:lang w:val="en-US" w:eastAsia="zh-CN"/>
              </w:rPr>
              <w:t xml:space="preserve">根据《陕西省大气污染防治条例》（2019 修正版）、《安康市大气污染治理专项行动工作方案》（2023-2027年）等文件要求，为减轻项目施工期对环境空气的影响，拟采取如下措施： </w:t>
            </w:r>
          </w:p>
          <w:p w14:paraId="2AA17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lang w:val="en-US" w:eastAsia="zh-CN"/>
              </w:rPr>
            </w:pPr>
            <w:r>
              <w:rPr>
                <w:rFonts w:hint="eastAsia"/>
                <w:sz w:val="24"/>
                <w:lang w:val="en-US" w:eastAsia="zh-CN"/>
              </w:rPr>
              <w:t>（1）施工扬尘</w:t>
            </w:r>
          </w:p>
          <w:p w14:paraId="3EC5C8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①</w:t>
            </w:r>
            <w:r>
              <w:rPr>
                <w:rFonts w:hint="default" w:ascii="Times New Roman" w:hAnsi="Times New Roman" w:eastAsia="宋体" w:cs="Times New Roman"/>
                <w:sz w:val="24"/>
                <w:lang w:val="en-US" w:eastAsia="zh-CN"/>
              </w:rPr>
              <w:t>施工场地做到工地周边围挡、物料裸土覆盖、土方开挖湿法作业、路面硬化、出入车辆清洗、渣土车辆密闭运输“六个百分之百”。施工阶段应采取洒水、覆盖、冲洗等防尘措施。</w:t>
            </w:r>
          </w:p>
          <w:p w14:paraId="244D5F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kern w:val="2"/>
                <w:sz w:val="24"/>
                <w:szCs w:val="24"/>
                <w:lang w:val="en-US" w:eastAsia="zh-CN" w:bidi="ar-SA"/>
              </w:rPr>
              <w:t>②</w:t>
            </w:r>
            <w:r>
              <w:rPr>
                <w:rFonts w:hint="default" w:ascii="Times New Roman" w:hAnsi="Times New Roman" w:eastAsia="宋体" w:cs="Times New Roman"/>
                <w:sz w:val="24"/>
                <w:lang w:val="en-US" w:eastAsia="zh-CN"/>
              </w:rPr>
              <w:t xml:space="preserve"> 加强物料堆场扬尘监管。施工现场尽量实施</w:t>
            </w:r>
            <w:r>
              <w:rPr>
                <w:rFonts w:hint="eastAsia" w:cs="Times New Roman"/>
                <w:sz w:val="24"/>
                <w:lang w:val="en-US" w:eastAsia="zh-CN"/>
              </w:rPr>
              <w:t>建筑</w:t>
            </w:r>
            <w:r>
              <w:rPr>
                <w:rFonts w:hint="default" w:ascii="Times New Roman" w:hAnsi="Times New Roman" w:eastAsia="宋体" w:cs="Times New Roman"/>
                <w:sz w:val="24"/>
                <w:lang w:val="en-US" w:eastAsia="zh-CN"/>
              </w:rPr>
              <w:t>材料统一堆放管理，并尽量减少搬运环节，搬运时防止包装袋破裂，减少堆存量并及时利用。</w:t>
            </w:r>
          </w:p>
          <w:p w14:paraId="7BBC17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kern w:val="2"/>
                <w:sz w:val="24"/>
                <w:szCs w:val="24"/>
                <w:lang w:val="en-US" w:eastAsia="zh-CN" w:bidi="ar-SA"/>
              </w:rPr>
              <w:t>③</w:t>
            </w:r>
            <w:r>
              <w:rPr>
                <w:rFonts w:hint="default" w:ascii="Times New Roman" w:hAnsi="Times New Roman" w:eastAsia="宋体" w:cs="Times New Roman"/>
                <w:sz w:val="24"/>
                <w:lang w:val="en-US" w:eastAsia="zh-CN"/>
              </w:rPr>
              <w:t>严格按照</w:t>
            </w:r>
            <w:r>
              <w:rPr>
                <w:rFonts w:hint="eastAsia" w:cs="Times New Roman"/>
                <w:sz w:val="24"/>
                <w:lang w:val="en-US" w:eastAsia="zh-CN"/>
              </w:rPr>
              <w:t>安康市</w:t>
            </w:r>
            <w:r>
              <w:rPr>
                <w:rFonts w:hint="default" w:ascii="Times New Roman" w:hAnsi="Times New Roman" w:eastAsia="宋体" w:cs="Times New Roman"/>
                <w:sz w:val="24"/>
                <w:lang w:val="en-US" w:eastAsia="zh-CN"/>
              </w:rPr>
              <w:t>有关控制扬尘污染的规定，强化施工期环境管理和监理，加强全员环保意识宣传和教育，制定合理的施工计划，坚决杜绝粗放式施工现象发生。</w:t>
            </w:r>
          </w:p>
          <w:p w14:paraId="29112F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kern w:val="2"/>
                <w:sz w:val="24"/>
                <w:szCs w:val="24"/>
                <w:lang w:val="en-US" w:eastAsia="zh-CN" w:bidi="ar-SA"/>
              </w:rPr>
              <w:t>④</w:t>
            </w:r>
            <w:r>
              <w:rPr>
                <w:rFonts w:hint="default" w:ascii="Times New Roman" w:hAnsi="Times New Roman" w:eastAsia="宋体" w:cs="Times New Roman"/>
                <w:sz w:val="24"/>
                <w:lang w:val="en-US" w:eastAsia="zh-CN"/>
              </w:rPr>
              <w:t>对作业面和土堆适当喷水，使其保持一定湿度，以减少扬尘量；施工弃土及建筑垃圾要及时运走，以防长期堆放表面干燥而起尘或被雨水冲刷。</w:t>
            </w:r>
          </w:p>
          <w:p w14:paraId="355D02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rPr>
            </w:pPr>
            <w:r>
              <w:rPr>
                <w:rFonts w:hint="default" w:ascii="Times New Roman" w:hAnsi="Times New Roman" w:eastAsia="宋体" w:cs="Times New Roman"/>
                <w:kern w:val="2"/>
                <w:sz w:val="24"/>
                <w:szCs w:val="24"/>
                <w:lang w:val="en-US" w:eastAsia="zh-CN" w:bidi="ar-SA"/>
              </w:rPr>
              <w:t>⑤</w:t>
            </w:r>
            <w:r>
              <w:rPr>
                <w:rFonts w:hint="default" w:ascii="Times New Roman" w:hAnsi="Times New Roman" w:cs="Times New Roman"/>
                <w:sz w:val="24"/>
                <w:lang w:val="en-US" w:eastAsia="zh-CN"/>
              </w:rPr>
              <w:t>遇有 4 级以上大风天气，停止土方施工，并做好遮掩工作，最大限度地减少扬尘；在大风日加大洒水量及洒水次数。</w:t>
            </w:r>
          </w:p>
          <w:p w14:paraId="5BB698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采取适当的降尘措施后，其对周围环境影响较小，在施工结束后会消失。</w:t>
            </w:r>
          </w:p>
          <w:p w14:paraId="1C430A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lang w:val="en-US" w:eastAsia="zh-CN"/>
              </w:rPr>
              <w:t>施工机械废气</w:t>
            </w:r>
          </w:p>
          <w:p w14:paraId="75BCD7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评价要求加强对施工车辆的保养，确保施工机械废气符合《非道路移动机械用柴油机排气污染物排放限值及测量方法（中国第三、第四阶段）》（GB20891-2014）修改单、《非道路柴油移动机械排气烟度限值及测量方法》（GB 36886-2018）、《非道路移动机械污染防治技术政策》（生态环境部公告 2018 年第 34 号）《非道路柴油移动机械污染物排放控制技术要求》（HJ1014-2020）及《</w:t>
            </w:r>
            <w:r>
              <w:rPr>
                <w:rFonts w:hint="eastAsia" w:cs="Times New Roman"/>
                <w:sz w:val="24"/>
                <w:lang w:val="en-US" w:eastAsia="zh-CN"/>
              </w:rPr>
              <w:t>安康市</w:t>
            </w:r>
            <w:r>
              <w:rPr>
                <w:rFonts w:hint="default" w:ascii="Times New Roman" w:hAnsi="Times New Roman" w:eastAsia="宋体" w:cs="Times New Roman"/>
                <w:sz w:val="24"/>
                <w:lang w:val="en-US" w:eastAsia="zh-CN"/>
              </w:rPr>
              <w:t>人民政府关于禁止使用高排放非道路移动机械的通告》中相关要求。</w:t>
            </w:r>
          </w:p>
          <w:p w14:paraId="5176FF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项目施工机械数量有限，且均为间歇性运作，其尾气排放量小，且一般均要求燃油机械尾气达标排放，施工场地周边开阔平坦，空气流通顺畅，因此，污染物不会积聚，对区域环境空气影响轻微。</w:t>
            </w:r>
          </w:p>
          <w:p w14:paraId="48B5E0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eastAsia" w:ascii="宋体" w:hAnsi="宋体"/>
                <w:b/>
                <w:bCs/>
                <w:sz w:val="24"/>
                <w:lang w:val="en-US" w:eastAsia="zh-CN"/>
              </w:rPr>
            </w:pPr>
            <w:r>
              <w:rPr>
                <w:rFonts w:hint="eastAsia" w:ascii="宋体" w:hAnsi="宋体"/>
                <w:b/>
                <w:bCs/>
                <w:sz w:val="24"/>
                <w:lang w:val="en-US" w:eastAsia="zh-CN"/>
              </w:rPr>
              <w:t>2、废水</w:t>
            </w:r>
          </w:p>
          <w:p w14:paraId="6EF4194C">
            <w:pPr>
              <w:keepNext w:val="0"/>
              <w:keepLines w:val="0"/>
              <w:suppressLineNumbers w:val="0"/>
              <w:spacing w:before="0" w:beforeAutospacing="0" w:after="0" w:afterAutospacing="0" w:line="360" w:lineRule="auto"/>
              <w:ind w:left="0" w:right="0" w:firstLine="480" w:firstLineChars="200"/>
              <w:rPr>
                <w:rFonts w:hint="default"/>
                <w:color w:val="FF0000"/>
                <w:sz w:val="24"/>
                <w:lang w:val="en-US" w:eastAsia="zh-CN"/>
              </w:rPr>
            </w:pPr>
            <w:r>
              <w:rPr>
                <w:rFonts w:hint="eastAsia"/>
                <w:color w:val="FF0000"/>
                <w:sz w:val="24"/>
              </w:rPr>
              <w:t>施工期产生的废水主要有施工废水及施工人员产生的生活污水</w:t>
            </w:r>
            <w:r>
              <w:rPr>
                <w:rFonts w:hint="eastAsia"/>
                <w:color w:val="FF0000"/>
                <w:sz w:val="24"/>
                <w:lang w:eastAsia="zh-CN"/>
              </w:rPr>
              <w:t>，</w:t>
            </w:r>
            <w:r>
              <w:rPr>
                <w:rFonts w:hint="eastAsia"/>
                <w:color w:val="FF0000"/>
                <w:sz w:val="24"/>
                <w:lang w:val="en-US" w:eastAsia="zh-CN"/>
              </w:rPr>
              <w:t>经合理处理后均不外排。</w:t>
            </w:r>
          </w:p>
          <w:p w14:paraId="323E5958">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、施工期生产废水</w:t>
            </w:r>
          </w:p>
          <w:p w14:paraId="1A757A78">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废水主要来源于施工设备冲洗和机械修配清洗以及建筑材料及施工场地地面被雨水冲刷造成地表径流，污染物主要为悬浮物。要求设置临时集水渠收集施工废水至临时沉砂池处理后回用于施工工程，不外排，对周围环境影响较小，处理措施可行。</w:t>
            </w:r>
          </w:p>
          <w:p w14:paraId="53A63169">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施工人员的生活污水</w:t>
            </w:r>
          </w:p>
          <w:p w14:paraId="3C5E43EE">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施工现场设置旱厕用以收集施工人员的排泄物，使用吸粪车定期清掏处理，施工期间施工人员的生活洗漱废水产生量较小，且水质简单，全部用于施工场地洒水抑尘，不外排。对周围环境影响较小，处理措施可行。</w:t>
            </w:r>
          </w:p>
          <w:p w14:paraId="65D0F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b/>
                <w:bCs/>
                <w:sz w:val="24"/>
                <w:lang w:eastAsia="zh-CN"/>
              </w:rPr>
            </w:pPr>
            <w:r>
              <w:rPr>
                <w:rFonts w:hint="eastAsia" w:ascii="宋体" w:hAnsi="宋体"/>
                <w:b/>
                <w:bCs/>
                <w:sz w:val="24"/>
                <w:lang w:val="en-US" w:eastAsia="zh-CN"/>
              </w:rPr>
              <w:t>3、噪声</w:t>
            </w:r>
          </w:p>
          <w:p w14:paraId="018D3C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hAnsi="宋体"/>
                <w:sz w:val="24"/>
              </w:rPr>
            </w:pPr>
            <w:r>
              <w:rPr>
                <w:rFonts w:hint="default"/>
                <w:sz w:val="24"/>
              </w:rPr>
              <w:t>噪声主要由施工机械、车辆产生</w:t>
            </w:r>
            <w:r>
              <w:rPr>
                <w:rFonts w:hint="eastAsia"/>
                <w:sz w:val="24"/>
                <w:lang w:eastAsia="zh-CN"/>
              </w:rPr>
              <w:t>，</w:t>
            </w:r>
            <w:r>
              <w:rPr>
                <w:rFonts w:hint="eastAsia" w:hAnsi="宋体"/>
                <w:sz w:val="24"/>
              </w:rPr>
              <w:t>一般情况下，在无任何遮挡状况下，施工噪声昼间超标最大影响范围在150m</w:t>
            </w:r>
            <w:r>
              <w:rPr>
                <w:rFonts w:hint="eastAsia" w:hAnsi="宋体"/>
                <w:sz w:val="24"/>
                <w:lang w:eastAsia="zh-CN"/>
              </w:rPr>
              <w:t>，</w:t>
            </w:r>
            <w:r>
              <w:rPr>
                <w:rFonts w:hint="eastAsia" w:hAnsi="宋体"/>
                <w:sz w:val="24"/>
                <w:lang w:val="en-US" w:eastAsia="zh-CN"/>
              </w:rPr>
              <w:t>本项目150m范围内无居民居住</w:t>
            </w:r>
            <w:r>
              <w:rPr>
                <w:rFonts w:hint="eastAsia" w:hAnsi="宋体"/>
                <w:sz w:val="24"/>
              </w:rPr>
              <w:t>。针对项目特点，</w:t>
            </w:r>
            <w:r>
              <w:rPr>
                <w:rFonts w:hint="default" w:hAnsi="宋体"/>
                <w:sz w:val="24"/>
              </w:rPr>
              <w:t>环评建议</w:t>
            </w:r>
            <w:r>
              <w:rPr>
                <w:rFonts w:hint="eastAsia" w:hAnsi="宋体"/>
                <w:sz w:val="24"/>
              </w:rPr>
              <w:t>采取以下施工噪声防治措施，以</w:t>
            </w:r>
            <w:r>
              <w:rPr>
                <w:rFonts w:hint="eastAsia" w:hAnsi="宋体"/>
                <w:sz w:val="24"/>
                <w:lang w:eastAsia="zh-CN"/>
              </w:rPr>
              <w:t>减少</w:t>
            </w:r>
            <w:r>
              <w:rPr>
                <w:rFonts w:hint="eastAsia" w:hAnsi="宋体"/>
                <w:sz w:val="24"/>
              </w:rPr>
              <w:t>项目施工期对厂界声环境质量的影响：</w:t>
            </w:r>
          </w:p>
          <w:p w14:paraId="52DA46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①合理安排施工时间：制定施工计划时，应尽可能避免高噪声设备同时施工；高噪声的作业应尽量安排在白天进行，减少夜间施工量，打桩机等禁止在夜间施工。</w:t>
            </w:r>
          </w:p>
          <w:p w14:paraId="5E837D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②合理布局施工现场：避免同一地点安排大量动力机械设备，以免局部声级过高。</w:t>
            </w:r>
          </w:p>
          <w:p w14:paraId="79C7D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③降低设备噪声级：设备选型上尽量采用低噪声设备，对动力机械设备要定期进行维护和保养，使其一直保持良好的状态，减轻因设备运行状态不佳而造成的噪声污染。闲置不用的设备应立即关闭。</w:t>
            </w:r>
          </w:p>
          <w:p w14:paraId="17A44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rPr>
            </w:pPr>
            <w:r>
              <w:rPr>
                <w:rFonts w:hint="eastAsia"/>
                <w:sz w:val="24"/>
              </w:rPr>
              <w:t>④运输要采用车况良好的车辆，并应注意定期维修和养护；在敏感区路段要限制鸣笛；一般情况应禁止夜间运输。</w:t>
            </w:r>
          </w:p>
          <w:p w14:paraId="73955DE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pacing w:val="6"/>
                <w:kern w:val="28"/>
                <w:sz w:val="24"/>
              </w:rPr>
            </w:pPr>
            <w:r>
              <w:rPr>
                <w:rFonts w:hint="eastAsia"/>
                <w:sz w:val="24"/>
              </w:rPr>
              <w:t>本项目</w:t>
            </w:r>
            <w:r>
              <w:rPr>
                <w:rFonts w:hint="default"/>
                <w:sz w:val="24"/>
              </w:rPr>
              <w:t>随着</w:t>
            </w:r>
            <w:r>
              <w:rPr>
                <w:rFonts w:hint="eastAsia"/>
                <w:sz w:val="24"/>
              </w:rPr>
              <w:t>施工活动的结束</w:t>
            </w:r>
            <w:r>
              <w:rPr>
                <w:rFonts w:hint="default"/>
                <w:sz w:val="24"/>
              </w:rPr>
              <w:t>，施工噪声的影响将</w:t>
            </w:r>
            <w:r>
              <w:rPr>
                <w:rFonts w:hint="eastAsia"/>
                <w:sz w:val="24"/>
              </w:rPr>
              <w:t>随之消失</w:t>
            </w:r>
            <w:r>
              <w:rPr>
                <w:rFonts w:hint="default"/>
                <w:sz w:val="24"/>
              </w:rPr>
              <w:t>，</w:t>
            </w:r>
            <w:r>
              <w:rPr>
                <w:rFonts w:hint="eastAsia"/>
                <w:sz w:val="24"/>
              </w:rPr>
              <w:t>所以</w:t>
            </w:r>
            <w:r>
              <w:rPr>
                <w:rFonts w:hint="default"/>
                <w:sz w:val="24"/>
              </w:rPr>
              <w:t>施工噪声对环</w:t>
            </w:r>
            <w:r>
              <w:rPr>
                <w:rFonts w:hint="eastAsia" w:ascii="Times New Roman" w:hAnsi="Times New Roman" w:eastAsia="宋体" w:cs="Times New Roman"/>
                <w:spacing w:val="6"/>
                <w:kern w:val="28"/>
                <w:sz w:val="24"/>
              </w:rPr>
              <w:t>境的不利影响是暂时的</w:t>
            </w:r>
            <w:r>
              <w:rPr>
                <w:rFonts w:hint="eastAsia" w:ascii="Times New Roman" w:hAnsi="Times New Roman" w:eastAsia="宋体" w:cs="Times New Roman"/>
                <w:spacing w:val="6"/>
                <w:kern w:val="28"/>
                <w:sz w:val="24"/>
                <w:lang w:eastAsia="zh-CN"/>
              </w:rPr>
              <w:t>、</w:t>
            </w:r>
            <w:r>
              <w:rPr>
                <w:rFonts w:hint="eastAsia" w:ascii="Times New Roman" w:hAnsi="Times New Roman" w:eastAsia="宋体" w:cs="Times New Roman"/>
                <w:spacing w:val="6"/>
                <w:kern w:val="28"/>
                <w:sz w:val="24"/>
              </w:rPr>
              <w:t>短期的。</w:t>
            </w:r>
          </w:p>
          <w:p w14:paraId="2EE82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b/>
                <w:bCs/>
                <w:color w:val="000000"/>
                <w:sz w:val="24"/>
                <w:lang w:val="en-US" w:eastAsia="zh-CN"/>
              </w:rPr>
            </w:pPr>
            <w:r>
              <w:rPr>
                <w:rFonts w:hint="eastAsia" w:ascii="宋体" w:hAnsi="宋体"/>
                <w:b/>
                <w:bCs/>
                <w:color w:val="000000"/>
                <w:sz w:val="24"/>
              </w:rPr>
              <w:t>4、固体废</w:t>
            </w:r>
            <w:r>
              <w:rPr>
                <w:rFonts w:hint="eastAsia" w:ascii="宋体" w:hAnsi="宋体"/>
                <w:b/>
                <w:bCs/>
                <w:color w:val="000000"/>
                <w:sz w:val="24"/>
                <w:lang w:val="en-US" w:eastAsia="zh-CN"/>
              </w:rPr>
              <w:t>物</w:t>
            </w:r>
          </w:p>
          <w:p w14:paraId="0E9B7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eastAsia" w:eastAsia="宋体"/>
                <w:color w:val="000000"/>
                <w:spacing w:val="6"/>
                <w:kern w:val="28"/>
                <w:sz w:val="24"/>
                <w:lang w:eastAsia="zh-CN"/>
              </w:rPr>
            </w:pPr>
            <w:r>
              <w:rPr>
                <w:rFonts w:hint="eastAsia"/>
                <w:color w:val="000000"/>
                <w:spacing w:val="6"/>
                <w:kern w:val="28"/>
                <w:sz w:val="24"/>
              </w:rPr>
              <w:t>施工中产生的固体废物主要是</w:t>
            </w:r>
            <w:r>
              <w:rPr>
                <w:rFonts w:hint="eastAsia"/>
                <w:color w:val="000000"/>
                <w:spacing w:val="6"/>
                <w:kern w:val="28"/>
                <w:sz w:val="24"/>
                <w:lang w:val="en-US" w:eastAsia="zh-CN"/>
              </w:rPr>
              <w:t>施工过程中产生的</w:t>
            </w:r>
            <w:r>
              <w:rPr>
                <w:rFonts w:hint="eastAsia"/>
                <w:color w:val="000000"/>
                <w:spacing w:val="6"/>
                <w:kern w:val="28"/>
                <w:sz w:val="24"/>
              </w:rPr>
              <w:t>建筑垃圾</w:t>
            </w:r>
            <w:r>
              <w:rPr>
                <w:rFonts w:hint="eastAsia"/>
                <w:color w:val="000000"/>
                <w:spacing w:val="6"/>
                <w:kern w:val="28"/>
                <w:sz w:val="24"/>
                <w:lang w:val="en-US" w:eastAsia="zh-CN"/>
              </w:rPr>
              <w:t>及施工人员产生的</w:t>
            </w:r>
            <w:r>
              <w:rPr>
                <w:rFonts w:hint="eastAsia"/>
                <w:color w:val="000000"/>
                <w:spacing w:val="6"/>
                <w:kern w:val="28"/>
                <w:sz w:val="24"/>
              </w:rPr>
              <w:t>生活垃圾</w:t>
            </w:r>
            <w:r>
              <w:rPr>
                <w:rFonts w:hint="eastAsia"/>
                <w:color w:val="000000"/>
                <w:spacing w:val="6"/>
                <w:kern w:val="28"/>
                <w:sz w:val="24"/>
                <w:lang w:eastAsia="zh-CN"/>
              </w:rPr>
              <w:t>。</w:t>
            </w:r>
          </w:p>
          <w:p w14:paraId="033E3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eastAsia"/>
                <w:color w:val="000000"/>
                <w:spacing w:val="6"/>
                <w:kern w:val="28"/>
                <w:sz w:val="24"/>
                <w:lang w:val="en-US" w:eastAsia="zh-CN"/>
              </w:rPr>
            </w:pPr>
            <w:r>
              <w:rPr>
                <w:rFonts w:hint="eastAsia"/>
                <w:color w:val="000000"/>
                <w:spacing w:val="6"/>
                <w:kern w:val="28"/>
                <w:sz w:val="24"/>
                <w:lang w:val="en-US" w:eastAsia="zh-CN"/>
              </w:rPr>
              <w:t>施工过程中</w:t>
            </w:r>
            <w:r>
              <w:rPr>
                <w:rFonts w:hint="eastAsia"/>
                <w:color w:val="000000"/>
                <w:spacing w:val="6"/>
                <w:kern w:val="28"/>
                <w:sz w:val="24"/>
              </w:rPr>
              <w:t>产生的建筑废弃材料应分类回收，不能回收部分</w:t>
            </w:r>
            <w:r>
              <w:rPr>
                <w:rFonts w:hint="eastAsia"/>
                <w:color w:val="000000"/>
                <w:spacing w:val="6"/>
                <w:kern w:val="28"/>
                <w:sz w:val="24"/>
                <w:lang w:val="en-US" w:eastAsia="zh-CN"/>
              </w:rPr>
              <w:t>按市政部门要求送至指定地点统一处置</w:t>
            </w:r>
            <w:r>
              <w:rPr>
                <w:rFonts w:hint="eastAsia"/>
                <w:color w:val="000000"/>
                <w:spacing w:val="6"/>
                <w:kern w:val="28"/>
                <w:sz w:val="24"/>
                <w:lang w:eastAsia="zh-CN"/>
              </w:rPr>
              <w:t>；</w:t>
            </w:r>
            <w:r>
              <w:rPr>
                <w:rFonts w:hint="eastAsia"/>
                <w:color w:val="000000"/>
                <w:spacing w:val="6"/>
                <w:kern w:val="28"/>
                <w:sz w:val="24"/>
              </w:rPr>
              <w:t>生活垃圾</w:t>
            </w:r>
            <w:r>
              <w:rPr>
                <w:rFonts w:hint="eastAsia"/>
                <w:color w:val="000000"/>
                <w:spacing w:val="6"/>
                <w:kern w:val="28"/>
                <w:sz w:val="24"/>
                <w:lang w:val="en-US" w:eastAsia="zh-CN"/>
              </w:rPr>
              <w:t>设垃圾桶，由环卫部门定期清运处理。</w:t>
            </w:r>
          </w:p>
          <w:p w14:paraId="2CF77020">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506" w:firstLineChars="200"/>
              <w:textAlignment w:val="auto"/>
              <w:rPr>
                <w:rFonts w:hint="eastAsia"/>
                <w:b/>
                <w:bCs/>
                <w:color w:val="FF0000"/>
                <w:spacing w:val="6"/>
                <w:kern w:val="28"/>
                <w:sz w:val="24"/>
                <w:lang w:val="en-US" w:eastAsia="zh-CN"/>
              </w:rPr>
            </w:pPr>
            <w:r>
              <w:rPr>
                <w:rFonts w:hint="eastAsia"/>
                <w:b/>
                <w:bCs/>
                <w:color w:val="FF0000"/>
                <w:spacing w:val="6"/>
                <w:kern w:val="28"/>
                <w:sz w:val="24"/>
                <w:lang w:val="en-US" w:eastAsia="zh-CN"/>
              </w:rPr>
              <w:t>生态</w:t>
            </w:r>
          </w:p>
          <w:p w14:paraId="69E3068A">
            <w:pPr>
              <w:keepNext w:val="0"/>
              <w:keepLines w:val="0"/>
              <w:pageBreakBefore w:val="0"/>
              <w:widowControl w:val="0"/>
              <w:numPr>
                <w:ilvl w:val="0"/>
                <w:numId w:val="11"/>
              </w:numPr>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FF0000"/>
                <w:sz w:val="24"/>
                <w:lang w:val="en-US" w:eastAsia="zh-CN"/>
              </w:rPr>
            </w:pPr>
            <w:r>
              <w:rPr>
                <w:rFonts w:hint="eastAsia" w:ascii="宋体" w:hAnsi="宋体" w:cs="宋体"/>
                <w:bCs/>
                <w:color w:val="FF0000"/>
                <w:sz w:val="24"/>
                <w:lang w:val="en-US" w:eastAsia="zh-CN"/>
              </w:rPr>
              <w:t>在划定施工区内建设，禁止随意扩大占地范围，破坏周围植被；</w:t>
            </w:r>
          </w:p>
          <w:p w14:paraId="7384A0A1">
            <w:pPr>
              <w:keepNext w:val="0"/>
              <w:keepLines w:val="0"/>
              <w:pageBreakBefore w:val="0"/>
              <w:widowControl w:val="0"/>
              <w:numPr>
                <w:ilvl w:val="0"/>
                <w:numId w:val="11"/>
              </w:numPr>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FF0000"/>
                <w:sz w:val="24"/>
                <w:lang w:val="en-US" w:eastAsia="zh-CN"/>
              </w:rPr>
            </w:pPr>
            <w:r>
              <w:rPr>
                <w:rFonts w:hint="eastAsia" w:ascii="宋体" w:hAnsi="宋体" w:cs="宋体"/>
                <w:bCs/>
                <w:color w:val="FF0000"/>
                <w:sz w:val="24"/>
                <w:lang w:val="en-US" w:eastAsia="zh-CN"/>
              </w:rPr>
              <w:t>开挖的土石方应及时回填，如不能立即回填而堆存的土石方应予以覆盖，并设置围挡，防止雨水冲积造成水土流失；</w:t>
            </w:r>
          </w:p>
          <w:p w14:paraId="2A2FFB3A">
            <w:pPr>
              <w:keepNext w:val="0"/>
              <w:keepLines w:val="0"/>
              <w:suppressLineNumbers w:val="0"/>
              <w:autoSpaceDE w:val="0"/>
              <w:adjustRightInd w:val="0"/>
              <w:snapToGrid w:val="0"/>
              <w:spacing w:before="0" w:beforeAutospacing="0" w:after="0" w:afterAutospacing="0" w:line="360" w:lineRule="auto"/>
              <w:ind w:left="0" w:right="0" w:firstLine="480"/>
              <w:rPr>
                <w:rFonts w:hint="eastAsia" w:ascii="宋体" w:hAnsi="宋体" w:cs="宋体"/>
                <w:bCs/>
                <w:color w:val="FF0000"/>
                <w:sz w:val="24"/>
                <w:lang w:val="en-US" w:eastAsia="zh-CN"/>
              </w:rPr>
            </w:pPr>
            <w:r>
              <w:rPr>
                <w:rFonts w:hint="eastAsia"/>
                <w:color w:val="FF0000"/>
                <w:sz w:val="24"/>
                <w:lang w:eastAsia="zh-CN"/>
              </w:rPr>
              <w:t>（</w:t>
            </w:r>
            <w:r>
              <w:rPr>
                <w:rFonts w:hint="eastAsia"/>
                <w:color w:val="FF0000"/>
                <w:sz w:val="24"/>
                <w:lang w:val="en-US" w:eastAsia="zh-CN"/>
              </w:rPr>
              <w:t>3</w:t>
            </w:r>
            <w:r>
              <w:rPr>
                <w:rFonts w:hint="eastAsia"/>
                <w:color w:val="FF0000"/>
                <w:sz w:val="24"/>
                <w:lang w:eastAsia="zh-CN"/>
              </w:rPr>
              <w:t>）</w:t>
            </w:r>
            <w:r>
              <w:rPr>
                <w:rFonts w:hint="default"/>
                <w:color w:val="FF0000"/>
                <w:sz w:val="24"/>
              </w:rPr>
              <w:t>对所占用土地的地表土进行分层剥离、保存和利用，做到土石方挖填平衡，减少地表扰动范围。</w:t>
            </w:r>
          </w:p>
          <w:p w14:paraId="10C45FC4">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ascii="宋体" w:hAnsi="宋体" w:cs="宋体"/>
                <w:bCs/>
                <w:color w:val="FF0000"/>
                <w:sz w:val="24"/>
                <w:lang w:val="en-US" w:eastAsia="zh-CN"/>
              </w:rPr>
            </w:pPr>
            <w:r>
              <w:rPr>
                <w:rFonts w:hint="eastAsia" w:ascii="宋体" w:hAnsi="宋体" w:cs="宋体"/>
                <w:bCs/>
                <w:color w:val="FF0000"/>
                <w:sz w:val="24"/>
                <w:lang w:val="en-US" w:eastAsia="zh-CN"/>
              </w:rPr>
              <w:t>（4）对厂区裸露地面及时进行防护，堆放物料采用篷布等进行苫盖；</w:t>
            </w:r>
          </w:p>
          <w:p w14:paraId="7D02E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cs="宋体"/>
                <w:bCs/>
                <w:color w:val="FF0000"/>
                <w:sz w:val="24"/>
                <w:lang w:val="en-US" w:eastAsia="zh-CN"/>
              </w:rPr>
            </w:pPr>
            <w:r>
              <w:rPr>
                <w:rFonts w:hint="eastAsia" w:ascii="宋体" w:hAnsi="宋体" w:cs="宋体"/>
                <w:bCs/>
                <w:color w:val="FF0000"/>
                <w:sz w:val="24"/>
                <w:lang w:val="en-US" w:eastAsia="zh-CN"/>
              </w:rPr>
              <w:t>（5）主体工程完成后，需尽快完成清场、绿化等配套工程，改善厂区生态环境，种植树木、草皮等，防止水土流失。</w:t>
            </w:r>
          </w:p>
          <w:p w14:paraId="64D46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eastAsia"/>
                <w:color w:val="000000"/>
                <w:spacing w:val="6"/>
                <w:kern w:val="28"/>
                <w:sz w:val="24"/>
              </w:rPr>
            </w:pPr>
            <w:r>
              <w:rPr>
                <w:rFonts w:hint="eastAsia"/>
                <w:color w:val="000000"/>
                <w:spacing w:val="6"/>
                <w:kern w:val="28"/>
                <w:sz w:val="24"/>
              </w:rPr>
              <w:t>经采取以上措施后，施工期的环境影响可降至最低限度，随着施工期的结束，这些影响也将消失。</w:t>
            </w:r>
          </w:p>
          <w:p w14:paraId="46DCA6D8">
            <w:pPr>
              <w:pStyle w:val="11"/>
              <w:keepNext w:val="0"/>
              <w:keepLines w:val="0"/>
              <w:suppressLineNumbers w:val="0"/>
              <w:spacing w:before="0" w:beforeAutospacing="0" w:after="0" w:afterAutospacing="0"/>
              <w:ind w:left="0" w:right="0"/>
              <w:jc w:val="both"/>
              <w:rPr>
                <w:rFonts w:hint="eastAsia" w:ascii="宋体" w:hAnsi="宋体" w:cs="宋体"/>
                <w:bCs/>
                <w:color w:val="000000"/>
                <w:sz w:val="24"/>
              </w:rPr>
            </w:pPr>
          </w:p>
          <w:p w14:paraId="7BA60F98">
            <w:pPr>
              <w:keepNext w:val="0"/>
              <w:keepLines w:val="0"/>
              <w:suppressLineNumbers w:val="0"/>
              <w:spacing w:before="0" w:beforeAutospacing="0" w:after="0" w:afterAutospacing="0"/>
              <w:ind w:left="0" w:right="0"/>
              <w:jc w:val="left"/>
              <w:rPr>
                <w:rFonts w:hint="eastAsia" w:ascii="宋体" w:hAnsi="宋体" w:cs="宋体"/>
                <w:bCs/>
                <w:color w:val="000000"/>
                <w:sz w:val="24"/>
              </w:rPr>
            </w:pPr>
          </w:p>
          <w:p w14:paraId="3B24AC2E">
            <w:pPr>
              <w:pStyle w:val="9"/>
              <w:keepNext w:val="0"/>
              <w:keepLines w:val="0"/>
              <w:suppressLineNumbers w:val="0"/>
              <w:spacing w:before="0" w:beforeAutospacing="0" w:after="0" w:afterAutospacing="0"/>
              <w:ind w:left="0" w:right="0"/>
              <w:jc w:val="left"/>
              <w:rPr>
                <w:rFonts w:hint="eastAsia" w:ascii="宋体" w:hAnsi="宋体" w:cs="宋体"/>
                <w:bCs/>
                <w:color w:val="000000"/>
                <w:sz w:val="24"/>
              </w:rPr>
            </w:pPr>
          </w:p>
          <w:p w14:paraId="74D3EAB7">
            <w:pPr>
              <w:pStyle w:val="11"/>
              <w:keepNext w:val="0"/>
              <w:keepLines w:val="0"/>
              <w:suppressLineNumbers w:val="0"/>
              <w:spacing w:before="0" w:beforeAutospacing="0" w:after="0" w:afterAutospacing="0"/>
              <w:ind w:left="0" w:leftChars="0" w:right="0" w:firstLine="0" w:firstLineChars="0"/>
              <w:jc w:val="left"/>
              <w:rPr>
                <w:rFonts w:hint="eastAsia" w:ascii="宋体" w:hAnsi="宋体" w:cs="宋体"/>
                <w:bCs/>
                <w:color w:val="000000"/>
                <w:sz w:val="24"/>
              </w:rPr>
            </w:pPr>
          </w:p>
          <w:p w14:paraId="07E55F55">
            <w:pPr>
              <w:keepNext w:val="0"/>
              <w:keepLines w:val="0"/>
              <w:suppressLineNumbers w:val="0"/>
              <w:spacing w:before="0" w:beforeAutospacing="0" w:after="0" w:afterAutospacing="0"/>
              <w:ind w:left="0" w:right="0"/>
              <w:jc w:val="left"/>
              <w:rPr>
                <w:rFonts w:hint="eastAsia" w:ascii="宋体" w:hAnsi="宋体" w:cs="宋体"/>
                <w:bCs/>
                <w:color w:val="000000"/>
                <w:sz w:val="24"/>
              </w:rPr>
            </w:pPr>
          </w:p>
          <w:p w14:paraId="21AF26CE">
            <w:pPr>
              <w:pStyle w:val="9"/>
              <w:keepNext w:val="0"/>
              <w:keepLines w:val="0"/>
              <w:suppressLineNumbers w:val="0"/>
              <w:spacing w:before="0" w:beforeAutospacing="0" w:after="0" w:afterAutospacing="0"/>
              <w:ind w:left="0" w:right="0"/>
              <w:jc w:val="left"/>
              <w:rPr>
                <w:rFonts w:hint="eastAsia" w:ascii="宋体" w:hAnsi="宋体" w:cs="宋体"/>
                <w:bCs/>
                <w:color w:val="000000"/>
                <w:sz w:val="24"/>
              </w:rPr>
            </w:pPr>
          </w:p>
          <w:p w14:paraId="193DFD0D">
            <w:pPr>
              <w:pStyle w:val="11"/>
              <w:keepNext w:val="0"/>
              <w:keepLines w:val="0"/>
              <w:suppressLineNumbers w:val="0"/>
              <w:spacing w:before="0" w:beforeAutospacing="0" w:after="0" w:afterAutospacing="0"/>
              <w:ind w:left="0" w:right="0"/>
              <w:jc w:val="left"/>
              <w:rPr>
                <w:rFonts w:hint="eastAsia"/>
              </w:rPr>
            </w:pPr>
          </w:p>
          <w:p w14:paraId="526A6EB0">
            <w:pPr>
              <w:keepNext w:val="0"/>
              <w:keepLines w:val="0"/>
              <w:suppressLineNumbers w:val="0"/>
              <w:spacing w:before="0" w:beforeAutospacing="0" w:after="0" w:afterAutospacing="0"/>
              <w:ind w:left="0" w:right="0"/>
              <w:rPr>
                <w:rFonts w:hint="eastAsia"/>
              </w:rPr>
            </w:pPr>
          </w:p>
          <w:p w14:paraId="385A3165">
            <w:pPr>
              <w:keepNext w:val="0"/>
              <w:keepLines w:val="0"/>
              <w:suppressLineNumbers w:val="0"/>
              <w:spacing w:before="0" w:beforeAutospacing="0" w:after="0" w:afterAutospacing="0"/>
              <w:ind w:left="0" w:right="0"/>
              <w:rPr>
                <w:rFonts w:hint="eastAsia"/>
              </w:rPr>
            </w:pPr>
          </w:p>
          <w:p w14:paraId="7E0F60F3">
            <w:pPr>
              <w:keepNext w:val="0"/>
              <w:keepLines w:val="0"/>
              <w:suppressLineNumbers w:val="0"/>
              <w:spacing w:before="0" w:beforeAutospacing="0" w:after="0" w:afterAutospacing="0"/>
              <w:ind w:left="0" w:right="0"/>
              <w:rPr>
                <w:rFonts w:hint="eastAsia"/>
              </w:rPr>
            </w:pPr>
          </w:p>
          <w:p w14:paraId="76E4975B">
            <w:pPr>
              <w:keepNext w:val="0"/>
              <w:keepLines w:val="0"/>
              <w:suppressLineNumbers w:val="0"/>
              <w:spacing w:before="0" w:beforeAutospacing="0" w:after="0" w:afterAutospacing="0"/>
              <w:ind w:left="0" w:right="0"/>
              <w:rPr>
                <w:rFonts w:hint="eastAsia"/>
              </w:rPr>
            </w:pPr>
          </w:p>
          <w:p w14:paraId="56B01048">
            <w:pPr>
              <w:keepNext w:val="0"/>
              <w:keepLines w:val="0"/>
              <w:suppressLineNumbers w:val="0"/>
              <w:spacing w:before="0" w:beforeAutospacing="0" w:after="0" w:afterAutospacing="0"/>
              <w:ind w:left="0" w:right="0"/>
              <w:rPr>
                <w:rFonts w:hint="eastAsia"/>
              </w:rPr>
            </w:pPr>
          </w:p>
          <w:p w14:paraId="04680B86">
            <w:pPr>
              <w:keepNext w:val="0"/>
              <w:keepLines w:val="0"/>
              <w:suppressLineNumbers w:val="0"/>
              <w:spacing w:before="0" w:beforeAutospacing="0" w:after="0" w:afterAutospacing="0" w:line="360" w:lineRule="auto"/>
              <w:ind w:left="0" w:right="0" w:firstLine="482"/>
              <w:rPr>
                <w:rFonts w:hint="eastAsia" w:ascii="宋体" w:hAnsi="宋体" w:cs="宋体"/>
                <w:bCs/>
                <w:color w:val="000000"/>
                <w:sz w:val="24"/>
              </w:rPr>
            </w:pPr>
          </w:p>
          <w:p w14:paraId="00DB9BB0">
            <w:pPr>
              <w:keepNext w:val="0"/>
              <w:keepLines w:val="0"/>
              <w:suppressLineNumbers w:val="0"/>
              <w:spacing w:before="0" w:beforeAutospacing="0" w:after="0" w:afterAutospacing="0" w:line="360" w:lineRule="auto"/>
              <w:ind w:left="0" w:right="0" w:firstLine="482"/>
              <w:rPr>
                <w:rFonts w:hint="default" w:ascii="宋体" w:hAnsi="宋体" w:cs="宋体"/>
                <w:bCs/>
                <w:color w:val="000000"/>
                <w:sz w:val="24"/>
              </w:rPr>
            </w:pPr>
          </w:p>
        </w:tc>
      </w:tr>
    </w:tbl>
    <w:p w14:paraId="07733199">
      <w:pPr>
        <w:adjustRightInd w:val="0"/>
        <w:snapToGrid w:val="0"/>
        <w:jc w:val="both"/>
        <w:rPr>
          <w:rFonts w:hint="default" w:ascii="Times New Roman" w:hAnsi="Times New Roman" w:cs="Times New Roman"/>
          <w:bCs/>
          <w:color w:val="auto"/>
          <w:kern w:val="21"/>
          <w:sz w:val="28"/>
          <w:szCs w:val="28"/>
        </w:rPr>
      </w:pPr>
    </w:p>
    <w:p w14:paraId="2B3614C7">
      <w:pPr>
        <w:adjustRightInd w:val="0"/>
        <w:snapToGrid w:val="0"/>
        <w:jc w:val="both"/>
        <w:rPr>
          <w:rFonts w:hint="default" w:ascii="Times New Roman" w:hAnsi="Times New Roman" w:cs="Times New Roman"/>
          <w:bCs/>
          <w:color w:val="auto"/>
          <w:kern w:val="21"/>
          <w:sz w:val="28"/>
          <w:szCs w:val="28"/>
        </w:rPr>
        <w:sectPr>
          <w:pgSz w:w="11906" w:h="16838"/>
          <w:pgMar w:top="1418" w:right="1418" w:bottom="1418" w:left="1701" w:header="992" w:footer="992" w:gutter="0"/>
          <w:pgBorders>
            <w:top w:val="none" w:sz="0" w:space="0"/>
            <w:left w:val="none" w:sz="0" w:space="0"/>
            <w:bottom w:val="none" w:sz="0" w:space="0"/>
            <w:right w:val="none" w:sz="0" w:space="0"/>
          </w:pgBorders>
          <w:cols w:space="720" w:num="1"/>
          <w:docGrid w:linePitch="312" w:charSpace="0"/>
        </w:sectPr>
      </w:pPr>
    </w:p>
    <w:tbl>
      <w:tblPr>
        <w:tblStyle w:val="35"/>
        <w:tblW w:w="505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3779"/>
      </w:tblGrid>
      <w:tr w14:paraId="0D03D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550" w:type="dxa"/>
            <w:noWrap w:val="0"/>
            <w:tcMar>
              <w:left w:w="28" w:type="dxa"/>
              <w:right w:w="28" w:type="dxa"/>
            </w:tcMar>
            <w:vAlign w:val="center"/>
          </w:tcPr>
          <w:p w14:paraId="7591A5B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19B371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493C09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67A977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7E4343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5130ED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措施</w:t>
            </w:r>
          </w:p>
        </w:tc>
        <w:tc>
          <w:tcPr>
            <w:tcW w:w="15064" w:type="dxa"/>
            <w:noWrap w:val="0"/>
            <w:vAlign w:val="top"/>
          </w:tcPr>
          <w:p w14:paraId="352488C7">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二、运营期</w:t>
            </w:r>
            <w:r>
              <w:rPr>
                <w:rFonts w:hint="default"/>
                <w:b/>
                <w:sz w:val="24"/>
                <w:highlight w:val="none"/>
              </w:rPr>
              <w:t>大气环境影响分析</w:t>
            </w:r>
          </w:p>
          <w:p w14:paraId="5886FA3A">
            <w:pPr>
              <w:keepNext w:val="0"/>
              <w:keepLines w:val="0"/>
              <w:suppressLineNumbers w:val="0"/>
              <w:spacing w:before="0" w:beforeAutospacing="0" w:after="0" w:afterAutospacing="0" w:line="360" w:lineRule="auto"/>
              <w:ind w:left="0" w:right="0"/>
              <w:rPr>
                <w:rFonts w:hint="default"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1、</w:t>
            </w:r>
            <w:r>
              <w:rPr>
                <w:rFonts w:hint="default" w:ascii="Times New Roman" w:hAnsi="Times New Roman" w:cs="Times New Roman"/>
                <w:b/>
                <w:color w:val="000000" w:themeColor="text1"/>
                <w:sz w:val="24"/>
                <w14:textFill>
                  <w14:solidFill>
                    <w14:schemeClr w14:val="tx1"/>
                  </w14:solidFill>
                </w14:textFill>
              </w:rPr>
              <w:t>废气产排污汇总</w:t>
            </w:r>
          </w:p>
          <w:p w14:paraId="2E8CA63D">
            <w:pPr>
              <w:pStyle w:val="74"/>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本次项目废气产排污汇总情况如下表：</w:t>
            </w:r>
          </w:p>
          <w:p w14:paraId="6094DE60">
            <w:pPr>
              <w:keepNext w:val="0"/>
              <w:keepLines w:val="0"/>
              <w:pageBreakBefore w:val="0"/>
              <w:widowControl w:val="0"/>
              <w:numPr>
                <w:ilvl w:val="0"/>
                <w:numId w:val="12"/>
              </w:numPr>
              <w:suppressLineNumbers w:val="0"/>
              <w:tabs>
                <w:tab w:val="left" w:pos="9345"/>
                <w:tab w:val="clear" w:pos="0"/>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eastAsia="zh-CN"/>
                <w14:textFill>
                  <w14:solidFill>
                    <w14:schemeClr w14:val="tx1"/>
                  </w14:solidFill>
                </w14:textFill>
              </w:rPr>
              <w:t>本项目</w:t>
            </w:r>
            <w:r>
              <w:rPr>
                <w:rFonts w:hint="default" w:ascii="Times New Roman" w:hAnsi="Times New Roman" w:cs="Times New Roman"/>
                <w:b/>
                <w:bCs/>
                <w:color w:val="000000" w:themeColor="text1"/>
                <w:sz w:val="21"/>
                <w:szCs w:val="21"/>
                <w14:textFill>
                  <w14:solidFill>
                    <w14:schemeClr w14:val="tx1"/>
                  </w14:solidFill>
                </w14:textFill>
              </w:rPr>
              <w:t>废气产排污情况汇总</w:t>
            </w:r>
          </w:p>
          <w:tbl>
            <w:tblPr>
              <w:tblStyle w:val="35"/>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68"/>
              <w:gridCol w:w="498"/>
              <w:gridCol w:w="816"/>
              <w:gridCol w:w="600"/>
              <w:gridCol w:w="648"/>
              <w:gridCol w:w="461"/>
              <w:gridCol w:w="719"/>
              <w:gridCol w:w="528"/>
              <w:gridCol w:w="469"/>
              <w:gridCol w:w="557"/>
              <w:gridCol w:w="447"/>
              <w:gridCol w:w="819"/>
              <w:gridCol w:w="807"/>
              <w:gridCol w:w="698"/>
              <w:gridCol w:w="454"/>
              <w:gridCol w:w="464"/>
              <w:gridCol w:w="503"/>
              <w:gridCol w:w="413"/>
              <w:gridCol w:w="587"/>
              <w:gridCol w:w="636"/>
              <w:gridCol w:w="629"/>
              <w:gridCol w:w="1220"/>
            </w:tblGrid>
            <w:tr w14:paraId="16840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restart"/>
                  <w:noWrap w:val="0"/>
                  <w:vAlign w:val="center"/>
                </w:tcPr>
                <w:p w14:paraId="6D3374E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产排污环节</w:t>
                  </w:r>
                </w:p>
              </w:tc>
              <w:tc>
                <w:tcPr>
                  <w:tcW w:w="498" w:type="dxa"/>
                  <w:vMerge w:val="restart"/>
                  <w:noWrap w:val="0"/>
                  <w:vAlign w:val="center"/>
                </w:tcPr>
                <w:p w14:paraId="2B7C8D5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污染物种类</w:t>
                  </w:r>
                </w:p>
              </w:tc>
              <w:tc>
                <w:tcPr>
                  <w:tcW w:w="2064" w:type="dxa"/>
                  <w:gridSpan w:val="3"/>
                  <w:noWrap w:val="0"/>
                  <w:vAlign w:val="center"/>
                </w:tcPr>
                <w:p w14:paraId="4A763B1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产生情况</w:t>
                  </w:r>
                </w:p>
              </w:tc>
              <w:tc>
                <w:tcPr>
                  <w:tcW w:w="461" w:type="dxa"/>
                  <w:vMerge w:val="restart"/>
                  <w:noWrap w:val="0"/>
                  <w:vAlign w:val="center"/>
                </w:tcPr>
                <w:p w14:paraId="43513FD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排放形式</w:t>
                  </w:r>
                </w:p>
              </w:tc>
              <w:tc>
                <w:tcPr>
                  <w:tcW w:w="2720" w:type="dxa"/>
                  <w:gridSpan w:val="5"/>
                  <w:noWrap w:val="0"/>
                  <w:vAlign w:val="center"/>
                </w:tcPr>
                <w:p w14:paraId="591823C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治理设施</w:t>
                  </w:r>
                </w:p>
              </w:tc>
              <w:tc>
                <w:tcPr>
                  <w:tcW w:w="2324" w:type="dxa"/>
                  <w:gridSpan w:val="3"/>
                  <w:noWrap w:val="0"/>
                  <w:vAlign w:val="center"/>
                </w:tcPr>
                <w:p w14:paraId="0CA54A4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排放情况</w:t>
                  </w:r>
                </w:p>
              </w:tc>
              <w:tc>
                <w:tcPr>
                  <w:tcW w:w="3686" w:type="dxa"/>
                  <w:gridSpan w:val="7"/>
                  <w:noWrap w:val="0"/>
                  <w:vAlign w:val="center"/>
                </w:tcPr>
                <w:p w14:paraId="44E2D81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排放口基本情况</w:t>
                  </w:r>
                </w:p>
              </w:tc>
              <w:tc>
                <w:tcPr>
                  <w:tcW w:w="1220" w:type="dxa"/>
                  <w:vMerge w:val="restart"/>
                  <w:noWrap w:val="0"/>
                  <w:vAlign w:val="center"/>
                </w:tcPr>
                <w:p w14:paraId="6DBBC0E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排放标准</w:t>
                  </w:r>
                </w:p>
              </w:tc>
            </w:tr>
            <w:tr w14:paraId="137A6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noWrap w:val="0"/>
                  <w:vAlign w:val="center"/>
                </w:tcPr>
                <w:p w14:paraId="0FB797E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p>
              </w:tc>
              <w:tc>
                <w:tcPr>
                  <w:tcW w:w="498" w:type="dxa"/>
                  <w:vMerge w:val="continue"/>
                  <w:noWrap w:val="0"/>
                  <w:vAlign w:val="center"/>
                </w:tcPr>
                <w:p w14:paraId="4C3AA9E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p>
              </w:tc>
              <w:tc>
                <w:tcPr>
                  <w:tcW w:w="816" w:type="dxa"/>
                  <w:vMerge w:val="restart"/>
                  <w:noWrap w:val="0"/>
                  <w:vAlign w:val="center"/>
                </w:tcPr>
                <w:p w14:paraId="0BB51AC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产生量</w:t>
                  </w:r>
                </w:p>
                <w:p w14:paraId="033378C4">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（t/a</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600" w:type="dxa"/>
                  <w:vMerge w:val="restart"/>
                  <w:noWrap w:val="0"/>
                  <w:vAlign w:val="center"/>
                </w:tcPr>
                <w:p w14:paraId="44C4F7A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产生</w:t>
                  </w:r>
                </w:p>
                <w:p w14:paraId="6C532066">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速率（kg/h</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648" w:type="dxa"/>
                  <w:vMerge w:val="restart"/>
                  <w:noWrap w:val="0"/>
                  <w:vAlign w:val="center"/>
                </w:tcPr>
                <w:p w14:paraId="76EC4671">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产生最大浓度（mg/m</w:t>
                  </w:r>
                  <w:r>
                    <w:rPr>
                      <w:rFonts w:hint="default" w:ascii="Times New Roman" w:hAnsi="Times New Roman" w:cs="Times New Roman"/>
                      <w:b/>
                      <w:bCs/>
                      <w:color w:val="000000" w:themeColor="text1"/>
                      <w:sz w:val="18"/>
                      <w:szCs w:val="18"/>
                      <w:vertAlign w:val="superscript"/>
                      <w14:textFill>
                        <w14:solidFill>
                          <w14:schemeClr w14:val="tx1"/>
                        </w14:solidFill>
                      </w14:textFill>
                    </w:rPr>
                    <w:t>3</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461" w:type="dxa"/>
                  <w:vMerge w:val="continue"/>
                  <w:noWrap w:val="0"/>
                  <w:vAlign w:val="center"/>
                </w:tcPr>
                <w:p w14:paraId="126B88C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p>
              </w:tc>
              <w:tc>
                <w:tcPr>
                  <w:tcW w:w="719" w:type="dxa"/>
                  <w:vMerge w:val="restart"/>
                  <w:noWrap w:val="0"/>
                  <w:vAlign w:val="center"/>
                </w:tcPr>
                <w:p w14:paraId="5374291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名称</w:t>
                  </w:r>
                </w:p>
              </w:tc>
              <w:tc>
                <w:tcPr>
                  <w:tcW w:w="528" w:type="dxa"/>
                  <w:vMerge w:val="restart"/>
                  <w:noWrap w:val="0"/>
                  <w:vAlign w:val="center"/>
                </w:tcPr>
                <w:p w14:paraId="757682B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处理能力</w:t>
                  </w:r>
                </w:p>
              </w:tc>
              <w:tc>
                <w:tcPr>
                  <w:tcW w:w="469" w:type="dxa"/>
                  <w:vMerge w:val="restart"/>
                  <w:noWrap w:val="0"/>
                  <w:vAlign w:val="center"/>
                </w:tcPr>
                <w:p w14:paraId="140BCC9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收集效率</w:t>
                  </w:r>
                </w:p>
              </w:tc>
              <w:tc>
                <w:tcPr>
                  <w:tcW w:w="557" w:type="dxa"/>
                  <w:vMerge w:val="restart"/>
                  <w:noWrap w:val="0"/>
                  <w:vAlign w:val="center"/>
                </w:tcPr>
                <w:p w14:paraId="69CC23A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去除率</w:t>
                  </w:r>
                </w:p>
              </w:tc>
              <w:tc>
                <w:tcPr>
                  <w:tcW w:w="447" w:type="dxa"/>
                  <w:vMerge w:val="restart"/>
                  <w:noWrap w:val="0"/>
                  <w:vAlign w:val="center"/>
                </w:tcPr>
                <w:p w14:paraId="50AF310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是否</w:t>
                  </w:r>
                </w:p>
                <w:p w14:paraId="784397D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为可行技术</w:t>
                  </w:r>
                </w:p>
              </w:tc>
              <w:tc>
                <w:tcPr>
                  <w:tcW w:w="819" w:type="dxa"/>
                  <w:vMerge w:val="restart"/>
                  <w:noWrap w:val="0"/>
                  <w:vAlign w:val="center"/>
                </w:tcPr>
                <w:p w14:paraId="66939287">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排放量</w:t>
                  </w:r>
                </w:p>
                <w:p w14:paraId="611E107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（t/a</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807" w:type="dxa"/>
                  <w:vMerge w:val="restart"/>
                  <w:noWrap w:val="0"/>
                  <w:vAlign w:val="center"/>
                </w:tcPr>
                <w:p w14:paraId="2378368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排放</w:t>
                  </w:r>
                </w:p>
                <w:p w14:paraId="0EAE3F52">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速率（kg/h</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698" w:type="dxa"/>
                  <w:vMerge w:val="restart"/>
                  <w:noWrap w:val="0"/>
                  <w:vAlign w:val="center"/>
                </w:tcPr>
                <w:p w14:paraId="221660E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最大排放浓度</w:t>
                  </w:r>
                  <w:r>
                    <w:rPr>
                      <w:rFonts w:hint="default" w:ascii="Times New Roman" w:hAnsi="Times New Roman" w:cs="Times New Roman"/>
                      <w:b/>
                      <w:bCs/>
                      <w:color w:val="000000" w:themeColor="text1"/>
                      <w:sz w:val="18"/>
                      <w:szCs w:val="18"/>
                      <w:lang w:eastAsia="zh-CN"/>
                      <w14:textFill>
                        <w14:solidFill>
                          <w14:schemeClr w14:val="tx1"/>
                        </w14:solidFill>
                      </w14:textFill>
                    </w:rPr>
                    <w:t>（</w:t>
                  </w:r>
                  <w:r>
                    <w:rPr>
                      <w:rFonts w:hint="default" w:ascii="Times New Roman" w:hAnsi="Times New Roman" w:cs="Times New Roman"/>
                      <w:b/>
                      <w:bCs/>
                      <w:color w:val="000000" w:themeColor="text1"/>
                      <w:sz w:val="18"/>
                      <w:szCs w:val="18"/>
                      <w14:textFill>
                        <w14:solidFill>
                          <w14:schemeClr w14:val="tx1"/>
                        </w14:solidFill>
                      </w14:textFill>
                    </w:rPr>
                    <w:t>mg/m</w:t>
                  </w:r>
                  <w:r>
                    <w:rPr>
                      <w:rFonts w:hint="default" w:ascii="Times New Roman" w:hAnsi="Times New Roman" w:cs="Times New Roman"/>
                      <w:b/>
                      <w:bCs/>
                      <w:color w:val="000000" w:themeColor="text1"/>
                      <w:sz w:val="18"/>
                      <w:szCs w:val="18"/>
                      <w:vertAlign w:val="superscript"/>
                      <w14:textFill>
                        <w14:solidFill>
                          <w14:schemeClr w14:val="tx1"/>
                        </w14:solidFill>
                      </w14:textFill>
                    </w:rPr>
                    <w:t>3</w:t>
                  </w:r>
                  <w:r>
                    <w:rPr>
                      <w:rFonts w:hint="default" w:ascii="Times New Roman" w:hAnsi="Times New Roman" w:cs="Times New Roman"/>
                      <w:b/>
                      <w:bCs/>
                      <w:color w:val="000000" w:themeColor="text1"/>
                      <w:sz w:val="18"/>
                      <w:szCs w:val="18"/>
                      <w:vertAlign w:val="baseline"/>
                      <w:lang w:eastAsia="zh-CN"/>
                      <w14:textFill>
                        <w14:solidFill>
                          <w14:schemeClr w14:val="tx1"/>
                        </w14:solidFill>
                      </w14:textFill>
                    </w:rPr>
                    <w:t>）</w:t>
                  </w:r>
                </w:p>
              </w:tc>
              <w:tc>
                <w:tcPr>
                  <w:tcW w:w="454" w:type="dxa"/>
                  <w:vMerge w:val="restart"/>
                  <w:noWrap w:val="0"/>
                  <w:vAlign w:val="center"/>
                </w:tcPr>
                <w:p w14:paraId="21FADD2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高度</w:t>
                  </w:r>
                </w:p>
                <w:p w14:paraId="00866C6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（m</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464" w:type="dxa"/>
                  <w:vMerge w:val="restart"/>
                  <w:noWrap w:val="0"/>
                  <w:vAlign w:val="center"/>
                </w:tcPr>
                <w:p w14:paraId="4741702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内径</w:t>
                  </w:r>
                </w:p>
                <w:p w14:paraId="245B101B">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（m</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503" w:type="dxa"/>
                  <w:vMerge w:val="restart"/>
                  <w:noWrap w:val="0"/>
                  <w:vAlign w:val="center"/>
                </w:tcPr>
                <w:p w14:paraId="4C5FB62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温度</w:t>
                  </w:r>
                </w:p>
                <w:p w14:paraId="276672C8">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w:t>
                  </w:r>
                  <w:r>
                    <w:rPr>
                      <w:rFonts w:hint="default" w:ascii="Times New Roman" w:hAnsi="Times New Roman" w:cs="Times New Roman"/>
                      <w:b/>
                      <w:bCs/>
                      <w:color w:val="000000" w:themeColor="text1"/>
                      <w:sz w:val="18"/>
                      <w:szCs w:val="18"/>
                      <w:lang w:eastAsia="zh-CN"/>
                      <w14:textFill>
                        <w14:solidFill>
                          <w14:schemeClr w14:val="tx1"/>
                        </w14:solidFill>
                      </w14:textFill>
                    </w:rPr>
                    <w:t>）</w:t>
                  </w:r>
                </w:p>
              </w:tc>
              <w:tc>
                <w:tcPr>
                  <w:tcW w:w="413" w:type="dxa"/>
                  <w:vMerge w:val="restart"/>
                  <w:noWrap w:val="0"/>
                  <w:vAlign w:val="center"/>
                </w:tcPr>
                <w:p w14:paraId="393DF4E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编号及名称</w:t>
                  </w:r>
                </w:p>
              </w:tc>
              <w:tc>
                <w:tcPr>
                  <w:tcW w:w="587" w:type="dxa"/>
                  <w:vMerge w:val="restart"/>
                  <w:noWrap w:val="0"/>
                  <w:vAlign w:val="center"/>
                </w:tcPr>
                <w:p w14:paraId="258C491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类型</w:t>
                  </w:r>
                </w:p>
              </w:tc>
              <w:tc>
                <w:tcPr>
                  <w:tcW w:w="1265" w:type="dxa"/>
                  <w:gridSpan w:val="2"/>
                  <w:noWrap w:val="0"/>
                  <w:vAlign w:val="center"/>
                </w:tcPr>
                <w:p w14:paraId="3A6ED64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地理坐标</w:t>
                  </w:r>
                </w:p>
              </w:tc>
              <w:tc>
                <w:tcPr>
                  <w:tcW w:w="1220" w:type="dxa"/>
                  <w:vMerge w:val="continue"/>
                  <w:noWrap w:val="0"/>
                  <w:vAlign w:val="center"/>
                </w:tcPr>
                <w:p w14:paraId="2099075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18"/>
                      <w:szCs w:val="18"/>
                      <w:lang w:eastAsia="zh-CN"/>
                      <w14:textFill>
                        <w14:solidFill>
                          <w14:schemeClr w14:val="tx1"/>
                        </w14:solidFill>
                      </w14:textFill>
                    </w:rPr>
                  </w:pPr>
                </w:p>
              </w:tc>
            </w:tr>
            <w:tr w14:paraId="6F3B6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noWrap w:val="0"/>
                  <w:vAlign w:val="center"/>
                </w:tcPr>
                <w:p w14:paraId="613DAC5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98" w:type="dxa"/>
                  <w:vMerge w:val="continue"/>
                  <w:noWrap w:val="0"/>
                  <w:vAlign w:val="center"/>
                </w:tcPr>
                <w:p w14:paraId="0B6493E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816" w:type="dxa"/>
                  <w:vMerge w:val="continue"/>
                  <w:noWrap w:val="0"/>
                  <w:vAlign w:val="center"/>
                </w:tcPr>
                <w:p w14:paraId="0F093EE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00" w:type="dxa"/>
                  <w:vMerge w:val="continue"/>
                  <w:noWrap w:val="0"/>
                  <w:vAlign w:val="center"/>
                </w:tcPr>
                <w:p w14:paraId="4B71284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48" w:type="dxa"/>
                  <w:vMerge w:val="continue"/>
                  <w:noWrap w:val="0"/>
                  <w:vAlign w:val="center"/>
                </w:tcPr>
                <w:p w14:paraId="4523280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61" w:type="dxa"/>
                  <w:vMerge w:val="continue"/>
                  <w:noWrap w:val="0"/>
                  <w:vAlign w:val="center"/>
                </w:tcPr>
                <w:p w14:paraId="348C1AD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719" w:type="dxa"/>
                  <w:vMerge w:val="continue"/>
                  <w:noWrap w:val="0"/>
                  <w:vAlign w:val="center"/>
                </w:tcPr>
                <w:p w14:paraId="7BD290F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528" w:type="dxa"/>
                  <w:vMerge w:val="continue"/>
                  <w:noWrap w:val="0"/>
                  <w:vAlign w:val="center"/>
                </w:tcPr>
                <w:p w14:paraId="3EB2812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69" w:type="dxa"/>
                  <w:vMerge w:val="continue"/>
                  <w:noWrap w:val="0"/>
                  <w:vAlign w:val="center"/>
                </w:tcPr>
                <w:p w14:paraId="3EDCC27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557" w:type="dxa"/>
                  <w:vMerge w:val="continue"/>
                  <w:noWrap w:val="0"/>
                  <w:vAlign w:val="center"/>
                </w:tcPr>
                <w:p w14:paraId="1328963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47" w:type="dxa"/>
                  <w:vMerge w:val="continue"/>
                  <w:noWrap w:val="0"/>
                  <w:vAlign w:val="center"/>
                </w:tcPr>
                <w:p w14:paraId="71450FE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819" w:type="dxa"/>
                  <w:vMerge w:val="continue"/>
                  <w:noWrap w:val="0"/>
                  <w:vAlign w:val="center"/>
                </w:tcPr>
                <w:p w14:paraId="464260D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807" w:type="dxa"/>
                  <w:vMerge w:val="continue"/>
                  <w:noWrap w:val="0"/>
                  <w:vAlign w:val="center"/>
                </w:tcPr>
                <w:p w14:paraId="1A43EBC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98" w:type="dxa"/>
                  <w:vMerge w:val="continue"/>
                  <w:noWrap w:val="0"/>
                  <w:vAlign w:val="center"/>
                </w:tcPr>
                <w:p w14:paraId="08F8B23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54" w:type="dxa"/>
                  <w:vMerge w:val="continue"/>
                  <w:noWrap w:val="0"/>
                  <w:vAlign w:val="center"/>
                </w:tcPr>
                <w:p w14:paraId="751322F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64" w:type="dxa"/>
                  <w:vMerge w:val="continue"/>
                  <w:noWrap w:val="0"/>
                  <w:vAlign w:val="center"/>
                </w:tcPr>
                <w:p w14:paraId="6D2579E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503" w:type="dxa"/>
                  <w:vMerge w:val="continue"/>
                  <w:noWrap w:val="0"/>
                  <w:vAlign w:val="center"/>
                </w:tcPr>
                <w:p w14:paraId="7F495E2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13" w:type="dxa"/>
                  <w:vMerge w:val="continue"/>
                  <w:noWrap w:val="0"/>
                  <w:vAlign w:val="center"/>
                </w:tcPr>
                <w:p w14:paraId="63F3E19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587" w:type="dxa"/>
                  <w:vMerge w:val="continue"/>
                  <w:noWrap w:val="0"/>
                  <w:vAlign w:val="center"/>
                </w:tcPr>
                <w:p w14:paraId="73B7CB8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36" w:type="dxa"/>
                  <w:noWrap w:val="0"/>
                  <w:vAlign w:val="center"/>
                </w:tcPr>
                <w:p w14:paraId="7AFE710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经度</w:t>
                  </w:r>
                </w:p>
              </w:tc>
              <w:tc>
                <w:tcPr>
                  <w:tcW w:w="629" w:type="dxa"/>
                  <w:noWrap w:val="0"/>
                  <w:vAlign w:val="center"/>
                </w:tcPr>
                <w:p w14:paraId="7224275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纬度</w:t>
                  </w:r>
                </w:p>
              </w:tc>
              <w:tc>
                <w:tcPr>
                  <w:tcW w:w="1220" w:type="dxa"/>
                  <w:vMerge w:val="continue"/>
                  <w:noWrap w:val="0"/>
                  <w:vAlign w:val="center"/>
                </w:tcPr>
                <w:p w14:paraId="64D4426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p>
              </w:tc>
            </w:tr>
            <w:tr w14:paraId="1522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restart"/>
                  <w:tcBorders>
                    <w:right w:val="single" w:color="000000" w:sz="6" w:space="0"/>
                  </w:tcBorders>
                  <w:noWrap w:val="0"/>
                  <w:vAlign w:val="center"/>
                </w:tcPr>
                <w:p w14:paraId="0AAA1EE4">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注塑</w:t>
                  </w:r>
                  <w:r>
                    <w:rPr>
                      <w:rFonts w:hint="eastAsia" w:ascii="Times New Roman" w:hAnsi="Times New Roman" w:cs="Times New Roman"/>
                      <w:color w:val="000000" w:themeColor="text1"/>
                      <w:sz w:val="18"/>
                      <w:szCs w:val="18"/>
                      <w:lang w:val="en-US" w:eastAsia="zh-CN"/>
                      <w14:textFill>
                        <w14:solidFill>
                          <w14:schemeClr w14:val="tx1"/>
                        </w14:solidFill>
                      </w14:textFill>
                    </w:rPr>
                    <w:t>粉尘</w:t>
                  </w:r>
                  <w:r>
                    <w:rPr>
                      <w:rFonts w:hint="default" w:ascii="Times New Roman" w:hAnsi="Times New Roman" w:cs="Times New Roman"/>
                      <w:color w:val="000000" w:themeColor="text1"/>
                      <w:sz w:val="18"/>
                      <w:szCs w:val="18"/>
                      <w:lang w:val="en-US" w:eastAsia="zh-CN"/>
                      <w14:textFill>
                        <w14:solidFill>
                          <w14:schemeClr w14:val="tx1"/>
                        </w14:solidFill>
                      </w14:textFill>
                    </w:rPr>
                    <w:t>G</w:t>
                  </w:r>
                  <w:r>
                    <w:rPr>
                      <w:rFonts w:hint="default" w:ascii="Times New Roman" w:hAnsi="Times New Roman" w:cs="Times New Roman"/>
                      <w:color w:val="000000" w:themeColor="text1"/>
                      <w:sz w:val="18"/>
                      <w:szCs w:val="18"/>
                      <w:vertAlign w:val="subscript"/>
                      <w:lang w:val="en-US" w:eastAsia="zh-CN"/>
                      <w14:textFill>
                        <w14:solidFill>
                          <w14:schemeClr w14:val="tx1"/>
                        </w14:solidFill>
                      </w14:textFill>
                    </w:rPr>
                    <w:t>1</w:t>
                  </w:r>
                </w:p>
              </w:tc>
              <w:tc>
                <w:tcPr>
                  <w:tcW w:w="498" w:type="dxa"/>
                  <w:vMerge w:val="restart"/>
                  <w:tcBorders>
                    <w:left w:val="single" w:color="000000" w:sz="6" w:space="0"/>
                  </w:tcBorders>
                  <w:noWrap w:val="0"/>
                  <w:vAlign w:val="center"/>
                </w:tcPr>
                <w:p w14:paraId="7A39EBA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非甲烷总烃</w:t>
                  </w:r>
                </w:p>
              </w:tc>
              <w:tc>
                <w:tcPr>
                  <w:tcW w:w="816" w:type="dxa"/>
                  <w:vMerge w:val="restart"/>
                  <w:noWrap w:val="0"/>
                  <w:vAlign w:val="center"/>
                </w:tcPr>
                <w:p w14:paraId="2EF09F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0.376</w:t>
                  </w:r>
                </w:p>
              </w:tc>
              <w:tc>
                <w:tcPr>
                  <w:tcW w:w="600" w:type="dxa"/>
                  <w:vMerge w:val="restart"/>
                  <w:noWrap w:val="0"/>
                  <w:vAlign w:val="center"/>
                </w:tcPr>
                <w:p w14:paraId="72FD3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0.063</w:t>
                  </w:r>
                </w:p>
              </w:tc>
              <w:tc>
                <w:tcPr>
                  <w:tcW w:w="648" w:type="dxa"/>
                  <w:noWrap w:val="0"/>
                  <w:vAlign w:val="center"/>
                </w:tcPr>
                <w:p w14:paraId="411F14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0.282</w:t>
                  </w:r>
                </w:p>
              </w:tc>
              <w:tc>
                <w:tcPr>
                  <w:tcW w:w="461" w:type="dxa"/>
                  <w:noWrap w:val="0"/>
                  <w:vAlign w:val="center"/>
                </w:tcPr>
                <w:p w14:paraId="46B6DF9A">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FF0000"/>
                      <w:sz w:val="18"/>
                      <w:szCs w:val="18"/>
                      <w:lang w:eastAsia="zh-CN"/>
                    </w:rPr>
                  </w:pPr>
                  <w:r>
                    <w:rPr>
                      <w:rFonts w:hint="eastAsia" w:cs="Times New Roman"/>
                      <w:color w:val="FF0000"/>
                      <w:sz w:val="18"/>
                      <w:szCs w:val="18"/>
                      <w:lang w:val="en-US" w:eastAsia="zh-CN"/>
                    </w:rPr>
                    <w:t>有组织</w:t>
                  </w:r>
                </w:p>
              </w:tc>
              <w:tc>
                <w:tcPr>
                  <w:tcW w:w="719" w:type="dxa"/>
                  <w:noWrap w:val="0"/>
                  <w:vAlign w:val="center"/>
                </w:tcPr>
                <w:p w14:paraId="2647F869">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集气罩+活性炭+催化燃烧</w:t>
                  </w:r>
                </w:p>
              </w:tc>
              <w:tc>
                <w:tcPr>
                  <w:tcW w:w="528" w:type="dxa"/>
                  <w:noWrap w:val="0"/>
                  <w:vAlign w:val="center"/>
                </w:tcPr>
                <w:p w14:paraId="506182C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20000</w:t>
                  </w:r>
                  <w:r>
                    <w:rPr>
                      <w:rFonts w:hint="default" w:ascii="Times New Roman" w:hAnsi="Times New Roman" w:eastAsia="宋体" w:cs="Times New Roman"/>
                      <w:color w:val="FF0000"/>
                      <w:sz w:val="18"/>
                      <w:szCs w:val="18"/>
                      <w:lang w:val="en-US" w:eastAsia="zh-CN"/>
                    </w:rPr>
                    <w:t>m³/h</w:t>
                  </w:r>
                </w:p>
              </w:tc>
              <w:tc>
                <w:tcPr>
                  <w:tcW w:w="469" w:type="dxa"/>
                  <w:noWrap w:val="0"/>
                  <w:vAlign w:val="center"/>
                </w:tcPr>
                <w:p w14:paraId="17A91C7C">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90%</w:t>
                  </w:r>
                </w:p>
              </w:tc>
              <w:tc>
                <w:tcPr>
                  <w:tcW w:w="557" w:type="dxa"/>
                  <w:noWrap w:val="0"/>
                  <w:vAlign w:val="center"/>
                </w:tcPr>
                <w:p w14:paraId="10F6979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80%</w:t>
                  </w:r>
                </w:p>
              </w:tc>
              <w:tc>
                <w:tcPr>
                  <w:tcW w:w="447" w:type="dxa"/>
                  <w:noWrap w:val="0"/>
                  <w:vAlign w:val="center"/>
                </w:tcPr>
                <w:p w14:paraId="2DDA4659">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是</w:t>
                  </w:r>
                </w:p>
              </w:tc>
              <w:tc>
                <w:tcPr>
                  <w:tcW w:w="819" w:type="dxa"/>
                  <w:noWrap w:val="0"/>
                  <w:vAlign w:val="center"/>
                </w:tcPr>
                <w:p w14:paraId="1EFA9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eastAsia" w:cs="Times New Roman"/>
                      <w:i w:val="0"/>
                      <w:iCs w:val="0"/>
                      <w:color w:val="FF0000"/>
                      <w:kern w:val="0"/>
                      <w:sz w:val="18"/>
                      <w:szCs w:val="18"/>
                      <w:u w:val="none"/>
                      <w:lang w:val="en-US" w:eastAsia="zh-CN" w:bidi="ar"/>
                    </w:rPr>
                    <w:t>0.068</w:t>
                  </w:r>
                </w:p>
              </w:tc>
              <w:tc>
                <w:tcPr>
                  <w:tcW w:w="807" w:type="dxa"/>
                  <w:noWrap w:val="0"/>
                  <w:vAlign w:val="center"/>
                </w:tcPr>
                <w:p w14:paraId="24AB38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eastAsia" w:cs="Times New Roman"/>
                      <w:i w:val="0"/>
                      <w:iCs w:val="0"/>
                      <w:color w:val="FF0000"/>
                      <w:kern w:val="0"/>
                      <w:sz w:val="18"/>
                      <w:szCs w:val="18"/>
                      <w:u w:val="none"/>
                      <w:lang w:val="en-US" w:eastAsia="zh-CN" w:bidi="ar"/>
                    </w:rPr>
                    <w:t>0.011</w:t>
                  </w:r>
                </w:p>
              </w:tc>
              <w:tc>
                <w:tcPr>
                  <w:tcW w:w="698" w:type="dxa"/>
                  <w:noWrap w:val="0"/>
                  <w:vAlign w:val="center"/>
                </w:tcPr>
                <w:p w14:paraId="4BF820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eastAsia" w:cs="Times New Roman"/>
                      <w:i w:val="0"/>
                      <w:iCs w:val="0"/>
                      <w:color w:val="FF0000"/>
                      <w:kern w:val="0"/>
                      <w:sz w:val="18"/>
                      <w:szCs w:val="18"/>
                      <w:u w:val="none"/>
                      <w:lang w:val="en-US" w:eastAsia="zh-CN" w:bidi="ar"/>
                    </w:rPr>
                    <w:t>0.57</w:t>
                  </w:r>
                </w:p>
              </w:tc>
              <w:tc>
                <w:tcPr>
                  <w:tcW w:w="454" w:type="dxa"/>
                  <w:noWrap w:val="0"/>
                  <w:vAlign w:val="center"/>
                </w:tcPr>
                <w:p w14:paraId="35879269">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w:t>
                  </w:r>
                </w:p>
              </w:tc>
              <w:tc>
                <w:tcPr>
                  <w:tcW w:w="464" w:type="dxa"/>
                  <w:noWrap w:val="0"/>
                  <w:vAlign w:val="center"/>
                </w:tcPr>
                <w:p w14:paraId="514D6C0A">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0.7</w:t>
                  </w:r>
                </w:p>
              </w:tc>
              <w:tc>
                <w:tcPr>
                  <w:tcW w:w="503" w:type="dxa"/>
                  <w:noWrap w:val="0"/>
                  <w:vAlign w:val="center"/>
                </w:tcPr>
                <w:p w14:paraId="0E0B7EC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常温</w:t>
                  </w:r>
                </w:p>
              </w:tc>
              <w:tc>
                <w:tcPr>
                  <w:tcW w:w="413" w:type="dxa"/>
                  <w:noWrap w:val="0"/>
                  <w:vAlign w:val="center"/>
                </w:tcPr>
                <w:p w14:paraId="702B282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DA</w:t>
                  </w:r>
                </w:p>
                <w:p w14:paraId="082ED23C">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00</w:t>
                  </w:r>
                  <w:r>
                    <w:rPr>
                      <w:rFonts w:hint="eastAsia" w:ascii="Times New Roman" w:hAnsi="Times New Roman" w:cs="Times New Roman"/>
                      <w:color w:val="000000" w:themeColor="text1"/>
                      <w:sz w:val="18"/>
                      <w:szCs w:val="18"/>
                      <w:lang w:val="en-US" w:eastAsia="zh-CN"/>
                      <w14:textFill>
                        <w14:solidFill>
                          <w14:schemeClr w14:val="tx1"/>
                        </w14:solidFill>
                      </w14:textFill>
                    </w:rPr>
                    <w:t>1</w:t>
                  </w:r>
                </w:p>
              </w:tc>
              <w:tc>
                <w:tcPr>
                  <w:tcW w:w="587" w:type="dxa"/>
                  <w:noWrap w:val="0"/>
                  <w:vAlign w:val="center"/>
                </w:tcPr>
                <w:p w14:paraId="41E96A79">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一般排放口</w:t>
                  </w:r>
                </w:p>
              </w:tc>
              <w:tc>
                <w:tcPr>
                  <w:tcW w:w="636" w:type="dxa"/>
                  <w:noWrap w:val="0"/>
                  <w:vAlign w:val="center"/>
                </w:tcPr>
                <w:p w14:paraId="21406D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108.935598558</w:t>
                  </w:r>
                </w:p>
              </w:tc>
              <w:tc>
                <w:tcPr>
                  <w:tcW w:w="629" w:type="dxa"/>
                  <w:noWrap w:val="0"/>
                  <w:vAlign w:val="center"/>
                </w:tcPr>
                <w:p w14:paraId="52961C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32.721690135</w:t>
                  </w:r>
                </w:p>
              </w:tc>
              <w:tc>
                <w:tcPr>
                  <w:tcW w:w="1220" w:type="dxa"/>
                  <w:vMerge w:val="restart"/>
                  <w:noWrap w:val="0"/>
                  <w:vAlign w:val="center"/>
                </w:tcPr>
                <w:p w14:paraId="49658C6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《合成树脂工业污染物排放标准》（GB31572-2015）及2024修改单中的表4</w:t>
                  </w:r>
                  <w:r>
                    <w:rPr>
                      <w:rFonts w:hint="eastAsia" w:cs="Times New Roman"/>
                      <w:color w:val="000000" w:themeColor="text1"/>
                      <w:sz w:val="18"/>
                      <w:szCs w:val="18"/>
                      <w:lang w:val="en-US" w:eastAsia="zh-CN"/>
                      <w14:textFill>
                        <w14:solidFill>
                          <w14:schemeClr w14:val="tx1"/>
                        </w14:solidFill>
                      </w14:textFill>
                    </w:rPr>
                    <w:t>、表9</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大气污染物排放限值</w:t>
                  </w:r>
                </w:p>
              </w:tc>
            </w:tr>
            <w:tr w14:paraId="33960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vMerge w:val="continue"/>
                  <w:tcBorders>
                    <w:right w:val="single" w:color="000000" w:sz="6" w:space="0"/>
                  </w:tcBorders>
                  <w:noWrap w:val="0"/>
                  <w:vAlign w:val="center"/>
                </w:tcPr>
                <w:p w14:paraId="6D453FD6">
                  <w:pPr>
                    <w:keepNext w:val="0"/>
                    <w:keepLines w:val="0"/>
                    <w:suppressLineNumbers w:val="0"/>
                    <w:spacing w:before="0" w:beforeAutospacing="0" w:after="0" w:afterAutospacing="0" w:line="240" w:lineRule="atLeast"/>
                    <w:ind w:left="0" w:right="0"/>
                    <w:jc w:val="center"/>
                    <w:rPr>
                      <w:rFonts w:hint="eastAsia" w:cs="Times New Roman"/>
                      <w:color w:val="000000" w:themeColor="text1"/>
                      <w:sz w:val="18"/>
                      <w:szCs w:val="18"/>
                      <w:lang w:val="en-US" w:eastAsia="zh-CN"/>
                      <w14:textFill>
                        <w14:solidFill>
                          <w14:schemeClr w14:val="tx1"/>
                        </w14:solidFill>
                      </w14:textFill>
                    </w:rPr>
                  </w:pPr>
                </w:p>
              </w:tc>
              <w:tc>
                <w:tcPr>
                  <w:tcW w:w="498" w:type="dxa"/>
                  <w:vMerge w:val="continue"/>
                  <w:tcBorders>
                    <w:left w:val="single" w:color="000000" w:sz="6" w:space="0"/>
                  </w:tcBorders>
                  <w:noWrap w:val="0"/>
                  <w:vAlign w:val="center"/>
                </w:tcPr>
                <w:p w14:paraId="7A998B42">
                  <w:pPr>
                    <w:keepNext w:val="0"/>
                    <w:keepLines w:val="0"/>
                    <w:suppressLineNumbers w:val="0"/>
                    <w:autoSpaceDE w:val="0"/>
                    <w:autoSpaceDN w:val="0"/>
                    <w:adjustRightInd w:val="0"/>
                    <w:spacing w:before="0" w:beforeAutospacing="0" w:after="0" w:afterAutospacing="0"/>
                    <w:ind w:left="0" w:right="0"/>
                    <w:jc w:val="center"/>
                    <w:rPr>
                      <w:rFonts w:hint="eastAsia" w:cs="Times New Roman"/>
                      <w:color w:val="000000" w:themeColor="text1"/>
                      <w:sz w:val="18"/>
                      <w:szCs w:val="18"/>
                      <w:lang w:val="en-US" w:eastAsia="zh-CN"/>
                      <w14:textFill>
                        <w14:solidFill>
                          <w14:schemeClr w14:val="tx1"/>
                        </w14:solidFill>
                      </w14:textFill>
                    </w:rPr>
                  </w:pPr>
                </w:p>
              </w:tc>
              <w:tc>
                <w:tcPr>
                  <w:tcW w:w="816" w:type="dxa"/>
                  <w:vMerge w:val="continue"/>
                  <w:noWrap w:val="0"/>
                  <w:vAlign w:val="center"/>
                </w:tcPr>
                <w:p w14:paraId="5F666FB9">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p>
              </w:tc>
              <w:tc>
                <w:tcPr>
                  <w:tcW w:w="600" w:type="dxa"/>
                  <w:vMerge w:val="continue"/>
                  <w:noWrap w:val="0"/>
                  <w:vAlign w:val="center"/>
                </w:tcPr>
                <w:p w14:paraId="337D3F6F">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p>
              </w:tc>
              <w:tc>
                <w:tcPr>
                  <w:tcW w:w="648" w:type="dxa"/>
                  <w:noWrap w:val="0"/>
                  <w:vAlign w:val="center"/>
                </w:tcPr>
                <w:p w14:paraId="44DB5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007FB43D">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无组织</w:t>
                  </w:r>
                </w:p>
              </w:tc>
              <w:tc>
                <w:tcPr>
                  <w:tcW w:w="719" w:type="dxa"/>
                  <w:noWrap w:val="0"/>
                  <w:vAlign w:val="center"/>
                </w:tcPr>
                <w:p w14:paraId="786757F8">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封闭车间</w:t>
                  </w:r>
                </w:p>
              </w:tc>
              <w:tc>
                <w:tcPr>
                  <w:tcW w:w="528" w:type="dxa"/>
                  <w:noWrap w:val="0"/>
                  <w:vAlign w:val="center"/>
                </w:tcPr>
                <w:p w14:paraId="77A63CB1">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225F1FB8">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758D4133">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77C4DE5B">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35D5213A">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0.0376</w:t>
                  </w:r>
                </w:p>
              </w:tc>
              <w:tc>
                <w:tcPr>
                  <w:tcW w:w="807" w:type="dxa"/>
                  <w:noWrap w:val="0"/>
                  <w:vAlign w:val="center"/>
                </w:tcPr>
                <w:p w14:paraId="1239E312">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0.006</w:t>
                  </w:r>
                </w:p>
              </w:tc>
              <w:tc>
                <w:tcPr>
                  <w:tcW w:w="698" w:type="dxa"/>
                  <w:noWrap w:val="0"/>
                  <w:vAlign w:val="center"/>
                </w:tcPr>
                <w:p w14:paraId="7B7C689C">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54" w:type="dxa"/>
                  <w:noWrap w:val="0"/>
                  <w:vAlign w:val="center"/>
                </w:tcPr>
                <w:p w14:paraId="7745EE82">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7741F0D2">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67E9B6AF">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74264F3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6075DD5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10B8EB5F">
                  <w:pPr>
                    <w:keepNext w:val="0"/>
                    <w:keepLines w:val="0"/>
                    <w:suppressLineNumbers w:val="0"/>
                    <w:spacing w:before="0" w:beforeAutospacing="0" w:after="0" w:afterAutospacing="0"/>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29" w:type="dxa"/>
                  <w:noWrap w:val="0"/>
                  <w:vAlign w:val="center"/>
                </w:tcPr>
                <w:p w14:paraId="1C87173D">
                  <w:pPr>
                    <w:keepNext w:val="0"/>
                    <w:keepLines w:val="0"/>
                    <w:suppressLineNumbers w:val="0"/>
                    <w:spacing w:before="0" w:beforeAutospacing="0" w:after="0" w:afterAutospacing="0"/>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220" w:type="dxa"/>
                  <w:vMerge w:val="continue"/>
                  <w:noWrap w:val="0"/>
                  <w:vAlign w:val="center"/>
                </w:tcPr>
                <w:p w14:paraId="634459F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r w14:paraId="3D907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00" w:hRule="atLeast"/>
                <w:jc w:val="center"/>
              </w:trPr>
              <w:tc>
                <w:tcPr>
                  <w:tcW w:w="568" w:type="dxa"/>
                  <w:vMerge w:val="restart"/>
                  <w:tcBorders>
                    <w:right w:val="single" w:color="000000" w:sz="6" w:space="0"/>
                  </w:tcBorders>
                  <w:noWrap w:val="0"/>
                  <w:vAlign w:val="center"/>
                </w:tcPr>
                <w:p w14:paraId="23C72D5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焊接废气</w:t>
                  </w:r>
                  <w:r>
                    <w:rPr>
                      <w:rFonts w:hint="default" w:ascii="Times New Roman" w:hAnsi="Times New Roman" w:cs="Times New Roman"/>
                      <w:color w:val="000000" w:themeColor="text1"/>
                      <w:sz w:val="18"/>
                      <w:szCs w:val="18"/>
                      <w:lang w:val="en-US" w:eastAsia="zh-CN"/>
                      <w14:textFill>
                        <w14:solidFill>
                          <w14:schemeClr w14:val="tx1"/>
                        </w14:solidFill>
                      </w14:textFill>
                    </w:rPr>
                    <w:t>G</w:t>
                  </w:r>
                  <w:r>
                    <w:rPr>
                      <w:rFonts w:hint="default" w:ascii="Times New Roman" w:hAnsi="Times New Roman" w:cs="Times New Roman"/>
                      <w:color w:val="000000" w:themeColor="text1"/>
                      <w:sz w:val="18"/>
                      <w:szCs w:val="18"/>
                      <w:vertAlign w:val="subscript"/>
                      <w:lang w:val="en-US" w:eastAsia="zh-CN"/>
                      <w14:textFill>
                        <w14:solidFill>
                          <w14:schemeClr w14:val="tx1"/>
                        </w14:solidFill>
                      </w14:textFill>
                    </w:rPr>
                    <w:t>2</w:t>
                  </w:r>
                </w:p>
              </w:tc>
              <w:tc>
                <w:tcPr>
                  <w:tcW w:w="498" w:type="dxa"/>
                  <w:vMerge w:val="restart"/>
                  <w:tcBorders>
                    <w:left w:val="single" w:color="000000" w:sz="6" w:space="0"/>
                  </w:tcBorders>
                  <w:noWrap w:val="0"/>
                  <w:vAlign w:val="center"/>
                </w:tcPr>
                <w:p w14:paraId="72F0AC3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颗粒物</w:t>
                  </w:r>
                </w:p>
              </w:tc>
              <w:tc>
                <w:tcPr>
                  <w:tcW w:w="816" w:type="dxa"/>
                  <w:vMerge w:val="restart"/>
                  <w:noWrap w:val="0"/>
                  <w:vAlign w:val="center"/>
                </w:tcPr>
                <w:p w14:paraId="73B169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0.0013</w:t>
                  </w:r>
                </w:p>
              </w:tc>
              <w:tc>
                <w:tcPr>
                  <w:tcW w:w="600" w:type="dxa"/>
                  <w:vMerge w:val="restart"/>
                  <w:noWrap w:val="0"/>
                  <w:vAlign w:val="center"/>
                </w:tcPr>
                <w:p w14:paraId="04E2FA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0.00043</w:t>
                  </w:r>
                </w:p>
              </w:tc>
              <w:tc>
                <w:tcPr>
                  <w:tcW w:w="648" w:type="dxa"/>
                  <w:noWrap w:val="0"/>
                  <w:vAlign w:val="center"/>
                </w:tcPr>
                <w:p w14:paraId="4C1E5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0.074</w:t>
                  </w:r>
                </w:p>
              </w:tc>
              <w:tc>
                <w:tcPr>
                  <w:tcW w:w="461" w:type="dxa"/>
                  <w:noWrap w:val="0"/>
                  <w:vAlign w:val="center"/>
                </w:tcPr>
                <w:p w14:paraId="224009A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有组织</w:t>
                  </w:r>
                </w:p>
              </w:tc>
              <w:tc>
                <w:tcPr>
                  <w:tcW w:w="719" w:type="dxa"/>
                  <w:noWrap w:val="0"/>
                  <w:vAlign w:val="center"/>
                </w:tcPr>
                <w:p w14:paraId="563BBA7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布袋除尘器</w:t>
                  </w:r>
                </w:p>
              </w:tc>
              <w:tc>
                <w:tcPr>
                  <w:tcW w:w="528" w:type="dxa"/>
                  <w:noWrap w:val="0"/>
                  <w:vAlign w:val="center"/>
                </w:tcPr>
                <w:p w14:paraId="032B761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50</w:t>
                  </w:r>
                  <w:r>
                    <w:rPr>
                      <w:rFonts w:hint="default" w:ascii="Times New Roman" w:hAnsi="Times New Roman" w:eastAsia="宋体" w:cs="Times New Roman"/>
                      <w:color w:val="000000" w:themeColor="text1"/>
                      <w:sz w:val="18"/>
                      <w:szCs w:val="18"/>
                      <w:lang w:eastAsia="zh-CN"/>
                      <w14:textFill>
                        <w14:solidFill>
                          <w14:schemeClr w14:val="tx1"/>
                        </w14:solidFill>
                      </w14:textFill>
                    </w:rPr>
                    <w:t>00</w:t>
                  </w:r>
                </w:p>
                <w:p w14:paraId="254EE82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m³/h</w:t>
                  </w:r>
                </w:p>
              </w:tc>
              <w:tc>
                <w:tcPr>
                  <w:tcW w:w="469" w:type="dxa"/>
                  <w:noWrap w:val="0"/>
                  <w:vAlign w:val="center"/>
                </w:tcPr>
                <w:p w14:paraId="173ED39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85</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tc>
              <w:tc>
                <w:tcPr>
                  <w:tcW w:w="557" w:type="dxa"/>
                  <w:noWrap w:val="0"/>
                  <w:vAlign w:val="center"/>
                </w:tcPr>
                <w:p w14:paraId="72564BD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9</w:t>
                  </w:r>
                  <w:r>
                    <w:rPr>
                      <w:rFonts w:hint="eastAsia" w:cs="Times New Roman"/>
                      <w:color w:val="000000" w:themeColor="text1"/>
                      <w:sz w:val="18"/>
                      <w:szCs w:val="18"/>
                      <w:lang w:val="en-US" w:eastAsia="zh-CN"/>
                      <w14:textFill>
                        <w14:solidFill>
                          <w14:schemeClr w14:val="tx1"/>
                        </w14:solidFill>
                      </w14:textFill>
                    </w:rPr>
                    <w:t>5</w:t>
                  </w: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6C652C4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740CF7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0.00006</w:t>
                  </w:r>
                </w:p>
              </w:tc>
              <w:tc>
                <w:tcPr>
                  <w:tcW w:w="807" w:type="dxa"/>
                  <w:noWrap w:val="0"/>
                  <w:vAlign w:val="center"/>
                </w:tcPr>
                <w:p w14:paraId="7B61EB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0.00002</w:t>
                  </w:r>
                </w:p>
              </w:tc>
              <w:tc>
                <w:tcPr>
                  <w:tcW w:w="698" w:type="dxa"/>
                  <w:noWrap w:val="0"/>
                  <w:vAlign w:val="center"/>
                </w:tcPr>
                <w:p w14:paraId="2CF2F3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0.004</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p>
              </w:tc>
              <w:tc>
                <w:tcPr>
                  <w:tcW w:w="454" w:type="dxa"/>
                  <w:noWrap w:val="0"/>
                  <w:vAlign w:val="center"/>
                </w:tcPr>
                <w:p w14:paraId="0759795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w:t>
                  </w:r>
                </w:p>
              </w:tc>
              <w:tc>
                <w:tcPr>
                  <w:tcW w:w="464" w:type="dxa"/>
                  <w:noWrap w:val="0"/>
                  <w:vAlign w:val="center"/>
                </w:tcPr>
                <w:p w14:paraId="146DE342">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0.35</w:t>
                  </w:r>
                </w:p>
              </w:tc>
              <w:tc>
                <w:tcPr>
                  <w:tcW w:w="503" w:type="dxa"/>
                  <w:noWrap w:val="0"/>
                  <w:vAlign w:val="center"/>
                </w:tcPr>
                <w:p w14:paraId="12D1659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常温</w:t>
                  </w:r>
                </w:p>
              </w:tc>
              <w:tc>
                <w:tcPr>
                  <w:tcW w:w="413" w:type="dxa"/>
                  <w:noWrap w:val="0"/>
                  <w:vAlign w:val="center"/>
                </w:tcPr>
                <w:p w14:paraId="369902A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DA</w:t>
                  </w:r>
                </w:p>
                <w:p w14:paraId="5714A8C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00</w:t>
                  </w:r>
                  <w:r>
                    <w:rPr>
                      <w:rFonts w:hint="eastAsia" w:cs="Times New Roman"/>
                      <w:color w:val="000000" w:themeColor="text1"/>
                      <w:sz w:val="18"/>
                      <w:szCs w:val="18"/>
                      <w:lang w:val="en-US" w:eastAsia="zh-CN"/>
                      <w14:textFill>
                        <w14:solidFill>
                          <w14:schemeClr w14:val="tx1"/>
                        </w14:solidFill>
                      </w14:textFill>
                    </w:rPr>
                    <w:t>2</w:t>
                  </w:r>
                </w:p>
              </w:tc>
              <w:tc>
                <w:tcPr>
                  <w:tcW w:w="587" w:type="dxa"/>
                  <w:noWrap w:val="0"/>
                  <w:vAlign w:val="center"/>
                </w:tcPr>
                <w:p w14:paraId="5D72702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一般排放口</w:t>
                  </w:r>
                </w:p>
              </w:tc>
              <w:tc>
                <w:tcPr>
                  <w:tcW w:w="636" w:type="dxa"/>
                  <w:noWrap w:val="0"/>
                  <w:vAlign w:val="center"/>
                </w:tcPr>
                <w:p w14:paraId="40464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108.936312026</w:t>
                  </w:r>
                </w:p>
              </w:tc>
              <w:tc>
                <w:tcPr>
                  <w:tcW w:w="629" w:type="dxa"/>
                  <w:noWrap w:val="0"/>
                  <w:vAlign w:val="center"/>
                </w:tcPr>
                <w:p w14:paraId="7835A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32.722221213</w:t>
                  </w:r>
                </w:p>
              </w:tc>
              <w:tc>
                <w:tcPr>
                  <w:tcW w:w="1220" w:type="dxa"/>
                  <w:vMerge w:val="restart"/>
                  <w:noWrap w:val="0"/>
                  <w:vAlign w:val="center"/>
                </w:tcPr>
                <w:p w14:paraId="03CB933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有组织执行</w:t>
                  </w:r>
                  <w:r>
                    <w:rPr>
                      <w:rFonts w:hint="default" w:ascii="Times New Roman" w:hAnsi="Times New Roman" w:cs="Times New Roman"/>
                      <w:color w:val="000000" w:themeColor="text1"/>
                      <w:sz w:val="18"/>
                      <w:szCs w:val="18"/>
                      <w:lang w:val="en-US" w:eastAsia="zh-CN"/>
                      <w14:textFill>
                        <w14:solidFill>
                          <w14:schemeClr w14:val="tx1"/>
                        </w14:solidFill>
                      </w14:textFill>
                    </w:rPr>
                    <w:t>《大气污染物综合排放标准》（GB16297-1996）表2排放限值</w:t>
                  </w:r>
                  <w:r>
                    <w:rPr>
                      <w:rFonts w:hint="eastAsia" w:cs="Times New Roman"/>
                      <w:color w:val="000000" w:themeColor="text1"/>
                      <w:sz w:val="18"/>
                      <w:szCs w:val="18"/>
                      <w:lang w:val="en-US" w:eastAsia="zh-CN"/>
                      <w14:textFill>
                        <w14:solidFill>
                          <w14:schemeClr w14:val="tx1"/>
                        </w14:solidFill>
                      </w14:textFill>
                    </w:rPr>
                    <w:t>。无组织执行</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《合成树脂工业污染物排放标准》（GB31572-2015）及2024修改单中的</w:t>
                  </w:r>
                  <w:r>
                    <w:rPr>
                      <w:rFonts w:hint="eastAsia" w:cs="Times New Roman"/>
                      <w:color w:val="000000" w:themeColor="text1"/>
                      <w:sz w:val="18"/>
                      <w:szCs w:val="18"/>
                      <w:lang w:val="en-US" w:eastAsia="zh-CN"/>
                      <w14:textFill>
                        <w14:solidFill>
                          <w14:schemeClr w14:val="tx1"/>
                        </w14:solidFill>
                      </w14:textFill>
                    </w:rPr>
                    <w:t>表9排放限值</w:t>
                  </w:r>
                </w:p>
              </w:tc>
            </w:tr>
            <w:tr w14:paraId="40E23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53" w:hRule="atLeast"/>
                <w:jc w:val="center"/>
              </w:trPr>
              <w:tc>
                <w:tcPr>
                  <w:tcW w:w="568" w:type="dxa"/>
                  <w:vMerge w:val="continue"/>
                  <w:tcBorders>
                    <w:right w:val="single" w:color="000000" w:sz="6" w:space="0"/>
                  </w:tcBorders>
                  <w:noWrap w:val="0"/>
                  <w:vAlign w:val="center"/>
                </w:tcPr>
                <w:p w14:paraId="03ABA80B">
                  <w:pPr>
                    <w:keepNext w:val="0"/>
                    <w:keepLines w:val="0"/>
                    <w:suppressLineNumbers w:val="0"/>
                    <w:spacing w:before="0" w:beforeAutospacing="0" w:after="0" w:afterAutospacing="0" w:line="240" w:lineRule="atLeast"/>
                    <w:ind w:left="0" w:right="0"/>
                    <w:jc w:val="center"/>
                    <w:rPr>
                      <w:rFonts w:hint="eastAsia" w:cs="Times New Roman"/>
                      <w:color w:val="000000" w:themeColor="text1"/>
                      <w:sz w:val="18"/>
                      <w:szCs w:val="18"/>
                      <w:lang w:val="en-US" w:eastAsia="zh-CN"/>
                      <w14:textFill>
                        <w14:solidFill>
                          <w14:schemeClr w14:val="tx1"/>
                        </w14:solidFill>
                      </w14:textFill>
                    </w:rPr>
                  </w:pPr>
                </w:p>
              </w:tc>
              <w:tc>
                <w:tcPr>
                  <w:tcW w:w="498" w:type="dxa"/>
                  <w:vMerge w:val="continue"/>
                  <w:tcBorders>
                    <w:left w:val="single" w:color="000000" w:sz="6" w:space="0"/>
                  </w:tcBorders>
                  <w:noWrap w:val="0"/>
                  <w:vAlign w:val="center"/>
                </w:tcPr>
                <w:p w14:paraId="066F55A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p>
              </w:tc>
              <w:tc>
                <w:tcPr>
                  <w:tcW w:w="816" w:type="dxa"/>
                  <w:vMerge w:val="continue"/>
                  <w:noWrap w:val="0"/>
                  <w:vAlign w:val="center"/>
                </w:tcPr>
                <w:p w14:paraId="6CD60DE0">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p>
              </w:tc>
              <w:tc>
                <w:tcPr>
                  <w:tcW w:w="600" w:type="dxa"/>
                  <w:vMerge w:val="continue"/>
                  <w:noWrap w:val="0"/>
                  <w:vAlign w:val="center"/>
                </w:tcPr>
                <w:p w14:paraId="013DCE09">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p>
              </w:tc>
              <w:tc>
                <w:tcPr>
                  <w:tcW w:w="648" w:type="dxa"/>
                  <w:noWrap w:val="0"/>
                  <w:vAlign w:val="center"/>
                </w:tcPr>
                <w:p w14:paraId="683B7B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42826A0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无组织</w:t>
                  </w:r>
                </w:p>
              </w:tc>
              <w:tc>
                <w:tcPr>
                  <w:tcW w:w="719" w:type="dxa"/>
                  <w:noWrap w:val="0"/>
                  <w:vAlign w:val="center"/>
                </w:tcPr>
                <w:p w14:paraId="7B28017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封闭车间</w:t>
                  </w:r>
                </w:p>
              </w:tc>
              <w:tc>
                <w:tcPr>
                  <w:tcW w:w="528" w:type="dxa"/>
                  <w:noWrap w:val="0"/>
                  <w:vAlign w:val="center"/>
                </w:tcPr>
                <w:p w14:paraId="275E9C9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25674F7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7288B09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6C6F1F8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7D43B3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0..0002</w:t>
                  </w:r>
                </w:p>
              </w:tc>
              <w:tc>
                <w:tcPr>
                  <w:tcW w:w="807" w:type="dxa"/>
                  <w:noWrap w:val="0"/>
                  <w:vAlign w:val="center"/>
                </w:tcPr>
                <w:p w14:paraId="4D89E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6.67×10</w:t>
                  </w:r>
                  <w:r>
                    <w:rPr>
                      <w:rFonts w:hint="eastAsia" w:cs="Times New Roman"/>
                      <w:i w:val="0"/>
                      <w:iCs w:val="0"/>
                      <w:color w:val="000000" w:themeColor="text1"/>
                      <w:kern w:val="0"/>
                      <w:sz w:val="18"/>
                      <w:szCs w:val="18"/>
                      <w:u w:val="none"/>
                      <w:vertAlign w:val="superscript"/>
                      <w:lang w:val="en-US" w:eastAsia="zh-CN" w:bidi="ar"/>
                      <w14:textFill>
                        <w14:solidFill>
                          <w14:schemeClr w14:val="tx1"/>
                        </w14:solidFill>
                      </w14:textFill>
                    </w:rPr>
                    <w:t>-5</w:t>
                  </w:r>
                </w:p>
              </w:tc>
              <w:tc>
                <w:tcPr>
                  <w:tcW w:w="698" w:type="dxa"/>
                  <w:noWrap w:val="0"/>
                  <w:vAlign w:val="center"/>
                </w:tcPr>
                <w:p w14:paraId="68EE38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454" w:type="dxa"/>
                  <w:noWrap w:val="0"/>
                  <w:vAlign w:val="center"/>
                </w:tcPr>
                <w:p w14:paraId="0758EB11">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2C100E78">
                  <w:pPr>
                    <w:keepNext w:val="0"/>
                    <w:keepLines w:val="0"/>
                    <w:suppressLineNumbers w:val="0"/>
                    <w:spacing w:before="0" w:beforeAutospacing="0" w:after="0" w:afterAutospacing="0" w:line="240" w:lineRule="atLeast"/>
                    <w:ind w:left="0"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2657DFD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69D95D8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5D53743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01E167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629" w:type="dxa"/>
                  <w:noWrap w:val="0"/>
                  <w:vAlign w:val="center"/>
                </w:tcPr>
                <w:p w14:paraId="2FF120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1220" w:type="dxa"/>
                  <w:vMerge w:val="continue"/>
                  <w:noWrap w:val="0"/>
                  <w:vAlign w:val="center"/>
                </w:tcPr>
                <w:p w14:paraId="55F3A8F7">
                  <w:pPr>
                    <w:keepNext w:val="0"/>
                    <w:keepLines w:val="0"/>
                    <w:suppressLineNumbers w:val="0"/>
                    <w:autoSpaceDE w:val="0"/>
                    <w:autoSpaceDN w:val="0"/>
                    <w:adjustRightInd w:val="0"/>
                    <w:spacing w:before="0" w:beforeAutospacing="0" w:after="0" w:afterAutospacing="0"/>
                    <w:ind w:left="0" w:right="0"/>
                    <w:jc w:val="center"/>
                    <w:rPr>
                      <w:rFonts w:hint="eastAsia" w:cs="Times New Roman"/>
                      <w:color w:val="000000" w:themeColor="text1"/>
                      <w:sz w:val="18"/>
                      <w:szCs w:val="18"/>
                      <w:lang w:val="en-US" w:eastAsia="zh-CN"/>
                      <w14:textFill>
                        <w14:solidFill>
                          <w14:schemeClr w14:val="tx1"/>
                        </w14:solidFill>
                      </w14:textFill>
                    </w:rPr>
                  </w:pPr>
                </w:p>
              </w:tc>
            </w:tr>
            <w:tr w14:paraId="73FA5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50" w:hRule="atLeast"/>
                <w:jc w:val="center"/>
              </w:trPr>
              <w:tc>
                <w:tcPr>
                  <w:tcW w:w="568" w:type="dxa"/>
                  <w:vMerge w:val="continue"/>
                  <w:tcBorders>
                    <w:right w:val="single" w:color="000000" w:sz="6" w:space="0"/>
                  </w:tcBorders>
                  <w:noWrap w:val="0"/>
                  <w:vAlign w:val="center"/>
                </w:tcPr>
                <w:p w14:paraId="0172F58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14:textFill>
                        <w14:solidFill>
                          <w14:schemeClr w14:val="tx1"/>
                        </w14:solidFill>
                      </w14:textFill>
                    </w:rPr>
                  </w:pPr>
                </w:p>
              </w:tc>
              <w:tc>
                <w:tcPr>
                  <w:tcW w:w="498" w:type="dxa"/>
                  <w:tcBorders>
                    <w:left w:val="single" w:color="000000" w:sz="6" w:space="0"/>
                  </w:tcBorders>
                  <w:noWrap w:val="0"/>
                  <w:vAlign w:val="center"/>
                </w:tcPr>
                <w:p w14:paraId="27C31F8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非甲烷总烃</w:t>
                  </w:r>
                </w:p>
              </w:tc>
              <w:tc>
                <w:tcPr>
                  <w:tcW w:w="816" w:type="dxa"/>
                  <w:noWrap w:val="0"/>
                  <w:vAlign w:val="center"/>
                </w:tcPr>
                <w:p w14:paraId="2147C1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eastAsia" w:cs="Times New Roman"/>
                      <w:i w:val="0"/>
                      <w:iCs w:val="0"/>
                      <w:color w:val="FF0000"/>
                      <w:kern w:val="0"/>
                      <w:sz w:val="18"/>
                      <w:szCs w:val="18"/>
                      <w:u w:val="none"/>
                      <w:lang w:val="en-US" w:eastAsia="zh-CN" w:bidi="ar"/>
                    </w:rPr>
                    <w:t>0.0945</w:t>
                  </w:r>
                </w:p>
              </w:tc>
              <w:tc>
                <w:tcPr>
                  <w:tcW w:w="600" w:type="dxa"/>
                  <w:noWrap w:val="0"/>
                  <w:vAlign w:val="center"/>
                </w:tcPr>
                <w:p w14:paraId="3290ED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FF0000"/>
                      <w:kern w:val="0"/>
                      <w:sz w:val="18"/>
                      <w:szCs w:val="18"/>
                      <w:u w:val="none"/>
                      <w:lang w:val="en-US" w:eastAsia="zh-CN" w:bidi="ar"/>
                    </w:rPr>
                  </w:pPr>
                  <w:r>
                    <w:rPr>
                      <w:rFonts w:hint="eastAsia" w:cs="Times New Roman"/>
                      <w:i w:val="0"/>
                      <w:iCs w:val="0"/>
                      <w:color w:val="FF0000"/>
                      <w:kern w:val="0"/>
                      <w:sz w:val="18"/>
                      <w:szCs w:val="18"/>
                      <w:u w:val="none"/>
                      <w:lang w:val="en-US" w:eastAsia="zh-CN" w:bidi="ar"/>
                    </w:rPr>
                    <w:t>0.0315</w:t>
                  </w:r>
                </w:p>
              </w:tc>
              <w:tc>
                <w:tcPr>
                  <w:tcW w:w="648" w:type="dxa"/>
                  <w:noWrap w:val="0"/>
                  <w:vAlign w:val="center"/>
                </w:tcPr>
                <w:p w14:paraId="5B64B8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FF0000"/>
                      <w:kern w:val="0"/>
                      <w:sz w:val="18"/>
                      <w:szCs w:val="18"/>
                      <w:u w:val="none"/>
                      <w:lang w:val="en-US" w:eastAsia="zh-CN" w:bidi="ar"/>
                    </w:rPr>
                    <w:t>/</w:t>
                  </w:r>
                </w:p>
              </w:tc>
              <w:tc>
                <w:tcPr>
                  <w:tcW w:w="461" w:type="dxa"/>
                  <w:noWrap w:val="0"/>
                  <w:vAlign w:val="center"/>
                </w:tcPr>
                <w:p w14:paraId="64601675">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无组织</w:t>
                  </w:r>
                </w:p>
              </w:tc>
              <w:tc>
                <w:tcPr>
                  <w:tcW w:w="719" w:type="dxa"/>
                  <w:noWrap w:val="0"/>
                  <w:vAlign w:val="center"/>
                </w:tcPr>
                <w:p w14:paraId="389DD64A">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封闭车间</w:t>
                  </w:r>
                </w:p>
              </w:tc>
              <w:tc>
                <w:tcPr>
                  <w:tcW w:w="528" w:type="dxa"/>
                  <w:noWrap w:val="0"/>
                  <w:vAlign w:val="center"/>
                </w:tcPr>
                <w:p w14:paraId="4599EA7E">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0F8E4BE3">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15BEFFD3">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00958664">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03E2D5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0.0945</w:t>
                  </w:r>
                </w:p>
              </w:tc>
              <w:tc>
                <w:tcPr>
                  <w:tcW w:w="807" w:type="dxa"/>
                  <w:noWrap w:val="0"/>
                  <w:vAlign w:val="center"/>
                </w:tcPr>
                <w:p w14:paraId="03FCE1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0.0315</w:t>
                  </w:r>
                </w:p>
              </w:tc>
              <w:tc>
                <w:tcPr>
                  <w:tcW w:w="698" w:type="dxa"/>
                  <w:noWrap w:val="0"/>
                  <w:vAlign w:val="center"/>
                </w:tcPr>
                <w:p w14:paraId="034E54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w:t>
                  </w:r>
                </w:p>
              </w:tc>
              <w:tc>
                <w:tcPr>
                  <w:tcW w:w="454" w:type="dxa"/>
                  <w:shd w:val="clear" w:color="auto" w:fill="auto"/>
                  <w:noWrap w:val="0"/>
                  <w:vAlign w:val="center"/>
                </w:tcPr>
                <w:p w14:paraId="0FF2A6BE">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shd w:val="clear" w:color="auto" w:fill="auto"/>
                  <w:noWrap w:val="0"/>
                  <w:vAlign w:val="center"/>
                </w:tcPr>
                <w:p w14:paraId="60155A9B">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shd w:val="clear" w:color="auto" w:fill="auto"/>
                  <w:noWrap w:val="0"/>
                  <w:vAlign w:val="center"/>
                </w:tcPr>
                <w:p w14:paraId="53057A4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shd w:val="clear" w:color="auto" w:fill="auto"/>
                  <w:noWrap w:val="0"/>
                  <w:vAlign w:val="center"/>
                </w:tcPr>
                <w:p w14:paraId="730731D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87" w:type="dxa"/>
                  <w:shd w:val="clear" w:color="auto" w:fill="auto"/>
                  <w:noWrap w:val="0"/>
                  <w:vAlign w:val="center"/>
                </w:tcPr>
                <w:p w14:paraId="21BCBF8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7AC97AE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29" w:type="dxa"/>
                  <w:noWrap w:val="0"/>
                  <w:vAlign w:val="center"/>
                </w:tcPr>
                <w:p w14:paraId="19B56C6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220" w:type="dxa"/>
                  <w:vMerge w:val="continue"/>
                  <w:noWrap w:val="0"/>
                  <w:vAlign w:val="center"/>
                </w:tcPr>
                <w:p w14:paraId="423D120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p>
              </w:tc>
            </w:tr>
            <w:tr w14:paraId="384BA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tcBorders>
                    <w:right w:val="single" w:color="000000" w:sz="6" w:space="0"/>
                  </w:tcBorders>
                  <w:noWrap w:val="0"/>
                  <w:vAlign w:val="center"/>
                </w:tcPr>
                <w:p w14:paraId="4B244EFE">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点胶固化废气</w:t>
                  </w:r>
                  <w:r>
                    <w:rPr>
                      <w:rFonts w:hint="default" w:ascii="Times New Roman" w:hAnsi="Times New Roman" w:cs="Times New Roman"/>
                      <w:color w:val="000000" w:themeColor="text1"/>
                      <w:sz w:val="18"/>
                      <w:szCs w:val="18"/>
                      <w:lang w:val="en-US" w:eastAsia="zh-CN"/>
                      <w14:textFill>
                        <w14:solidFill>
                          <w14:schemeClr w14:val="tx1"/>
                        </w14:solidFill>
                      </w14:textFill>
                    </w:rPr>
                    <w:t>G</w:t>
                  </w:r>
                  <w:r>
                    <w:rPr>
                      <w:rFonts w:hint="eastAsia" w:cs="Times New Roman"/>
                      <w:color w:val="000000" w:themeColor="text1"/>
                      <w:sz w:val="18"/>
                      <w:szCs w:val="18"/>
                      <w:vertAlign w:val="subscript"/>
                      <w:lang w:val="en-US" w:eastAsia="zh-CN"/>
                      <w14:textFill>
                        <w14:solidFill>
                          <w14:schemeClr w14:val="tx1"/>
                        </w14:solidFill>
                      </w14:textFill>
                    </w:rPr>
                    <w:t>3</w:t>
                  </w:r>
                </w:p>
              </w:tc>
              <w:tc>
                <w:tcPr>
                  <w:tcW w:w="498" w:type="dxa"/>
                  <w:tcBorders>
                    <w:left w:val="single" w:color="000000" w:sz="6" w:space="0"/>
                  </w:tcBorders>
                  <w:noWrap w:val="0"/>
                  <w:vAlign w:val="center"/>
                </w:tcPr>
                <w:p w14:paraId="47CB975A">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非甲烷总烃</w:t>
                  </w:r>
                </w:p>
              </w:tc>
              <w:tc>
                <w:tcPr>
                  <w:tcW w:w="816" w:type="dxa"/>
                  <w:noWrap w:val="0"/>
                  <w:vAlign w:val="center"/>
                </w:tcPr>
                <w:p w14:paraId="7C395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0.00092</w:t>
                  </w:r>
                </w:p>
              </w:tc>
              <w:tc>
                <w:tcPr>
                  <w:tcW w:w="600" w:type="dxa"/>
                  <w:noWrap w:val="0"/>
                  <w:vAlign w:val="center"/>
                </w:tcPr>
                <w:p w14:paraId="7A5650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0.00015</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p>
              </w:tc>
              <w:tc>
                <w:tcPr>
                  <w:tcW w:w="648" w:type="dxa"/>
                  <w:noWrap w:val="0"/>
                  <w:vAlign w:val="center"/>
                </w:tcPr>
                <w:p w14:paraId="26804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429518DD">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无组织</w:t>
                  </w:r>
                </w:p>
              </w:tc>
              <w:tc>
                <w:tcPr>
                  <w:tcW w:w="719" w:type="dxa"/>
                  <w:noWrap w:val="0"/>
                  <w:vAlign w:val="center"/>
                </w:tcPr>
                <w:p w14:paraId="3317DDB1">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封闭车间</w:t>
                  </w:r>
                </w:p>
              </w:tc>
              <w:tc>
                <w:tcPr>
                  <w:tcW w:w="528" w:type="dxa"/>
                  <w:noWrap w:val="0"/>
                  <w:vAlign w:val="center"/>
                </w:tcPr>
                <w:p w14:paraId="516F1E0C">
                  <w:pPr>
                    <w:keepNext w:val="0"/>
                    <w:keepLines w:val="0"/>
                    <w:suppressLineNumbers w:val="0"/>
                    <w:spacing w:before="0" w:beforeAutospacing="0" w:after="0" w:afterAutospacing="0" w:line="240" w:lineRule="atLeast"/>
                    <w:ind w:left="0" w:leftChars="0" w:right="0" w:rightChars="0"/>
                    <w:jc w:val="center"/>
                    <w:rPr>
                      <w:rFonts w:hint="eastAsia"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48330215">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71171D83">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08A485CB">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0BC5E5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0.00092</w:t>
                  </w:r>
                </w:p>
              </w:tc>
              <w:tc>
                <w:tcPr>
                  <w:tcW w:w="807" w:type="dxa"/>
                  <w:noWrap w:val="0"/>
                  <w:vAlign w:val="center"/>
                </w:tcPr>
                <w:p w14:paraId="049E2C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0.00015</w:t>
                  </w:r>
                </w:p>
              </w:tc>
              <w:tc>
                <w:tcPr>
                  <w:tcW w:w="698" w:type="dxa"/>
                  <w:noWrap w:val="0"/>
                  <w:vAlign w:val="center"/>
                </w:tcPr>
                <w:p w14:paraId="1887F7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454" w:type="dxa"/>
                  <w:noWrap w:val="0"/>
                  <w:vAlign w:val="center"/>
                </w:tcPr>
                <w:p w14:paraId="6CDDE3DF">
                  <w:pPr>
                    <w:keepNext w:val="0"/>
                    <w:keepLines w:val="0"/>
                    <w:suppressLineNumbers w:val="0"/>
                    <w:spacing w:before="0" w:beforeAutospacing="0" w:after="0" w:afterAutospacing="0" w:line="240" w:lineRule="atLeast"/>
                    <w:ind w:left="0" w:leftChars="0" w:right="0" w:rightChars="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5D327461">
                  <w:pPr>
                    <w:keepNext w:val="0"/>
                    <w:keepLines w:val="0"/>
                    <w:suppressLineNumbers w:val="0"/>
                    <w:spacing w:before="0" w:beforeAutospacing="0" w:after="0" w:afterAutospacing="0" w:line="240" w:lineRule="atLeast"/>
                    <w:ind w:left="0" w:leftChars="0" w:right="0" w:rightChars="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509DD338">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00954B02">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075853E4">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53B89FC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29" w:type="dxa"/>
                  <w:noWrap w:val="0"/>
                  <w:vAlign w:val="center"/>
                </w:tcPr>
                <w:p w14:paraId="7DF309F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220" w:type="dxa"/>
                  <w:noWrap w:val="0"/>
                  <w:vAlign w:val="center"/>
                </w:tcPr>
                <w:p w14:paraId="339099D9">
                  <w:pPr>
                    <w:keepNext w:val="0"/>
                    <w:keepLines w:val="0"/>
                    <w:suppressLineNumbers w:val="0"/>
                    <w:autoSpaceDE w:val="0"/>
                    <w:autoSpaceDN w:val="0"/>
                    <w:adjustRightInd w:val="0"/>
                    <w:spacing w:before="0" w:beforeAutospacing="0" w:after="0" w:afterAutospacing="0"/>
                    <w:ind w:left="0" w:leftChars="0" w:right="0" w:rightChars="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厂区内执行《挥发性有机物无组织排放控制标准》（GB 37822-2019）中附录A的表A.1（厂区内VOCs无组织排放限值），厂界执行</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《合成树脂工业污染物排放标准》（GB31572-2015）及2024修改单中的</w:t>
                  </w:r>
                  <w:r>
                    <w:rPr>
                      <w:rFonts w:hint="eastAsia" w:cs="Times New Roman"/>
                      <w:color w:val="000000" w:themeColor="text1"/>
                      <w:sz w:val="18"/>
                      <w:szCs w:val="18"/>
                      <w:lang w:val="en-US" w:eastAsia="zh-CN"/>
                      <w14:textFill>
                        <w14:solidFill>
                          <w14:schemeClr w14:val="tx1"/>
                        </w14:solidFill>
                      </w14:textFill>
                    </w:rPr>
                    <w:t>表9排放限值</w:t>
                  </w:r>
                </w:p>
              </w:tc>
            </w:tr>
            <w:tr w14:paraId="08BCB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tcBorders>
                    <w:right w:val="single" w:color="000000" w:sz="6" w:space="0"/>
                  </w:tcBorders>
                  <w:noWrap w:val="0"/>
                  <w:vAlign w:val="center"/>
                </w:tcPr>
                <w:p w14:paraId="27AC4A0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粉碎粉尘</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G</w:t>
                  </w:r>
                  <w:r>
                    <w:rPr>
                      <w:rFonts w:hint="eastAsia" w:cs="Times New Roman"/>
                      <w:color w:val="000000" w:themeColor="text1"/>
                      <w:sz w:val="18"/>
                      <w:szCs w:val="18"/>
                      <w:vertAlign w:val="subscript"/>
                      <w:lang w:val="en-US" w:eastAsia="zh-CN"/>
                      <w14:textFill>
                        <w14:solidFill>
                          <w14:schemeClr w14:val="tx1"/>
                        </w14:solidFill>
                      </w14:textFill>
                    </w:rPr>
                    <w:t>4</w:t>
                  </w:r>
                </w:p>
              </w:tc>
              <w:tc>
                <w:tcPr>
                  <w:tcW w:w="498" w:type="dxa"/>
                  <w:tcBorders>
                    <w:left w:val="single" w:color="000000" w:sz="6" w:space="0"/>
                  </w:tcBorders>
                  <w:noWrap w:val="0"/>
                  <w:vAlign w:val="center"/>
                </w:tcPr>
                <w:p w14:paraId="1983781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颗粒物</w:t>
                  </w:r>
                </w:p>
              </w:tc>
              <w:tc>
                <w:tcPr>
                  <w:tcW w:w="816" w:type="dxa"/>
                  <w:noWrap w:val="0"/>
                  <w:vAlign w:val="center"/>
                </w:tcPr>
                <w:p w14:paraId="3518E4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0.0012</w:t>
                  </w:r>
                </w:p>
              </w:tc>
              <w:tc>
                <w:tcPr>
                  <w:tcW w:w="600" w:type="dxa"/>
                  <w:noWrap w:val="0"/>
                  <w:vAlign w:val="center"/>
                </w:tcPr>
                <w:p w14:paraId="47B3F8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p>
              </w:tc>
              <w:tc>
                <w:tcPr>
                  <w:tcW w:w="648" w:type="dxa"/>
                  <w:noWrap w:val="0"/>
                  <w:vAlign w:val="center"/>
                </w:tcPr>
                <w:p w14:paraId="301474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461" w:type="dxa"/>
                  <w:noWrap w:val="0"/>
                  <w:vAlign w:val="center"/>
                </w:tcPr>
                <w:p w14:paraId="169A4E0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无组织</w:t>
                  </w:r>
                </w:p>
              </w:tc>
              <w:tc>
                <w:tcPr>
                  <w:tcW w:w="719" w:type="dxa"/>
                  <w:noWrap w:val="0"/>
                  <w:vAlign w:val="center"/>
                </w:tcPr>
                <w:p w14:paraId="66DDB1A3">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密闭车间抑尘</w:t>
                  </w:r>
                </w:p>
              </w:tc>
              <w:tc>
                <w:tcPr>
                  <w:tcW w:w="528" w:type="dxa"/>
                  <w:noWrap w:val="0"/>
                  <w:vAlign w:val="center"/>
                </w:tcPr>
                <w:p w14:paraId="357B63BD">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469" w:type="dxa"/>
                  <w:noWrap w:val="0"/>
                  <w:vAlign w:val="center"/>
                </w:tcPr>
                <w:p w14:paraId="20B7AC97">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16D5272C">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80%</w:t>
                  </w:r>
                </w:p>
              </w:tc>
              <w:tc>
                <w:tcPr>
                  <w:tcW w:w="447" w:type="dxa"/>
                  <w:noWrap w:val="0"/>
                  <w:vAlign w:val="center"/>
                </w:tcPr>
                <w:p w14:paraId="0F549881">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2175C8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0.00024</w:t>
                  </w:r>
                </w:p>
              </w:tc>
              <w:tc>
                <w:tcPr>
                  <w:tcW w:w="807" w:type="dxa"/>
                  <w:noWrap w:val="0"/>
                  <w:vAlign w:val="center"/>
                </w:tcPr>
                <w:p w14:paraId="085BD9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0.0002</w:t>
                  </w:r>
                </w:p>
              </w:tc>
              <w:tc>
                <w:tcPr>
                  <w:tcW w:w="698" w:type="dxa"/>
                  <w:noWrap w:val="0"/>
                  <w:vAlign w:val="center"/>
                </w:tcPr>
                <w:p w14:paraId="1E2209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454" w:type="dxa"/>
                  <w:noWrap w:val="0"/>
                  <w:vAlign w:val="center"/>
                </w:tcPr>
                <w:p w14:paraId="62BA625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2F5F698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104716A9">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7CE8A2C5">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17D101B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0DA601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629" w:type="dxa"/>
                  <w:noWrap w:val="0"/>
                  <w:vAlign w:val="center"/>
                </w:tcPr>
                <w:p w14:paraId="0DE5F9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220" w:type="dxa"/>
                  <w:noWrap w:val="0"/>
                  <w:vAlign w:val="center"/>
                </w:tcPr>
                <w:p w14:paraId="251F3200">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《合成树脂工业污染物排放标准》（GB31572-2015）及2024修改单中的</w:t>
                  </w:r>
                  <w:r>
                    <w:rPr>
                      <w:rFonts w:hint="eastAsia" w:cs="Times New Roman"/>
                      <w:color w:val="000000" w:themeColor="text1"/>
                      <w:sz w:val="18"/>
                      <w:szCs w:val="18"/>
                      <w:lang w:val="en-US" w:eastAsia="zh-CN"/>
                      <w14:textFill>
                        <w14:solidFill>
                          <w14:schemeClr w14:val="tx1"/>
                        </w14:solidFill>
                      </w14:textFill>
                    </w:rPr>
                    <w:t>表9排放限值</w:t>
                  </w:r>
                </w:p>
              </w:tc>
            </w:tr>
            <w:tr w14:paraId="08687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8" w:type="dxa"/>
                  <w:tcBorders>
                    <w:right w:val="single" w:color="000000" w:sz="6" w:space="0"/>
                  </w:tcBorders>
                  <w:noWrap w:val="0"/>
                  <w:vAlign w:val="center"/>
                </w:tcPr>
                <w:p w14:paraId="311A2CB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食堂油烟</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G</w:t>
                  </w:r>
                  <w:r>
                    <w:rPr>
                      <w:rFonts w:hint="eastAsia" w:cs="Times New Roman"/>
                      <w:color w:val="000000" w:themeColor="text1"/>
                      <w:sz w:val="18"/>
                      <w:szCs w:val="18"/>
                      <w:vertAlign w:val="subscript"/>
                      <w:lang w:val="en-US" w:eastAsia="zh-CN"/>
                      <w14:textFill>
                        <w14:solidFill>
                          <w14:schemeClr w14:val="tx1"/>
                        </w14:solidFill>
                      </w14:textFill>
                    </w:rPr>
                    <w:t>5</w:t>
                  </w:r>
                </w:p>
              </w:tc>
              <w:tc>
                <w:tcPr>
                  <w:tcW w:w="498" w:type="dxa"/>
                  <w:tcBorders>
                    <w:left w:val="single" w:color="000000" w:sz="6" w:space="0"/>
                  </w:tcBorders>
                  <w:noWrap w:val="0"/>
                  <w:vAlign w:val="center"/>
                </w:tcPr>
                <w:p w14:paraId="7D7DD4B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油烟</w:t>
                  </w:r>
                </w:p>
              </w:tc>
              <w:tc>
                <w:tcPr>
                  <w:tcW w:w="816" w:type="dxa"/>
                  <w:noWrap w:val="0"/>
                  <w:vAlign w:val="center"/>
                </w:tcPr>
                <w:p w14:paraId="5DB60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0.1274</w:t>
                  </w:r>
                </w:p>
              </w:tc>
              <w:tc>
                <w:tcPr>
                  <w:tcW w:w="600" w:type="dxa"/>
                  <w:noWrap w:val="0"/>
                  <w:vAlign w:val="center"/>
                </w:tcPr>
                <w:p w14:paraId="2EA83CB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0.085</w:t>
                  </w:r>
                </w:p>
              </w:tc>
              <w:tc>
                <w:tcPr>
                  <w:tcW w:w="648" w:type="dxa"/>
                  <w:noWrap w:val="0"/>
                  <w:vAlign w:val="center"/>
                </w:tcPr>
                <w:p w14:paraId="07383A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7.075</w:t>
                  </w:r>
                </w:p>
              </w:tc>
              <w:tc>
                <w:tcPr>
                  <w:tcW w:w="461" w:type="dxa"/>
                  <w:noWrap w:val="0"/>
                  <w:vAlign w:val="center"/>
                </w:tcPr>
                <w:p w14:paraId="149CA78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19" w:type="dxa"/>
                  <w:noWrap w:val="0"/>
                  <w:vAlign w:val="center"/>
                </w:tcPr>
                <w:p w14:paraId="3AF69EA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油烟净化器</w:t>
                  </w:r>
                </w:p>
              </w:tc>
              <w:tc>
                <w:tcPr>
                  <w:tcW w:w="528" w:type="dxa"/>
                  <w:noWrap w:val="0"/>
                  <w:vAlign w:val="center"/>
                </w:tcPr>
                <w:p w14:paraId="46DD9B6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12000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m³/h</w:t>
                  </w:r>
                </w:p>
              </w:tc>
              <w:tc>
                <w:tcPr>
                  <w:tcW w:w="469" w:type="dxa"/>
                  <w:noWrap w:val="0"/>
                  <w:vAlign w:val="center"/>
                </w:tcPr>
                <w:p w14:paraId="52B46FE8">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57" w:type="dxa"/>
                  <w:noWrap w:val="0"/>
                  <w:vAlign w:val="center"/>
                </w:tcPr>
                <w:p w14:paraId="678C4DE0">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75</w:t>
                  </w: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447" w:type="dxa"/>
                  <w:noWrap w:val="0"/>
                  <w:vAlign w:val="center"/>
                </w:tcPr>
                <w:p w14:paraId="373D3E9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是</w:t>
                  </w:r>
                </w:p>
              </w:tc>
              <w:tc>
                <w:tcPr>
                  <w:tcW w:w="819" w:type="dxa"/>
                  <w:noWrap w:val="0"/>
                  <w:vAlign w:val="center"/>
                </w:tcPr>
                <w:p w14:paraId="58EF5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1.77</w:t>
                  </w:r>
                </w:p>
              </w:tc>
              <w:tc>
                <w:tcPr>
                  <w:tcW w:w="807" w:type="dxa"/>
                  <w:noWrap w:val="0"/>
                  <w:vAlign w:val="center"/>
                </w:tcPr>
                <w:p w14:paraId="4A0911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w:t>
                  </w:r>
                  <w:r>
                    <w:rPr>
                      <w:rFonts w:hint="eastAsia" w:cs="Times New Roman"/>
                      <w:i w:val="0"/>
                      <w:iCs w:val="0"/>
                      <w:color w:val="000000" w:themeColor="text1"/>
                      <w:kern w:val="0"/>
                      <w:sz w:val="18"/>
                      <w:szCs w:val="18"/>
                      <w:u w:val="none"/>
                      <w:lang w:val="en-US" w:eastAsia="zh-CN" w:bidi="ar"/>
                      <w14:textFill>
                        <w14:solidFill>
                          <w14:schemeClr w14:val="tx1"/>
                        </w14:solidFill>
                      </w14:textFill>
                    </w:rPr>
                    <w:t>318</w:t>
                  </w:r>
                </w:p>
              </w:tc>
              <w:tc>
                <w:tcPr>
                  <w:tcW w:w="698" w:type="dxa"/>
                  <w:noWrap w:val="0"/>
                  <w:vAlign w:val="center"/>
                </w:tcPr>
                <w:p w14:paraId="166507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1.77</w:t>
                  </w:r>
                </w:p>
              </w:tc>
              <w:tc>
                <w:tcPr>
                  <w:tcW w:w="454" w:type="dxa"/>
                  <w:noWrap w:val="0"/>
                  <w:vAlign w:val="center"/>
                </w:tcPr>
                <w:p w14:paraId="20D64CED">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64" w:type="dxa"/>
                  <w:noWrap w:val="0"/>
                  <w:vAlign w:val="center"/>
                </w:tcPr>
                <w:p w14:paraId="0E9C893C">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03" w:type="dxa"/>
                  <w:noWrap w:val="0"/>
                  <w:vAlign w:val="center"/>
                </w:tcPr>
                <w:p w14:paraId="0F3A04E3">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413" w:type="dxa"/>
                  <w:noWrap w:val="0"/>
                  <w:vAlign w:val="center"/>
                </w:tcPr>
                <w:p w14:paraId="0939AC3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587" w:type="dxa"/>
                  <w:noWrap w:val="0"/>
                  <w:vAlign w:val="center"/>
                </w:tcPr>
                <w:p w14:paraId="3F7AD0F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6" w:type="dxa"/>
                  <w:noWrap w:val="0"/>
                  <w:vAlign w:val="center"/>
                </w:tcPr>
                <w:p w14:paraId="188D199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29" w:type="dxa"/>
                  <w:noWrap w:val="0"/>
                  <w:vAlign w:val="center"/>
                </w:tcPr>
                <w:p w14:paraId="57C073B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1220" w:type="dxa"/>
                  <w:noWrap w:val="0"/>
                  <w:vAlign w:val="center"/>
                </w:tcPr>
                <w:p w14:paraId="5FC2EFF5">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《饮食业油烟排放标准（试行）》（GB18483-2001）</w:t>
                  </w:r>
                  <w:r>
                    <w:rPr>
                      <w:rFonts w:hint="eastAsia" w:cs="Times New Roman"/>
                      <w:color w:val="000000" w:themeColor="text1"/>
                      <w:sz w:val="18"/>
                      <w:szCs w:val="18"/>
                      <w:lang w:val="en-US" w:eastAsia="zh-CN"/>
                      <w14:textFill>
                        <w14:solidFill>
                          <w14:schemeClr w14:val="tx1"/>
                        </w14:solidFill>
                      </w14:textFill>
                    </w:rPr>
                    <w:t>中型</w:t>
                  </w:r>
                </w:p>
              </w:tc>
            </w:tr>
          </w:tbl>
          <w:p w14:paraId="1980D5A3">
            <w:pPr>
              <w:pStyle w:val="74"/>
              <w:keepNext w:val="0"/>
              <w:keepLines w:val="0"/>
              <w:suppressLineNumbers w:val="0"/>
              <w:spacing w:before="0" w:beforeAutospacing="0" w:after="0" w:afterAutospacing="0"/>
              <w:ind w:left="0" w:right="0" w:firstLine="0" w:firstLineChars="0"/>
              <w:jc w:val="both"/>
              <w:rPr>
                <w:rFonts w:hint="default" w:ascii="Times New Roman" w:hAnsi="Times New Roman" w:cs="Times New Roman"/>
                <w:b/>
                <w:bCs/>
                <w:color w:val="000000" w:themeColor="text1"/>
                <w14:textFill>
                  <w14:solidFill>
                    <w14:schemeClr w14:val="tx1"/>
                  </w14:solidFill>
                </w14:textFill>
              </w:rPr>
            </w:pPr>
          </w:p>
          <w:p w14:paraId="551E5661">
            <w:pPr>
              <w:pStyle w:val="74"/>
              <w:keepNext w:val="0"/>
              <w:keepLines w:val="0"/>
              <w:suppressLineNumbers w:val="0"/>
              <w:spacing w:before="0" w:beforeAutospacing="0" w:after="0" w:afterAutospacing="0"/>
              <w:ind w:left="0" w:right="0" w:firstLine="0" w:firstLineChars="0"/>
              <w:jc w:val="both"/>
              <w:rPr>
                <w:rFonts w:hint="default" w:ascii="Times New Roman" w:hAnsi="Times New Roman" w:cs="Times New Roman"/>
                <w:b/>
                <w:bCs/>
                <w:color w:val="000000" w:themeColor="text1"/>
                <w14:textFill>
                  <w14:solidFill>
                    <w14:schemeClr w14:val="tx1"/>
                  </w14:solidFill>
                </w14:textFill>
              </w:rPr>
            </w:pPr>
          </w:p>
          <w:p w14:paraId="42D45BB7">
            <w:pPr>
              <w:pStyle w:val="74"/>
              <w:keepNext w:val="0"/>
              <w:keepLines w:val="0"/>
              <w:suppressLineNumbers w:val="0"/>
              <w:spacing w:before="0" w:beforeAutospacing="0" w:after="0" w:afterAutospacing="0"/>
              <w:ind w:left="0" w:right="0" w:firstLine="0" w:firstLineChars="0"/>
              <w:jc w:val="both"/>
              <w:rPr>
                <w:rFonts w:hint="default" w:ascii="Times New Roman" w:hAnsi="Times New Roman" w:cs="Times New Roman"/>
                <w:b/>
                <w:bCs/>
                <w:color w:val="000000" w:themeColor="text1"/>
                <w14:textFill>
                  <w14:solidFill>
                    <w14:schemeClr w14:val="tx1"/>
                  </w14:solidFill>
                </w14:textFill>
              </w:rPr>
            </w:pPr>
          </w:p>
          <w:p w14:paraId="3D8D68B9">
            <w:pPr>
              <w:pStyle w:val="74"/>
              <w:keepNext w:val="0"/>
              <w:keepLines w:val="0"/>
              <w:suppressLineNumbers w:val="0"/>
              <w:spacing w:before="0" w:beforeAutospacing="0" w:after="0" w:afterAutospacing="0"/>
              <w:ind w:left="0" w:right="0" w:firstLine="0" w:firstLineChars="0"/>
              <w:jc w:val="both"/>
              <w:rPr>
                <w:rFonts w:hint="default" w:ascii="Times New Roman" w:hAnsi="Times New Roman" w:cs="Times New Roman"/>
                <w:b/>
                <w:bCs/>
                <w:color w:val="000000" w:themeColor="text1"/>
                <w14:textFill>
                  <w14:solidFill>
                    <w14:schemeClr w14:val="tx1"/>
                  </w14:solidFill>
                </w14:textFill>
              </w:rPr>
            </w:pPr>
          </w:p>
          <w:p w14:paraId="17FB3671">
            <w:pPr>
              <w:pStyle w:val="74"/>
              <w:keepNext w:val="0"/>
              <w:keepLines w:val="0"/>
              <w:suppressLineNumbers w:val="0"/>
              <w:spacing w:before="0" w:beforeAutospacing="0" w:after="0" w:afterAutospacing="0"/>
              <w:ind w:left="0" w:right="0" w:firstLine="0" w:firstLineChars="0"/>
              <w:jc w:val="both"/>
              <w:rPr>
                <w:rFonts w:hint="default" w:ascii="Times New Roman" w:hAnsi="Times New Roman" w:cs="Times New Roman"/>
                <w:b/>
                <w:bCs/>
                <w:color w:val="000000" w:themeColor="text1"/>
                <w14:textFill>
                  <w14:solidFill>
                    <w14:schemeClr w14:val="tx1"/>
                  </w14:solidFill>
                </w14:textFill>
              </w:rPr>
            </w:pPr>
          </w:p>
        </w:tc>
      </w:tr>
    </w:tbl>
    <w:p w14:paraId="7EBE9828">
      <w:pPr>
        <w:adjustRightInd w:val="0"/>
        <w:snapToGrid w:val="0"/>
        <w:jc w:val="both"/>
        <w:rPr>
          <w:rFonts w:hint="default" w:ascii="Times New Roman" w:hAnsi="Times New Roman" w:cs="Times New Roman"/>
          <w:bCs/>
          <w:color w:val="auto"/>
          <w:kern w:val="21"/>
          <w:sz w:val="28"/>
          <w:szCs w:val="28"/>
        </w:rPr>
        <w:sectPr>
          <w:pgSz w:w="16838" w:h="11906" w:orient="landscape"/>
          <w:pgMar w:top="1701" w:right="1418" w:bottom="1418" w:left="1418" w:header="992" w:footer="992" w:gutter="0"/>
          <w:pgBorders>
            <w:top w:val="none" w:sz="0" w:space="0"/>
            <w:left w:val="none" w:sz="0" w:space="0"/>
            <w:bottom w:val="none" w:sz="0" w:space="0"/>
            <w:right w:val="none" w:sz="0" w:space="0"/>
          </w:pgBorders>
          <w:cols w:space="720" w:num="1"/>
          <w:docGrid w:linePitch="312" w:charSpace="0"/>
        </w:sectPr>
      </w:pP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480"/>
      </w:tblGrid>
      <w:tr w14:paraId="6307A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8" w:type="pct"/>
            <w:tcMar>
              <w:left w:w="28" w:type="dxa"/>
              <w:right w:w="28" w:type="dxa"/>
            </w:tcMar>
            <w:vAlign w:val="center"/>
          </w:tcPr>
          <w:p w14:paraId="51360D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运营</w:t>
            </w:r>
          </w:p>
          <w:p w14:paraId="79C417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期环</w:t>
            </w:r>
          </w:p>
          <w:p w14:paraId="0F110E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境影</w:t>
            </w:r>
          </w:p>
          <w:p w14:paraId="5895D2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响和</w:t>
            </w:r>
          </w:p>
          <w:p w14:paraId="029042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8"/>
                <w:szCs w:val="28"/>
              </w:rPr>
            </w:pPr>
            <w:r>
              <w:rPr>
                <w:rFonts w:hint="default" w:ascii="Times New Roman" w:hAnsi="Times New Roman" w:cs="Times New Roman"/>
                <w:bCs/>
                <w:color w:val="auto"/>
                <w:kern w:val="21"/>
                <w:sz w:val="28"/>
                <w:szCs w:val="28"/>
              </w:rPr>
              <w:t>保护</w:t>
            </w:r>
          </w:p>
          <w:p w14:paraId="25F86B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1"/>
                <w:sz w:val="24"/>
              </w:rPr>
            </w:pPr>
            <w:r>
              <w:rPr>
                <w:rFonts w:hint="default" w:ascii="Times New Roman" w:hAnsi="Times New Roman" w:cs="Times New Roman"/>
                <w:bCs/>
                <w:color w:val="auto"/>
                <w:kern w:val="21"/>
                <w:sz w:val="28"/>
                <w:szCs w:val="28"/>
              </w:rPr>
              <w:t>措施</w:t>
            </w:r>
          </w:p>
        </w:tc>
        <w:tc>
          <w:tcPr>
            <w:tcW w:w="4752" w:type="pct"/>
            <w:vAlign w:val="center"/>
          </w:tcPr>
          <w:p w14:paraId="6688B96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kern w:val="0"/>
                <w:sz w:val="24"/>
                <w:szCs w:val="24"/>
                <w:lang w:val="en-US" w:eastAsia="zh-CN" w:bidi="ar-SA"/>
              </w:rPr>
              <w:t>2</w:t>
            </w:r>
            <w:r>
              <w:rPr>
                <w:rFonts w:hint="default" w:ascii="Times New Roman" w:hAnsi="Times New Roman" w:eastAsia="宋体" w:cs="Times New Roman"/>
                <w:b/>
                <w:bCs/>
                <w:color w:val="auto"/>
                <w:kern w:val="0"/>
                <w:sz w:val="24"/>
                <w:szCs w:val="24"/>
                <w:lang w:val="en-US" w:eastAsia="zh-CN" w:bidi="ar-SA"/>
              </w:rPr>
              <w:t>、</w:t>
            </w:r>
            <w:r>
              <w:rPr>
                <w:rFonts w:hint="default" w:ascii="Times New Roman" w:hAnsi="Times New Roman" w:cs="Times New Roman"/>
                <w:b/>
                <w:bCs/>
                <w:color w:val="auto"/>
                <w:sz w:val="24"/>
                <w:szCs w:val="24"/>
                <w:highlight w:val="none"/>
                <w:lang w:val="en-US" w:eastAsia="zh-CN"/>
              </w:rPr>
              <w:t>废气源强</w:t>
            </w:r>
            <w:r>
              <w:rPr>
                <w:rFonts w:hint="default" w:ascii="Times New Roman" w:hAnsi="Times New Roman" w:cs="Times New Roman"/>
                <w:b/>
                <w:bCs/>
                <w:color w:val="auto"/>
                <w:sz w:val="24"/>
                <w:szCs w:val="24"/>
                <w:lang w:val="en-US" w:eastAsia="zh-CN"/>
              </w:rPr>
              <w:t>核算</w:t>
            </w:r>
          </w:p>
          <w:p w14:paraId="298C688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本项目产生的废气主要为注塑废气（G1）、焊接</w:t>
            </w:r>
            <w:r>
              <w:rPr>
                <w:rFonts w:hint="eastAsia" w:cs="Times New Roman"/>
                <w:b w:val="0"/>
                <w:bCs w:val="0"/>
                <w:color w:val="auto"/>
                <w:sz w:val="24"/>
                <w:szCs w:val="24"/>
                <w:highlight w:val="none"/>
                <w:lang w:val="en-US" w:eastAsia="zh-CN"/>
              </w:rPr>
              <w:t>废气</w:t>
            </w:r>
            <w:r>
              <w:rPr>
                <w:rFonts w:hint="default" w:ascii="Times New Roman" w:hAnsi="Times New Roman" w:cs="Times New Roman"/>
                <w:b w:val="0"/>
                <w:bCs w:val="0"/>
                <w:color w:val="auto"/>
                <w:sz w:val="24"/>
                <w:szCs w:val="24"/>
                <w:highlight w:val="none"/>
                <w:lang w:val="en-US" w:eastAsia="zh-CN"/>
              </w:rPr>
              <w:t>（G2）</w:t>
            </w:r>
            <w:r>
              <w:rPr>
                <w:rFonts w:hint="eastAsia" w:cs="Times New Roman"/>
                <w:b w:val="0"/>
                <w:bCs w:val="0"/>
                <w:color w:val="auto"/>
                <w:sz w:val="24"/>
                <w:szCs w:val="24"/>
                <w:highlight w:val="none"/>
                <w:lang w:val="en-US" w:eastAsia="zh-CN"/>
              </w:rPr>
              <w:t>、点胶固化废气（</w:t>
            </w:r>
            <w:r>
              <w:rPr>
                <w:rFonts w:hint="default" w:ascii="Times New Roman" w:hAnsi="Times New Roman" w:cs="Times New Roman"/>
                <w:b w:val="0"/>
                <w:bCs w:val="0"/>
                <w:color w:val="auto"/>
                <w:sz w:val="24"/>
                <w:szCs w:val="24"/>
                <w:highlight w:val="none"/>
                <w:lang w:val="en-US" w:eastAsia="zh-CN"/>
              </w:rPr>
              <w:t>G</w:t>
            </w:r>
            <w:r>
              <w:rPr>
                <w:rFonts w:hint="eastAsia" w:cs="Times New Roman"/>
                <w:b w:val="0"/>
                <w:bCs w:val="0"/>
                <w:color w:val="auto"/>
                <w:sz w:val="24"/>
                <w:szCs w:val="24"/>
                <w:highlight w:val="none"/>
                <w:lang w:val="en-US" w:eastAsia="zh-CN"/>
              </w:rPr>
              <w:t>3）及粉碎废气</w:t>
            </w:r>
            <w:r>
              <w:rPr>
                <w:rFonts w:hint="default" w:ascii="Times New Roman" w:hAnsi="Times New Roman" w:cs="Times New Roman"/>
                <w:b w:val="0"/>
                <w:bCs w:val="0"/>
                <w:color w:val="auto"/>
                <w:sz w:val="24"/>
                <w:szCs w:val="24"/>
                <w:highlight w:val="none"/>
                <w:lang w:val="en-US" w:eastAsia="zh-CN"/>
              </w:rPr>
              <w:t>（G</w:t>
            </w:r>
            <w:r>
              <w:rPr>
                <w:rFonts w:hint="eastAsia"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w:t>
            </w:r>
          </w:p>
          <w:p w14:paraId="34B9D6B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（1）注塑废气（</w:t>
            </w:r>
            <w:r>
              <w:rPr>
                <w:rFonts w:hint="default" w:ascii="Times New Roman" w:hAnsi="Times New Roman" w:cs="Times New Roman"/>
                <w:b w:val="0"/>
                <w:bCs w:val="0"/>
                <w:color w:val="auto"/>
                <w:sz w:val="24"/>
                <w:szCs w:val="24"/>
                <w:highlight w:val="none"/>
                <w:lang w:val="en-US" w:eastAsia="zh-CN"/>
              </w:rPr>
              <w:t>G1</w:t>
            </w:r>
            <w:r>
              <w:rPr>
                <w:rFonts w:hint="eastAsia" w:cs="Times New Roman"/>
                <w:b w:val="0"/>
                <w:bCs w:val="0"/>
                <w:color w:val="auto"/>
                <w:sz w:val="24"/>
                <w:szCs w:val="24"/>
                <w:highlight w:val="none"/>
                <w:lang w:val="en-US" w:eastAsia="zh-CN"/>
              </w:rPr>
              <w:t>）</w:t>
            </w:r>
          </w:p>
          <w:p w14:paraId="13ED7D7C">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本项目注塑过程中使用的原料是PC、</w:t>
            </w:r>
            <w:r>
              <w:rPr>
                <w:rFonts w:hint="eastAsia" w:eastAsia="宋体" w:cs="Times New Roman"/>
                <w:color w:val="auto"/>
                <w:kern w:val="0"/>
                <w:sz w:val="24"/>
                <w:szCs w:val="24"/>
                <w:lang w:val="en-US" w:eastAsia="zh-CN" w:bidi="ar-SA"/>
              </w:rPr>
              <w:t>ABS</w:t>
            </w:r>
            <w:r>
              <w:rPr>
                <w:rFonts w:hint="eastAsia" w:cs="Times New Roman"/>
                <w:color w:val="auto"/>
                <w:kern w:val="0"/>
                <w:sz w:val="24"/>
                <w:szCs w:val="24"/>
                <w:lang w:val="en-US" w:eastAsia="zh-CN" w:bidi="ar-SA"/>
              </w:rPr>
              <w:t>和PA</w:t>
            </w:r>
            <w:r>
              <w:rPr>
                <w:rFonts w:hint="eastAsia" w:ascii="Times New Roman" w:hAnsi="Times New Roman" w:eastAsia="宋体" w:cs="Times New Roman"/>
                <w:color w:val="auto"/>
                <w:kern w:val="0"/>
                <w:sz w:val="24"/>
                <w:szCs w:val="24"/>
                <w:lang w:val="en-US" w:eastAsia="zh-CN" w:bidi="ar-SA"/>
              </w:rPr>
              <w:t>，熔融和挤出过程温度控制在200~</w:t>
            </w:r>
            <w:r>
              <w:rPr>
                <w:rFonts w:hint="eastAsia" w:cs="Times New Roman"/>
                <w:color w:val="auto"/>
                <w:kern w:val="0"/>
                <w:sz w:val="24"/>
                <w:szCs w:val="24"/>
                <w:lang w:val="en-US" w:eastAsia="zh-CN" w:bidi="ar-SA"/>
              </w:rPr>
              <w:t>300</w:t>
            </w:r>
            <w:r>
              <w:rPr>
                <w:rFonts w:hint="eastAsia" w:ascii="Times New Roman" w:hAnsi="Times New Roman" w:eastAsia="宋体" w:cs="Times New Roman"/>
                <w:color w:val="auto"/>
                <w:kern w:val="0"/>
                <w:sz w:val="24"/>
                <w:szCs w:val="24"/>
                <w:lang w:val="en-US" w:eastAsia="zh-CN" w:bidi="ar-SA"/>
              </w:rPr>
              <w:t>℃左右，根据物料的理化性质分析，在此温度下熔融原料基本不发生分解，不产生碳链焦化气体，但原料中有少量未聚合的单体在高温下会有部分挥发出来，产生废气，废气组分较复杂，由于各类废气的发生比例与操作温度、原料性能等诸多因素有关，较难进行定量计算，则有机废气以非甲烷总烃计。</w:t>
            </w:r>
          </w:p>
          <w:p w14:paraId="259D434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eastAsia"/>
                <w:sz w:val="24"/>
              </w:rPr>
            </w:pPr>
            <w:r>
              <w:rPr>
                <w:rFonts w:hint="eastAsia"/>
                <w:color w:val="auto"/>
                <w:sz w:val="24"/>
                <w:szCs w:val="24"/>
                <w:highlight w:val="none"/>
                <w:lang w:val="en-US" w:eastAsia="zh-CN"/>
              </w:rPr>
              <w:t>根据建设单位提供资料，项目年运行300天，</w:t>
            </w:r>
            <w:r>
              <w:rPr>
                <w:rFonts w:hint="eastAsia"/>
                <w:sz w:val="24"/>
                <w:szCs w:val="24"/>
              </w:rPr>
              <w:t>实行白夜两班倒</w:t>
            </w:r>
            <w:r>
              <w:rPr>
                <w:rFonts w:hint="eastAsia"/>
                <w:sz w:val="24"/>
                <w:szCs w:val="24"/>
                <w:lang w:eastAsia="zh-CN"/>
              </w:rPr>
              <w:t>，</w:t>
            </w:r>
            <w:r>
              <w:rPr>
                <w:rFonts w:hint="eastAsia"/>
                <w:sz w:val="24"/>
                <w:szCs w:val="24"/>
              </w:rPr>
              <w:t>每班10</w:t>
            </w:r>
            <w:r>
              <w:rPr>
                <w:rFonts w:hint="eastAsia"/>
                <w:sz w:val="24"/>
                <w:szCs w:val="24"/>
                <w:lang w:val="en-US" w:eastAsia="zh-CN"/>
              </w:rPr>
              <w:t>h，</w:t>
            </w:r>
            <w:r>
              <w:rPr>
                <w:rFonts w:hint="eastAsia"/>
                <w:color w:val="auto"/>
                <w:sz w:val="24"/>
                <w:szCs w:val="24"/>
                <w:highlight w:val="none"/>
                <w:lang w:val="en-US" w:eastAsia="zh-CN"/>
              </w:rPr>
              <w:t>此工序每天运行20h，项目年加工注塑产品重量约为139t/a。根据生态环境部2021年6月发布的《排放源统计调査产排污核算方法和系数手册》中214塑料家具制造行业系数手册--2929塑料零件及其他塑料制品制造行业系数表的塑料零件以“树脂、助剂”为原料进行“配料-混合-挤出注塑”所产生挥发性有机物的产污系数为2.70kg/t。经计算得出注塑工序产生的非甲烷总烃为0.376t/a（0.063kg/h）。</w:t>
            </w:r>
          </w:p>
          <w:p w14:paraId="528238F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eastAsia"/>
                <w:sz w:val="24"/>
                <w:lang w:val="en-US" w:eastAsia="zh-CN"/>
              </w:rPr>
            </w:pPr>
            <w:r>
              <w:rPr>
                <w:rFonts w:hint="eastAsia" w:ascii="Times New Roman" w:hAnsi="Times New Roman" w:eastAsia="宋体" w:cs="Times New Roman"/>
                <w:sz w:val="24"/>
                <w:szCs w:val="24"/>
                <w:highlight w:val="none"/>
                <w:lang w:val="en-US" w:eastAsia="zh-CN"/>
              </w:rPr>
              <w:t>项目在每台注塑机上方设置集气罩，在风管后端配备负压离心风机进行抽风，经</w:t>
            </w:r>
            <w:r>
              <w:rPr>
                <w:rFonts w:hint="default" w:ascii="Times New Roman" w:hAnsi="Times New Roman" w:eastAsia="宋体" w:cs="Times New Roman"/>
                <w:sz w:val="24"/>
                <w:szCs w:val="24"/>
              </w:rPr>
              <w:t>集气罩收集的废气通过一</w:t>
            </w:r>
            <w:r>
              <w:rPr>
                <w:rFonts w:hint="default" w:ascii="Times New Roman" w:hAnsi="Times New Roman" w:eastAsia="宋体" w:cs="Times New Roman"/>
                <w:color w:val="FF0000"/>
                <w:sz w:val="24"/>
                <w:szCs w:val="24"/>
              </w:rPr>
              <w:t>套“活性炭</w:t>
            </w:r>
            <w:r>
              <w:rPr>
                <w:rFonts w:hint="eastAsia" w:cs="Times New Roman"/>
                <w:color w:val="FF0000"/>
                <w:sz w:val="24"/>
                <w:szCs w:val="24"/>
                <w:lang w:val="en-US" w:eastAsia="zh-CN"/>
              </w:rPr>
              <w:t>+催化燃烧装置</w:t>
            </w:r>
            <w:r>
              <w:rPr>
                <w:rFonts w:hint="default" w:ascii="Times New Roman" w:hAnsi="Times New Roman" w:eastAsia="宋体" w:cs="Times New Roman"/>
                <w:color w:val="FF0000"/>
                <w:sz w:val="24"/>
                <w:szCs w:val="24"/>
              </w:rPr>
              <w:t>”处</w:t>
            </w:r>
            <w:r>
              <w:rPr>
                <w:rFonts w:hint="default" w:ascii="Times New Roman" w:hAnsi="Times New Roman" w:eastAsia="宋体" w:cs="Times New Roman"/>
                <w:sz w:val="24"/>
                <w:szCs w:val="24"/>
              </w:rPr>
              <w:t>理后</w:t>
            </w:r>
            <w:r>
              <w:rPr>
                <w:rFonts w:hint="eastAsia" w:ascii="Times New Roman" w:hAnsi="Times New Roman" w:eastAsia="宋体" w:cs="Times New Roman"/>
                <w:sz w:val="24"/>
                <w:szCs w:val="24"/>
                <w:highlight w:val="none"/>
                <w:lang w:val="en-US" w:eastAsia="zh-CN"/>
              </w:rPr>
              <w:t>通过</w:t>
            </w:r>
            <w:r>
              <w:rPr>
                <w:rFonts w:hint="eastAsia" w:eastAsia="宋体" w:cs="Times New Roman"/>
                <w:sz w:val="24"/>
                <w:szCs w:val="24"/>
                <w:highlight w:val="none"/>
                <w:lang w:val="en-US" w:eastAsia="zh-CN"/>
              </w:rPr>
              <w:t>30</w:t>
            </w:r>
            <w:r>
              <w:rPr>
                <w:rFonts w:hint="eastAsia" w:ascii="Times New Roman" w:hAnsi="Times New Roman" w:eastAsia="宋体" w:cs="Times New Roman"/>
                <w:sz w:val="24"/>
                <w:szCs w:val="24"/>
                <w:highlight w:val="none"/>
                <w:lang w:val="en-US" w:eastAsia="zh-CN"/>
              </w:rPr>
              <w:t>m高（厂房高2</w:t>
            </w:r>
            <w:r>
              <w:rPr>
                <w:rFonts w:hint="eastAsia" w:eastAsia="宋体" w:cs="Times New Roman"/>
                <w:sz w:val="24"/>
                <w:szCs w:val="24"/>
                <w:highlight w:val="none"/>
                <w:lang w:val="en-US" w:eastAsia="zh-CN"/>
              </w:rPr>
              <w:t>5.6</w:t>
            </w:r>
            <w:r>
              <w:rPr>
                <w:rFonts w:hint="eastAsia" w:ascii="Times New Roman" w:hAnsi="Times New Roman" w:eastAsia="宋体" w:cs="Times New Roman"/>
                <w:sz w:val="24"/>
                <w:szCs w:val="24"/>
                <w:highlight w:val="none"/>
                <w:lang w:val="en-US" w:eastAsia="zh-CN"/>
              </w:rPr>
              <w:t>m，排气筒高出楼顶</w:t>
            </w:r>
            <w:r>
              <w:rPr>
                <w:rFonts w:hint="eastAsia"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m）排气筒DA001进行有组织排放。集气罩设计风量为</w:t>
            </w:r>
            <w:r>
              <w:rPr>
                <w:rFonts w:hint="eastAsia"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000m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/h，集气罩收集效率</w:t>
            </w:r>
            <w:r>
              <w:rPr>
                <w:rFonts w:hint="eastAsia" w:eastAsia="宋体" w:cs="Times New Roman"/>
                <w:sz w:val="24"/>
                <w:szCs w:val="24"/>
                <w:highlight w:val="none"/>
                <w:lang w:val="en-US" w:eastAsia="zh-CN"/>
              </w:rPr>
              <w:t>取90</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color w:val="FF0000"/>
                <w:sz w:val="24"/>
                <w:szCs w:val="24"/>
                <w:highlight w:val="none"/>
                <w:lang w:val="en-US" w:eastAsia="zh-CN"/>
              </w:rPr>
              <w:t>活性炭吸附</w:t>
            </w:r>
            <w:r>
              <w:rPr>
                <w:rFonts w:hint="eastAsia" w:cs="Times New Roman"/>
                <w:color w:val="FF0000"/>
                <w:sz w:val="24"/>
                <w:szCs w:val="24"/>
                <w:highlight w:val="none"/>
                <w:lang w:val="en-US" w:eastAsia="zh-CN"/>
              </w:rPr>
              <w:t>+催化燃烧综合</w:t>
            </w:r>
            <w:r>
              <w:rPr>
                <w:rFonts w:hint="eastAsia" w:ascii="Times New Roman" w:hAnsi="Times New Roman" w:eastAsia="宋体" w:cs="Times New Roman"/>
                <w:color w:val="FF0000"/>
                <w:sz w:val="24"/>
                <w:szCs w:val="24"/>
                <w:highlight w:val="none"/>
                <w:lang w:val="en-US" w:eastAsia="zh-CN"/>
              </w:rPr>
              <w:t>去除效率以</w:t>
            </w:r>
            <w:r>
              <w:rPr>
                <w:rFonts w:hint="eastAsia" w:cs="Times New Roman"/>
                <w:color w:val="FF0000"/>
                <w:sz w:val="24"/>
                <w:szCs w:val="24"/>
                <w:highlight w:val="none"/>
                <w:lang w:val="en-US" w:eastAsia="zh-CN"/>
              </w:rPr>
              <w:t>80</w:t>
            </w:r>
            <w:r>
              <w:rPr>
                <w:rFonts w:hint="eastAsia" w:ascii="Times New Roman" w:hAnsi="Times New Roman" w:eastAsia="宋体" w:cs="Times New Roman"/>
                <w:color w:val="FF0000"/>
                <w:sz w:val="24"/>
                <w:szCs w:val="24"/>
                <w:highlight w:val="none"/>
                <w:lang w:val="en-US" w:eastAsia="zh-CN"/>
              </w:rPr>
              <w:t>%计</w:t>
            </w:r>
            <w:r>
              <w:rPr>
                <w:rFonts w:hint="eastAsia" w:ascii="Times New Roman" w:hAnsi="Times New Roman" w:eastAsia="宋体" w:cs="Times New Roman"/>
                <w:sz w:val="24"/>
                <w:szCs w:val="24"/>
                <w:highlight w:val="none"/>
                <w:lang w:val="en-US" w:eastAsia="zh-CN"/>
              </w:rPr>
              <w:t>，则非甲烷总烃有组织排放量为</w:t>
            </w:r>
            <w:r>
              <w:rPr>
                <w:rFonts w:hint="eastAsia" w:ascii="Times New Roman" w:hAnsi="Times New Roman" w:eastAsia="宋体" w:cs="Times New Roman"/>
                <w:color w:val="FF0000"/>
                <w:sz w:val="24"/>
                <w:szCs w:val="24"/>
                <w:highlight w:val="none"/>
                <w:lang w:val="en-US" w:eastAsia="zh-CN"/>
              </w:rPr>
              <w:t>0.</w:t>
            </w:r>
            <w:r>
              <w:rPr>
                <w:rFonts w:hint="eastAsia" w:cs="Times New Roman"/>
                <w:color w:val="FF0000"/>
                <w:sz w:val="24"/>
                <w:szCs w:val="24"/>
                <w:highlight w:val="none"/>
                <w:lang w:val="en-US" w:eastAsia="zh-CN"/>
              </w:rPr>
              <w:t>068</w:t>
            </w:r>
            <w:r>
              <w:rPr>
                <w:rFonts w:hint="eastAsia"/>
                <w:color w:val="FF0000"/>
                <w:sz w:val="24"/>
              </w:rPr>
              <w:t>t/a</w:t>
            </w:r>
            <w:r>
              <w:rPr>
                <w:rFonts w:hint="eastAsia"/>
                <w:color w:val="FF0000"/>
                <w:sz w:val="24"/>
                <w:lang w:eastAsia="zh-CN"/>
              </w:rPr>
              <w:t>（</w:t>
            </w:r>
            <w:r>
              <w:rPr>
                <w:rFonts w:hint="eastAsia"/>
                <w:color w:val="FF0000"/>
                <w:sz w:val="24"/>
                <w:lang w:val="en-US" w:eastAsia="zh-CN"/>
              </w:rPr>
              <w:t>0.011kg/h</w:t>
            </w:r>
            <w:r>
              <w:rPr>
                <w:rFonts w:hint="eastAsia"/>
                <w:sz w:val="24"/>
                <w:lang w:eastAsia="zh-CN"/>
              </w:rPr>
              <w:t>）</w:t>
            </w:r>
            <w:r>
              <w:rPr>
                <w:rFonts w:hint="eastAsia"/>
                <w:color w:val="FF0000"/>
                <w:sz w:val="24"/>
                <w:lang w:eastAsia="zh-CN"/>
              </w:rPr>
              <w:t>、</w:t>
            </w:r>
            <w:r>
              <w:rPr>
                <w:rFonts w:hint="eastAsia"/>
                <w:color w:val="FF0000"/>
                <w:sz w:val="24"/>
                <w:lang w:val="en-US" w:eastAsia="zh-CN"/>
              </w:rPr>
              <w:t>排放浓度为0.57mg/m</w:t>
            </w:r>
            <w:r>
              <w:rPr>
                <w:rFonts w:hint="eastAsia"/>
                <w:color w:val="FF0000"/>
                <w:sz w:val="24"/>
                <w:vertAlign w:val="superscript"/>
                <w:lang w:val="en-US" w:eastAsia="zh-CN"/>
              </w:rPr>
              <w:t>3</w:t>
            </w:r>
            <w:r>
              <w:rPr>
                <w:rFonts w:hint="eastAsia"/>
                <w:sz w:val="24"/>
                <w:lang w:eastAsia="zh-CN"/>
              </w:rPr>
              <w:t>；</w:t>
            </w:r>
            <w:r>
              <w:rPr>
                <w:rFonts w:hint="eastAsia"/>
                <w:sz w:val="24"/>
                <w:lang w:val="en-US" w:eastAsia="zh-CN"/>
              </w:rPr>
              <w:t>无组织排放量为0.0376t/a（0.006kg/h）。</w:t>
            </w:r>
          </w:p>
          <w:p w14:paraId="4E0D92A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（2）焊接废气</w:t>
            </w:r>
            <w:r>
              <w:rPr>
                <w:rFonts w:hint="default" w:ascii="Times New Roman" w:hAnsi="Times New Roman" w:cs="Times New Roman"/>
                <w:b w:val="0"/>
                <w:bCs w:val="0"/>
                <w:color w:val="auto"/>
                <w:sz w:val="24"/>
                <w:szCs w:val="24"/>
                <w:highlight w:val="none"/>
                <w:lang w:val="en-US" w:eastAsia="zh-CN"/>
              </w:rPr>
              <w:t>G</w:t>
            </w:r>
            <w:r>
              <w:rPr>
                <w:rFonts w:hint="default" w:ascii="Times New Roman" w:hAnsi="Times New Roman" w:cs="Times New Roman"/>
                <w:b w:val="0"/>
                <w:bCs w:val="0"/>
                <w:color w:val="auto"/>
                <w:sz w:val="24"/>
                <w:szCs w:val="24"/>
                <w:highlight w:val="none"/>
                <w:vertAlign w:val="subscript"/>
                <w:lang w:val="en-US" w:eastAsia="zh-CN"/>
              </w:rPr>
              <w:t>2</w:t>
            </w:r>
          </w:p>
          <w:p w14:paraId="54B8A47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eastAsia="宋体" w:cs="Times New Roman"/>
                <w:sz w:val="24"/>
                <w:szCs w:val="24"/>
                <w:highlight w:val="none"/>
                <w:lang w:val="en-US" w:eastAsia="zh-CN"/>
              </w:rPr>
            </w:pPr>
            <w:r>
              <w:rPr>
                <w:rFonts w:hint="eastAsia" w:eastAsia="宋体" w:cs="Times New Roman"/>
                <w:sz w:val="24"/>
                <w:szCs w:val="24"/>
                <w:highlight w:val="none"/>
                <w:lang w:val="en-US" w:eastAsia="zh-CN"/>
              </w:rPr>
              <w:t>项目使用无铅锡丝进行浸锡时会产生焊接烟尘废气，其主要污染物为颗粒物。</w:t>
            </w:r>
            <w:r>
              <w:rPr>
                <w:rFonts w:hint="eastAsia"/>
                <w:color w:val="auto"/>
                <w:sz w:val="24"/>
                <w:szCs w:val="24"/>
                <w:highlight w:val="none"/>
                <w:lang w:val="en-US" w:eastAsia="zh-CN"/>
              </w:rPr>
              <w:t>根据生态环境部2021年6月发布的《排放源统计调査产排污核算方法和系数手册》</w:t>
            </w:r>
            <w:r>
              <w:rPr>
                <w:rFonts w:hint="eastAsia" w:eastAsia="宋体" w:cs="Times New Roman"/>
                <w:sz w:val="24"/>
                <w:szCs w:val="24"/>
                <w:highlight w:val="none"/>
                <w:lang w:val="en-US" w:eastAsia="zh-CN"/>
              </w:rPr>
              <w:t>中的《38-40 电子电气行业系数手册》焊接工段：无铅焊料（锡丝等、含助焊剂）手工焊颗粒物产物系数为4.023×10</w:t>
            </w:r>
            <w:r>
              <w:rPr>
                <w:rFonts w:hint="eastAsia" w:eastAsia="宋体" w:cs="Times New Roman"/>
                <w:sz w:val="24"/>
                <w:szCs w:val="24"/>
                <w:highlight w:val="none"/>
                <w:vertAlign w:val="superscript"/>
                <w:lang w:val="en-US" w:eastAsia="zh-CN"/>
              </w:rPr>
              <w:t>-1</w:t>
            </w:r>
            <w:r>
              <w:rPr>
                <w:rFonts w:hint="eastAsia" w:eastAsia="宋体" w:cs="Times New Roman"/>
                <w:sz w:val="24"/>
                <w:szCs w:val="24"/>
                <w:highlight w:val="none"/>
                <w:lang w:val="en-US" w:eastAsia="zh-CN"/>
              </w:rPr>
              <w:t>克/千克-焊料。项目年消耗无铅焊料约3.1t/a，则，焊接烟尘（颗粒物）的产生量为0.0013t/a（0.00043kg/h）。</w:t>
            </w:r>
          </w:p>
          <w:p w14:paraId="1D1C5ED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eastAsia="宋体" w:cs="Times New Roman"/>
                <w:sz w:val="24"/>
                <w:szCs w:val="24"/>
                <w:highlight w:val="none"/>
                <w:lang w:val="en-US" w:eastAsia="zh-CN"/>
              </w:rPr>
            </w:pPr>
            <w:r>
              <w:rPr>
                <w:rFonts w:hint="eastAsia" w:eastAsia="宋体" w:cs="Times New Roman"/>
                <w:sz w:val="24"/>
                <w:szCs w:val="24"/>
                <w:highlight w:val="none"/>
                <w:lang w:val="en-US" w:eastAsia="zh-CN"/>
              </w:rPr>
              <w:t>助焊剂主要成分为有机酸活性剂、松香树脂、活性增强剂、表面活性剂、润湿增强剂及溶剂。其中溶剂主要为醇类（69.7~94.5%，</w:t>
            </w:r>
            <w:r>
              <w:rPr>
                <w:rFonts w:hint="eastAsia" w:eastAsia="宋体" w:cs="Times New Roman"/>
                <w:color w:val="FF0000"/>
                <w:sz w:val="24"/>
                <w:szCs w:val="24"/>
                <w:highlight w:val="none"/>
                <w:lang w:val="en-US" w:eastAsia="zh-CN"/>
              </w:rPr>
              <w:t>本环评</w:t>
            </w:r>
            <w:r>
              <w:rPr>
                <w:rFonts w:hint="eastAsia" w:cs="Times New Roman"/>
                <w:color w:val="FF0000"/>
                <w:sz w:val="24"/>
                <w:szCs w:val="24"/>
                <w:highlight w:val="none"/>
                <w:lang w:val="en-US" w:eastAsia="zh-CN"/>
              </w:rPr>
              <w:t>按最大值94.5</w:t>
            </w:r>
            <w:r>
              <w:rPr>
                <w:rFonts w:hint="eastAsia" w:eastAsia="宋体" w:cs="Times New Roman"/>
                <w:color w:val="FF0000"/>
                <w:sz w:val="24"/>
                <w:szCs w:val="24"/>
                <w:highlight w:val="none"/>
                <w:lang w:val="en-US" w:eastAsia="zh-CN"/>
              </w:rPr>
              <w:t>%</w:t>
            </w:r>
            <w:r>
              <w:rPr>
                <w:rFonts w:hint="eastAsia" w:cs="Times New Roman"/>
                <w:color w:val="FF0000"/>
                <w:sz w:val="24"/>
                <w:szCs w:val="24"/>
                <w:highlight w:val="none"/>
                <w:lang w:val="en-US" w:eastAsia="zh-CN"/>
              </w:rPr>
              <w:t>计</w:t>
            </w:r>
            <w:r>
              <w:rPr>
                <w:rFonts w:hint="eastAsia" w:eastAsia="宋体" w:cs="Times New Roman"/>
                <w:color w:val="FF0000"/>
                <w:sz w:val="24"/>
                <w:szCs w:val="24"/>
                <w:highlight w:val="none"/>
                <w:lang w:val="en-US" w:eastAsia="zh-CN"/>
              </w:rPr>
              <w:t>）</w:t>
            </w:r>
            <w:r>
              <w:rPr>
                <w:rFonts w:hint="eastAsia" w:eastAsia="宋体" w:cs="Times New Roman"/>
                <w:sz w:val="24"/>
                <w:szCs w:val="24"/>
                <w:highlight w:val="none"/>
                <w:lang w:val="en-US" w:eastAsia="zh-CN"/>
              </w:rPr>
              <w:t>。本项目助焊剂用量约0.1t/a，醇类在焊接过程中全部挥发计，则本环节醇类废气（以非甲烷总烃计）产生量约</w:t>
            </w:r>
            <w:r>
              <w:rPr>
                <w:rFonts w:hint="eastAsia" w:cs="Times New Roman"/>
                <w:color w:val="FF0000"/>
                <w:sz w:val="24"/>
                <w:szCs w:val="24"/>
                <w:highlight w:val="none"/>
                <w:lang w:val="en-US" w:eastAsia="zh-CN"/>
              </w:rPr>
              <w:t>0.0945</w:t>
            </w:r>
            <w:r>
              <w:rPr>
                <w:rFonts w:hint="eastAsia" w:eastAsia="宋体" w:cs="Times New Roman"/>
                <w:color w:val="FF0000"/>
                <w:sz w:val="24"/>
                <w:szCs w:val="24"/>
                <w:highlight w:val="none"/>
                <w:lang w:val="en-US" w:eastAsia="zh-CN"/>
              </w:rPr>
              <w:t>t/a</w:t>
            </w:r>
            <w:r>
              <w:rPr>
                <w:rFonts w:hint="eastAsia" w:cs="Times New Roman"/>
                <w:color w:val="FF0000"/>
                <w:sz w:val="24"/>
                <w:szCs w:val="24"/>
                <w:highlight w:val="none"/>
                <w:lang w:val="en-US" w:eastAsia="zh-CN"/>
              </w:rPr>
              <w:t>（0.0315kg/h），排放量为0.0945t/a。</w:t>
            </w:r>
          </w:p>
          <w:p w14:paraId="38ADCFF0">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在每个焊接工位上设置一台集气罩，由管道收集至一套脉冲布袋除尘器处理，处理后由一根30m排气筒（DA002）排放。设计风量为5000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/h，集气罩收集效率为85%，处理效率为95%。则：焊接烟尘的排放量为0.00006t/a（按3000h/a计，则排放速率为0.00002kg/h），排放浓度为0.004mg/m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w:t>
            </w:r>
          </w:p>
          <w:p w14:paraId="4245C6FC">
            <w:pPr>
              <w:keepNext w:val="0"/>
              <w:keepLines w:val="0"/>
              <w:pageBreakBefore w:val="0"/>
              <w:widowControl w:val="0"/>
              <w:numPr>
                <w:ilvl w:val="0"/>
                <w:numId w:val="1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点胶固化废气G</w:t>
            </w:r>
            <w:r>
              <w:rPr>
                <w:rFonts w:hint="eastAsia" w:cs="Times New Roman"/>
                <w:b w:val="0"/>
                <w:bCs w:val="0"/>
                <w:color w:val="auto"/>
                <w:sz w:val="24"/>
                <w:szCs w:val="24"/>
                <w:highlight w:val="none"/>
                <w:vertAlign w:val="subscript"/>
                <w:lang w:val="en-US" w:eastAsia="zh-CN"/>
              </w:rPr>
              <w:t>3</w:t>
            </w:r>
          </w:p>
          <w:p w14:paraId="3AE2C6C6">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项目组装阶段涉及点胶固化，使用的胶水主要有3530UV胶水、压磁胶水、贴合胶水，点胶及固化阶段会产生有机废气，以非甲烷总烃计。</w:t>
            </w:r>
          </w:p>
          <w:p w14:paraId="3B6BB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项目年使用3530UV胶水0.05t，其中挥发性有机物含量为7g/kg；年使用压磁胶水0.05t/a，其中挥发性有机物含量为9.35g/kg；年使用贴合胶水0.1t/a，其中挥发性有机物含量为1g/kg。按最不利条件考虑，挥发性有机物在生产过程中全部挥发，则项目在点胶、固化工段产生的非甲烷总烃为（0.05×7+0.05×9.35+0.1×1）/1000≈0.00092</w:t>
            </w:r>
            <w:r>
              <w:rPr>
                <w:rFonts w:hint="eastAsia" w:ascii="Times New Roman" w:hAnsi="Times New Roman" w:eastAsia="宋体" w:cs="Times New Roman"/>
                <w:kern w:val="2"/>
                <w:sz w:val="24"/>
                <w:szCs w:val="24"/>
                <w:highlight w:val="none"/>
                <w:lang w:val="en-US" w:eastAsia="zh-CN" w:bidi="ar-SA"/>
              </w:rPr>
              <w:t>t/a（0.00015kg/h），在车间内无组织逸散。</w:t>
            </w:r>
          </w:p>
          <w:p w14:paraId="5C0DD5D8">
            <w:pPr>
              <w:keepNext w:val="0"/>
              <w:keepLines w:val="0"/>
              <w:pageBreakBefore w:val="0"/>
              <w:widowControl w:val="0"/>
              <w:numPr>
                <w:ilvl w:val="0"/>
                <w:numId w:val="1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粉碎粉尘</w:t>
            </w:r>
            <w:r>
              <w:rPr>
                <w:rFonts w:hint="default" w:ascii="Times New Roman" w:hAnsi="Times New Roman" w:cs="Times New Roman"/>
                <w:b w:val="0"/>
                <w:bCs w:val="0"/>
                <w:color w:val="auto"/>
                <w:sz w:val="24"/>
                <w:szCs w:val="24"/>
                <w:highlight w:val="none"/>
                <w:lang w:val="en-US" w:eastAsia="zh-CN"/>
              </w:rPr>
              <w:t>G</w:t>
            </w:r>
            <w:r>
              <w:rPr>
                <w:rFonts w:hint="eastAsia" w:cs="Times New Roman"/>
                <w:b w:val="0"/>
                <w:bCs w:val="0"/>
                <w:color w:val="auto"/>
                <w:sz w:val="24"/>
                <w:szCs w:val="24"/>
                <w:highlight w:val="none"/>
                <w:vertAlign w:val="subscript"/>
                <w:lang w:val="en-US" w:eastAsia="zh-CN"/>
              </w:rPr>
              <w:t>4</w:t>
            </w:r>
          </w:p>
          <w:p w14:paraId="0D8AD073">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拟购置5台粉碎机，将产生的塑料不合格品及边角料经过统一收集后，利用粉碎机破碎为颗粒状后重新回用于生产系统中。粉碎过程为密封状态，粉碎过程产生的粉尘不会逸散到大气环境中。破碎结束后随料斗盖打开会产生少量粉尘，建设单位通过加强通风换气，在车间内无组织排放，并定期清扫沉降在粉碎机周围地面粒径较大的粉尘。</w:t>
            </w:r>
          </w:p>
          <w:p w14:paraId="660FE534">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根据建设单位提供资料，生产过程中产生的不合格品约占原料用量的2%，项目注塑工段原料用量约为139t/a，则需要粉碎的物料约为2.78t/a。根据生态环境部2021年6月发布的《排放源统计调査产排污核算方法和系数手册》中的《4220非金属废料和碎屑加工处理行业系数表》，废PS/ABS塑料干法破碎颗粒物产生系数为425克/吨-原料（废PC干法破碎参照此系数），则项目粉碎颗粒物的产生量为0.0012t/a。粉碎机粉碎过程中粉尘量的产生量较小，以无组织形式排放。粉碎机每天运行时间为4h，年运行时间为1200h。故，在车间内自然沉降后，粉碎粉尘的排放量为0.00024t/a（0.0002kg/h）。</w:t>
            </w:r>
          </w:p>
          <w:p w14:paraId="10551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eastAsia" w:eastAsia="宋体" w:cs="Times New Roman"/>
                <w:kern w:val="2"/>
                <w:sz w:val="24"/>
                <w:szCs w:val="24"/>
                <w:highlight w:val="none"/>
                <w:lang w:val="en-US" w:eastAsia="zh-CN" w:bidi="ar-SA"/>
              </w:rPr>
              <w:t>（5）食堂油烟</w:t>
            </w:r>
            <w:r>
              <w:rPr>
                <w:rFonts w:hint="default" w:ascii="Times New Roman" w:hAnsi="Times New Roman" w:cs="Times New Roman"/>
                <w:b w:val="0"/>
                <w:bCs w:val="0"/>
                <w:color w:val="auto"/>
                <w:sz w:val="24"/>
                <w:szCs w:val="24"/>
                <w:highlight w:val="none"/>
                <w:lang w:val="en-US" w:eastAsia="zh-CN"/>
              </w:rPr>
              <w:t>G</w:t>
            </w:r>
            <w:r>
              <w:rPr>
                <w:rFonts w:hint="eastAsia" w:cs="Times New Roman"/>
                <w:b w:val="0"/>
                <w:bCs w:val="0"/>
                <w:color w:val="auto"/>
                <w:sz w:val="24"/>
                <w:szCs w:val="24"/>
                <w:highlight w:val="none"/>
                <w:vertAlign w:val="subscript"/>
                <w:lang w:val="en-US" w:eastAsia="zh-CN"/>
              </w:rPr>
              <w:t>5</w:t>
            </w:r>
          </w:p>
          <w:p w14:paraId="61D9AB46">
            <w:pPr>
              <w:keepNext w:val="0"/>
              <w:keepLines w:val="0"/>
              <w:pageBreakBefore w:val="0"/>
              <w:widowControl w:val="0"/>
              <w:suppressLineNumbers w:val="0"/>
              <w:tabs>
                <w:tab w:val="left" w:pos="1860"/>
                <w:tab w:val="center" w:pos="4620"/>
              </w:tabs>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sz w:val="24"/>
                <w:szCs w:val="22"/>
              </w:rPr>
            </w:pPr>
            <w:r>
              <w:rPr>
                <w:rFonts w:hint="eastAsia"/>
                <w:sz w:val="24"/>
                <w:szCs w:val="22"/>
              </w:rPr>
              <w:t>本项目</w:t>
            </w:r>
            <w:r>
              <w:rPr>
                <w:rFonts w:hint="eastAsia"/>
                <w:sz w:val="24"/>
                <w:szCs w:val="22"/>
                <w:lang w:val="en-US" w:eastAsia="zh-CN"/>
              </w:rPr>
              <w:t>劳动定员500人</w:t>
            </w:r>
            <w:r>
              <w:rPr>
                <w:rFonts w:hint="eastAsia"/>
                <w:sz w:val="24"/>
                <w:szCs w:val="22"/>
              </w:rPr>
              <w:t>，</w:t>
            </w:r>
            <w:r>
              <w:rPr>
                <w:rFonts w:hint="eastAsia"/>
                <w:sz w:val="24"/>
                <w:szCs w:val="22"/>
                <w:lang w:val="en-US" w:eastAsia="zh-CN"/>
              </w:rPr>
              <w:t>食堂设3个灶头</w:t>
            </w:r>
            <w:r>
              <w:rPr>
                <w:rFonts w:hint="eastAsia"/>
                <w:sz w:val="24"/>
                <w:szCs w:val="22"/>
              </w:rPr>
              <w:t>，规模属于中型规模</w:t>
            </w:r>
            <w:r>
              <w:rPr>
                <w:rFonts w:hint="eastAsia"/>
                <w:sz w:val="24"/>
                <w:szCs w:val="22"/>
                <w:lang w:eastAsia="zh-CN"/>
              </w:rPr>
              <w:t>，</w:t>
            </w:r>
            <w:r>
              <w:rPr>
                <w:rFonts w:hint="default" w:ascii="Times New Roman" w:hAnsi="Times New Roman"/>
                <w:sz w:val="24"/>
                <w:highlight w:val="none"/>
              </w:rPr>
              <w:t>食堂在烹饪过程中</w:t>
            </w:r>
            <w:r>
              <w:rPr>
                <w:rFonts w:hint="eastAsia" w:ascii="Times New Roman" w:hAnsi="Times New Roman"/>
                <w:sz w:val="24"/>
                <w:highlight w:val="none"/>
                <w:lang w:val="en-US" w:eastAsia="zh-CN"/>
              </w:rPr>
              <w:t>会</w:t>
            </w:r>
            <w:r>
              <w:rPr>
                <w:rFonts w:hint="default" w:ascii="Times New Roman" w:hAnsi="Times New Roman"/>
                <w:sz w:val="24"/>
                <w:highlight w:val="none"/>
              </w:rPr>
              <w:t>产生油烟</w:t>
            </w:r>
            <w:r>
              <w:rPr>
                <w:rFonts w:hint="eastAsia" w:ascii="Times New Roman" w:hAnsi="Times New Roman"/>
                <w:sz w:val="24"/>
                <w:highlight w:val="none"/>
                <w:lang w:eastAsia="zh-CN"/>
              </w:rPr>
              <w:t>，</w:t>
            </w:r>
            <w:r>
              <w:rPr>
                <w:rFonts w:hint="eastAsia" w:ascii="Times New Roman" w:hAnsi="Times New Roman"/>
                <w:sz w:val="24"/>
                <w:highlight w:val="none"/>
                <w:lang w:val="en-US" w:eastAsia="zh-CN"/>
              </w:rPr>
              <w:t>油烟的产生量跟食用油的用量有关。</w:t>
            </w:r>
            <w:r>
              <w:rPr>
                <w:rFonts w:hint="eastAsia"/>
                <w:sz w:val="24"/>
                <w:szCs w:val="22"/>
              </w:rPr>
              <w:t>食堂食用油耗油系数按30g/（人·d）计算，则食堂的用油量</w:t>
            </w:r>
            <w:r>
              <w:rPr>
                <w:rFonts w:hint="eastAsia"/>
                <w:sz w:val="24"/>
                <w:szCs w:val="22"/>
                <w:lang w:val="en-US" w:eastAsia="zh-CN"/>
              </w:rPr>
              <w:t>为15</w:t>
            </w:r>
            <w:r>
              <w:rPr>
                <w:rFonts w:hint="eastAsia"/>
                <w:sz w:val="24"/>
                <w:szCs w:val="22"/>
              </w:rPr>
              <w:t>kg/d（</w:t>
            </w:r>
            <w:r>
              <w:rPr>
                <w:rFonts w:hint="eastAsia"/>
                <w:sz w:val="24"/>
                <w:szCs w:val="22"/>
                <w:lang w:val="en-US" w:eastAsia="zh-CN"/>
              </w:rPr>
              <w:t>4.5t</w:t>
            </w:r>
            <w:r>
              <w:rPr>
                <w:rFonts w:hint="eastAsia"/>
                <w:sz w:val="24"/>
                <w:szCs w:val="22"/>
              </w:rPr>
              <w:t>/a）</w:t>
            </w:r>
            <w:r>
              <w:rPr>
                <w:rFonts w:hint="eastAsia"/>
                <w:sz w:val="24"/>
                <w:szCs w:val="22"/>
                <w:lang w:eastAsia="zh-CN"/>
              </w:rPr>
              <w:t>。</w:t>
            </w:r>
            <w:r>
              <w:rPr>
                <w:rFonts w:hint="eastAsia"/>
                <w:sz w:val="24"/>
                <w:szCs w:val="22"/>
              </w:rPr>
              <w:t>油烟产生量按用油量的2</w:t>
            </w:r>
            <w:r>
              <w:rPr>
                <w:rFonts w:hint="eastAsia"/>
                <w:sz w:val="24"/>
                <w:szCs w:val="22"/>
                <w:lang w:val="en-US" w:eastAsia="zh-CN"/>
              </w:rPr>
              <w:t>.83</w:t>
            </w:r>
            <w:r>
              <w:rPr>
                <w:rFonts w:hint="eastAsia"/>
                <w:sz w:val="24"/>
                <w:szCs w:val="22"/>
              </w:rPr>
              <w:t>%计算，则油烟产生量为</w:t>
            </w:r>
            <w:r>
              <w:rPr>
                <w:rFonts w:hint="eastAsia"/>
                <w:sz w:val="24"/>
                <w:szCs w:val="22"/>
                <w:lang w:val="en-US" w:eastAsia="zh-CN"/>
              </w:rPr>
              <w:t>0.4245</w:t>
            </w:r>
            <w:r>
              <w:rPr>
                <w:rFonts w:hint="eastAsia"/>
                <w:sz w:val="24"/>
                <w:szCs w:val="22"/>
              </w:rPr>
              <w:t>kg/d（</w:t>
            </w:r>
            <w:r>
              <w:rPr>
                <w:rFonts w:hint="eastAsia"/>
                <w:sz w:val="24"/>
                <w:szCs w:val="22"/>
                <w:lang w:val="en-US" w:eastAsia="zh-CN"/>
              </w:rPr>
              <w:t>0.1274t</w:t>
            </w:r>
            <w:r>
              <w:rPr>
                <w:rFonts w:hint="eastAsia"/>
                <w:sz w:val="24"/>
                <w:szCs w:val="22"/>
              </w:rPr>
              <w:t>/a）</w:t>
            </w:r>
            <w:r>
              <w:rPr>
                <w:rFonts w:hint="eastAsia"/>
                <w:sz w:val="24"/>
                <w:szCs w:val="22"/>
                <w:lang w:eastAsia="zh-CN"/>
              </w:rPr>
              <w:t>。</w:t>
            </w:r>
            <w:r>
              <w:rPr>
                <w:rFonts w:hint="eastAsia"/>
                <w:sz w:val="24"/>
                <w:szCs w:val="22"/>
              </w:rPr>
              <w:t>每天的烹饪时间按</w:t>
            </w:r>
            <w:r>
              <w:rPr>
                <w:rFonts w:hint="eastAsia"/>
                <w:sz w:val="24"/>
                <w:szCs w:val="22"/>
                <w:lang w:val="en-US" w:eastAsia="zh-CN"/>
              </w:rPr>
              <w:t>5</w:t>
            </w:r>
            <w:r>
              <w:rPr>
                <w:rFonts w:hint="eastAsia"/>
                <w:sz w:val="24"/>
                <w:szCs w:val="22"/>
              </w:rPr>
              <w:t>小时计算，则油烟</w:t>
            </w:r>
            <w:r>
              <w:rPr>
                <w:rFonts w:hint="eastAsia"/>
                <w:sz w:val="24"/>
                <w:szCs w:val="22"/>
                <w:lang w:val="en-US" w:eastAsia="zh-CN"/>
              </w:rPr>
              <w:t>的</w:t>
            </w:r>
            <w:r>
              <w:rPr>
                <w:rFonts w:hint="eastAsia"/>
                <w:sz w:val="24"/>
                <w:szCs w:val="22"/>
              </w:rPr>
              <w:t>产生速率为</w:t>
            </w:r>
            <w:r>
              <w:rPr>
                <w:rFonts w:hint="eastAsia"/>
                <w:sz w:val="24"/>
                <w:szCs w:val="22"/>
                <w:lang w:val="en-US" w:eastAsia="zh-CN"/>
              </w:rPr>
              <w:t>0.085k</w:t>
            </w:r>
            <w:r>
              <w:rPr>
                <w:rFonts w:hint="eastAsia"/>
                <w:sz w:val="24"/>
                <w:szCs w:val="22"/>
              </w:rPr>
              <w:t>g/h，油烟</w:t>
            </w:r>
            <w:r>
              <w:rPr>
                <w:rFonts w:hint="eastAsia"/>
                <w:sz w:val="24"/>
                <w:szCs w:val="22"/>
                <w:lang w:val="en-US" w:eastAsia="zh-CN"/>
              </w:rPr>
              <w:t>的</w:t>
            </w:r>
            <w:r>
              <w:rPr>
                <w:rFonts w:hint="eastAsia"/>
                <w:sz w:val="24"/>
                <w:szCs w:val="22"/>
              </w:rPr>
              <w:t>产生浓度为</w:t>
            </w:r>
            <w:r>
              <w:rPr>
                <w:rFonts w:hint="eastAsia"/>
                <w:sz w:val="24"/>
                <w:szCs w:val="22"/>
                <w:lang w:val="en-US" w:eastAsia="zh-CN"/>
              </w:rPr>
              <w:t>7.075</w:t>
            </w:r>
            <w:r>
              <w:rPr>
                <w:rFonts w:hint="eastAsia"/>
                <w:sz w:val="24"/>
                <w:szCs w:val="22"/>
              </w:rPr>
              <w:t>mg/m</w:t>
            </w:r>
            <w:r>
              <w:rPr>
                <w:rFonts w:hint="eastAsia"/>
                <w:sz w:val="24"/>
                <w:szCs w:val="22"/>
                <w:vertAlign w:val="superscript"/>
              </w:rPr>
              <w:t>3</w:t>
            </w:r>
            <w:r>
              <w:rPr>
                <w:rFonts w:hint="eastAsia"/>
                <w:sz w:val="24"/>
                <w:szCs w:val="22"/>
              </w:rPr>
              <w:t>（按风量</w:t>
            </w:r>
            <w:r>
              <w:rPr>
                <w:rFonts w:hint="eastAsia"/>
                <w:sz w:val="24"/>
                <w:szCs w:val="22"/>
                <w:lang w:val="en-US" w:eastAsia="zh-CN"/>
              </w:rPr>
              <w:t>12000</w:t>
            </w:r>
            <w:r>
              <w:rPr>
                <w:rFonts w:hint="eastAsia"/>
                <w:sz w:val="24"/>
                <w:szCs w:val="22"/>
              </w:rPr>
              <w:t>m</w:t>
            </w:r>
            <w:r>
              <w:rPr>
                <w:rFonts w:hint="eastAsia"/>
                <w:sz w:val="24"/>
                <w:szCs w:val="22"/>
                <w:vertAlign w:val="superscript"/>
              </w:rPr>
              <w:t>3</w:t>
            </w:r>
            <w:r>
              <w:rPr>
                <w:rFonts w:hint="eastAsia"/>
                <w:sz w:val="24"/>
                <w:szCs w:val="22"/>
              </w:rPr>
              <w:t>/h计）</w:t>
            </w:r>
            <w:r>
              <w:rPr>
                <w:rFonts w:hint="eastAsia"/>
                <w:sz w:val="24"/>
                <w:szCs w:val="22"/>
                <w:lang w:val="en-US" w:eastAsia="zh-CN"/>
              </w:rPr>
              <w:t>。</w:t>
            </w:r>
          </w:p>
          <w:p w14:paraId="58AB3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szCs w:val="22"/>
              </w:rPr>
            </w:pPr>
            <w:r>
              <w:rPr>
                <w:rFonts w:hint="eastAsia"/>
                <w:sz w:val="24"/>
                <w:szCs w:val="22"/>
                <w:lang w:val="en-US" w:eastAsia="zh-CN"/>
              </w:rPr>
              <w:t>食堂设净化效率不低于75%的</w:t>
            </w:r>
            <w:r>
              <w:rPr>
                <w:rFonts w:hint="eastAsia"/>
                <w:sz w:val="24"/>
                <w:szCs w:val="22"/>
              </w:rPr>
              <w:t>油烟净化</w:t>
            </w:r>
            <w:r>
              <w:rPr>
                <w:rFonts w:hint="eastAsia"/>
                <w:sz w:val="24"/>
                <w:szCs w:val="22"/>
                <w:lang w:val="en-US" w:eastAsia="zh-CN"/>
              </w:rPr>
              <w:t>装置对食堂油烟进行净化处理。油烟净化装置</w:t>
            </w:r>
            <w:r>
              <w:rPr>
                <w:rFonts w:hint="eastAsia"/>
                <w:sz w:val="24"/>
                <w:szCs w:val="22"/>
              </w:rPr>
              <w:t>设计风机风量不低于</w:t>
            </w:r>
            <w:r>
              <w:rPr>
                <w:rFonts w:hint="eastAsia"/>
                <w:sz w:val="24"/>
                <w:szCs w:val="22"/>
                <w:lang w:val="en-US" w:eastAsia="zh-CN"/>
              </w:rPr>
              <w:t>12</w:t>
            </w:r>
            <w:r>
              <w:rPr>
                <w:rFonts w:hint="eastAsia"/>
                <w:sz w:val="24"/>
                <w:szCs w:val="22"/>
              </w:rPr>
              <w:t>000m</w:t>
            </w:r>
            <w:r>
              <w:rPr>
                <w:rFonts w:hint="eastAsia"/>
                <w:sz w:val="24"/>
                <w:szCs w:val="22"/>
                <w:vertAlign w:val="superscript"/>
              </w:rPr>
              <w:t>3</w:t>
            </w:r>
            <w:r>
              <w:rPr>
                <w:rFonts w:hint="eastAsia"/>
                <w:sz w:val="24"/>
                <w:szCs w:val="22"/>
              </w:rPr>
              <w:t>/h，则油烟</w:t>
            </w:r>
            <w:r>
              <w:rPr>
                <w:rFonts w:hint="eastAsia"/>
                <w:sz w:val="24"/>
                <w:szCs w:val="22"/>
                <w:lang w:val="en-US" w:eastAsia="zh-CN"/>
              </w:rPr>
              <w:t>的</w:t>
            </w:r>
            <w:r>
              <w:rPr>
                <w:rFonts w:hint="eastAsia"/>
                <w:sz w:val="24"/>
                <w:szCs w:val="22"/>
                <w:vertAlign w:val="baseline"/>
                <w:lang w:val="en-US" w:eastAsia="zh-CN"/>
              </w:rPr>
              <w:t>排放量为0.0318</w:t>
            </w:r>
            <w:r>
              <w:rPr>
                <w:rFonts w:hint="eastAsia"/>
                <w:sz w:val="24"/>
                <w:szCs w:val="22"/>
                <w:lang w:val="en-US" w:eastAsia="zh-CN"/>
              </w:rPr>
              <w:t>t</w:t>
            </w:r>
            <w:r>
              <w:rPr>
                <w:rFonts w:hint="eastAsia"/>
                <w:sz w:val="24"/>
                <w:szCs w:val="22"/>
              </w:rPr>
              <w:t>/a</w:t>
            </w:r>
            <w:r>
              <w:rPr>
                <w:rFonts w:hint="eastAsia"/>
                <w:sz w:val="24"/>
                <w:szCs w:val="22"/>
                <w:lang w:eastAsia="zh-CN"/>
              </w:rPr>
              <w:t>，</w:t>
            </w:r>
            <w:r>
              <w:rPr>
                <w:rFonts w:hint="eastAsia"/>
                <w:sz w:val="24"/>
                <w:szCs w:val="22"/>
              </w:rPr>
              <w:t>排放浓度为</w:t>
            </w:r>
            <w:r>
              <w:rPr>
                <w:rFonts w:hint="eastAsia"/>
                <w:sz w:val="24"/>
                <w:szCs w:val="22"/>
                <w:lang w:val="en-US" w:eastAsia="zh-CN"/>
              </w:rPr>
              <w:t>1.77</w:t>
            </w:r>
            <w:r>
              <w:rPr>
                <w:rFonts w:hint="eastAsia"/>
                <w:sz w:val="24"/>
                <w:szCs w:val="22"/>
              </w:rPr>
              <w:t>mg/m</w:t>
            </w:r>
            <w:r>
              <w:rPr>
                <w:rFonts w:hint="eastAsia"/>
                <w:sz w:val="24"/>
                <w:szCs w:val="22"/>
                <w:vertAlign w:val="superscript"/>
              </w:rPr>
              <w:t>3</w:t>
            </w:r>
            <w:r>
              <w:rPr>
                <w:rFonts w:hint="eastAsia"/>
                <w:sz w:val="24"/>
                <w:szCs w:val="22"/>
                <w:vertAlign w:val="baseline"/>
                <w:lang w:eastAsia="zh-CN"/>
              </w:rPr>
              <w:t>。</w:t>
            </w:r>
            <w:r>
              <w:rPr>
                <w:rFonts w:hint="eastAsia"/>
                <w:sz w:val="24"/>
                <w:szCs w:val="22"/>
                <w:vertAlign w:val="baseline"/>
                <w:lang w:val="en-US" w:eastAsia="zh-CN"/>
              </w:rPr>
              <w:t>食堂油烟的排放浓度</w:t>
            </w:r>
            <w:r>
              <w:rPr>
                <w:rFonts w:hint="eastAsia"/>
                <w:sz w:val="24"/>
                <w:szCs w:val="22"/>
              </w:rPr>
              <w:t>满足《饮食业油烟排放标准（试行）》（GB18483-2001）</w:t>
            </w:r>
            <w:r>
              <w:rPr>
                <w:rFonts w:hint="eastAsia"/>
                <w:sz w:val="24"/>
                <w:szCs w:val="22"/>
                <w:lang w:val="en-US" w:eastAsia="zh-CN"/>
              </w:rPr>
              <w:t>中</w:t>
            </w:r>
            <w:r>
              <w:rPr>
                <w:rFonts w:hint="eastAsia"/>
                <w:sz w:val="24"/>
                <w:szCs w:val="22"/>
              </w:rPr>
              <w:t>最高允许排放浓度2.0mg/m</w:t>
            </w:r>
            <w:r>
              <w:rPr>
                <w:rFonts w:hint="eastAsia"/>
                <w:sz w:val="24"/>
                <w:szCs w:val="22"/>
                <w:vertAlign w:val="superscript"/>
              </w:rPr>
              <w:t>3</w:t>
            </w:r>
            <w:r>
              <w:rPr>
                <w:rFonts w:hint="eastAsia"/>
                <w:sz w:val="24"/>
                <w:szCs w:val="22"/>
              </w:rPr>
              <w:t>要求。</w:t>
            </w:r>
          </w:p>
          <w:p w14:paraId="4B6F6FA9">
            <w:pPr>
              <w:keepNext w:val="0"/>
              <w:keepLines w:val="0"/>
              <w:numPr>
                <w:ilvl w:val="0"/>
                <w:numId w:val="0"/>
              </w:numPr>
              <w:suppressLineNumbers w:val="0"/>
              <w:adjustRightInd w:val="0"/>
              <w:snapToGrid w:val="0"/>
              <w:spacing w:before="0" w:beforeAutospacing="0" w:after="0" w:afterAutospacing="0" w:line="360" w:lineRule="auto"/>
              <w:ind w:left="420" w:leftChars="200" w:right="0"/>
              <w:rPr>
                <w:rFonts w:hint="eastAsia"/>
                <w:sz w:val="24"/>
                <w:szCs w:val="22"/>
                <w:lang w:val="en-US" w:eastAsia="zh-CN"/>
              </w:rPr>
            </w:pPr>
            <w:r>
              <w:rPr>
                <w:rFonts w:hint="eastAsia"/>
                <w:sz w:val="24"/>
                <w:szCs w:val="22"/>
                <w:lang w:val="en-US" w:eastAsia="zh-CN"/>
              </w:rPr>
              <w:t>（6）非正常工况下废气污染源</w:t>
            </w:r>
          </w:p>
          <w:p w14:paraId="66EFCF9D">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0" w:firstLineChars="200"/>
              <w:rPr>
                <w:rFonts w:hint="eastAsia" w:ascii="Times New Roman" w:hAnsi="Times New Roman" w:eastAsia="宋体" w:cs="Times New Roman"/>
                <w:b w:val="0"/>
                <w:bCs w:val="0"/>
                <w:color w:val="auto"/>
                <w:kern w:val="2"/>
                <w:sz w:val="24"/>
                <w:szCs w:val="21"/>
                <w:lang w:val="en-US" w:eastAsia="zh-CN" w:bidi="ar-SA"/>
              </w:rPr>
            </w:pPr>
            <w:r>
              <w:rPr>
                <w:rFonts w:hint="default" w:ascii="Times New Roman" w:hAnsi="Times New Roman" w:eastAsia="宋体" w:cs="Times New Roman"/>
                <w:b w:val="0"/>
                <w:bCs w:val="0"/>
                <w:color w:val="auto"/>
                <w:kern w:val="2"/>
                <w:sz w:val="24"/>
                <w:szCs w:val="21"/>
                <w:lang w:val="en-US" w:eastAsia="zh-CN" w:bidi="ar-SA"/>
              </w:rPr>
              <w:t>本项目非正常工況废气排放是指生产过程中开停车(工、炉)、设备检修、工艺设备运转异常等非正常情况下的污染物排放</w:t>
            </w:r>
            <w:r>
              <w:rPr>
                <w:rFonts w:hint="eastAsia" w:ascii="Times New Roman" w:hAnsi="Times New Roman" w:eastAsia="宋体" w:cs="Times New Roman"/>
                <w:b w:val="0"/>
                <w:bCs w:val="0"/>
                <w:color w:val="auto"/>
                <w:kern w:val="2"/>
                <w:sz w:val="24"/>
                <w:szCs w:val="21"/>
                <w:lang w:val="en-US" w:eastAsia="zh-CN" w:bidi="ar-SA"/>
              </w:rPr>
              <w:t>，</w:t>
            </w:r>
            <w:r>
              <w:rPr>
                <w:rFonts w:hint="default" w:ascii="Times New Roman" w:hAnsi="Times New Roman" w:eastAsia="宋体" w:cs="Times New Roman"/>
                <w:b w:val="0"/>
                <w:bCs w:val="0"/>
                <w:color w:val="auto"/>
                <w:kern w:val="2"/>
                <w:sz w:val="24"/>
                <w:szCs w:val="21"/>
                <w:lang w:val="en-US" w:eastAsia="zh-CN" w:bidi="ar-SA"/>
              </w:rPr>
              <w:t>以及污染物排放控制措施达不到应有效率等情况下的排放。本项目废气非正常工况排放主要为活性炭吸附装置接近饱和时</w:t>
            </w:r>
            <w:r>
              <w:rPr>
                <w:rFonts w:hint="eastAsia" w:ascii="Times New Roman" w:hAnsi="Times New Roman" w:eastAsia="宋体" w:cs="Times New Roman"/>
                <w:b w:val="0"/>
                <w:bCs w:val="0"/>
                <w:color w:val="auto"/>
                <w:kern w:val="2"/>
                <w:sz w:val="24"/>
                <w:szCs w:val="21"/>
                <w:lang w:val="en-US" w:eastAsia="zh-CN" w:bidi="ar-SA"/>
              </w:rPr>
              <w:t>或脉冲布袋除尘器未清灰堵塞时</w:t>
            </w:r>
            <w:r>
              <w:rPr>
                <w:rFonts w:hint="default" w:ascii="Times New Roman" w:hAnsi="Times New Roman" w:eastAsia="宋体" w:cs="Times New Roman"/>
                <w:b w:val="0"/>
                <w:bCs w:val="0"/>
                <w:color w:val="auto"/>
                <w:kern w:val="2"/>
                <w:sz w:val="24"/>
                <w:szCs w:val="21"/>
                <w:lang w:val="en-US" w:eastAsia="zh-CN" w:bidi="ar-SA"/>
              </w:rPr>
              <w:t>，废气治理效率下降，处理效率</w:t>
            </w:r>
            <w:r>
              <w:rPr>
                <w:rFonts w:hint="eastAsia" w:ascii="Times New Roman" w:hAnsi="Times New Roman" w:eastAsia="宋体" w:cs="Times New Roman"/>
                <w:b w:val="0"/>
                <w:bCs w:val="0"/>
                <w:color w:val="auto"/>
                <w:kern w:val="2"/>
                <w:sz w:val="24"/>
                <w:szCs w:val="21"/>
                <w:lang w:val="en-US" w:eastAsia="zh-CN" w:bidi="ar-SA"/>
              </w:rPr>
              <w:t>为0</w:t>
            </w:r>
            <w:r>
              <w:rPr>
                <w:rFonts w:hint="default" w:ascii="Times New Roman" w:hAnsi="Times New Roman" w:eastAsia="宋体" w:cs="Times New Roman"/>
                <w:b w:val="0"/>
                <w:bCs w:val="0"/>
                <w:color w:val="auto"/>
                <w:kern w:val="2"/>
                <w:sz w:val="24"/>
                <w:szCs w:val="21"/>
                <w:lang w:val="en-US" w:eastAsia="zh-CN" w:bidi="ar-SA"/>
              </w:rPr>
              <w:t>的状态估算，但废气收集系统可以正常运行，废气通过排气筒排放等情况，废气处理设施出现故障时不能正常运行时，应立即停产进行维修，避免对周围环境造成污染，非正常工况废气排放情况如下表</w:t>
            </w:r>
            <w:r>
              <w:rPr>
                <w:rFonts w:hint="eastAsia" w:ascii="Times New Roman" w:hAnsi="Times New Roman" w:eastAsia="宋体" w:cs="Times New Roman"/>
                <w:b w:val="0"/>
                <w:bCs w:val="0"/>
                <w:color w:val="auto"/>
                <w:kern w:val="2"/>
                <w:sz w:val="24"/>
                <w:szCs w:val="21"/>
                <w:lang w:val="en-US" w:eastAsia="zh-CN" w:bidi="ar-SA"/>
              </w:rPr>
              <w:t>：</w:t>
            </w:r>
          </w:p>
          <w:p w14:paraId="417A30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964" w:firstLineChars="400"/>
              <w:textAlignment w:val="auto"/>
              <w:rPr>
                <w:rFonts w:hint="eastAsia" w:ascii="Times New Roman" w:hAnsi="Times New Roman" w:eastAsia="宋体" w:cs="Times New Roman"/>
                <w:b/>
                <w:bCs/>
                <w:color w:val="auto"/>
                <w:kern w:val="2"/>
                <w:sz w:val="24"/>
                <w:szCs w:val="21"/>
                <w:lang w:val="en-US" w:eastAsia="zh-CN" w:bidi="ar-SA"/>
              </w:rPr>
            </w:pPr>
            <w:r>
              <w:rPr>
                <w:rFonts w:hint="eastAsia" w:ascii="Times New Roman" w:hAnsi="Times New Roman" w:eastAsia="宋体" w:cs="Times New Roman"/>
                <w:b/>
                <w:bCs/>
                <w:color w:val="auto"/>
                <w:kern w:val="2"/>
                <w:sz w:val="24"/>
                <w:szCs w:val="21"/>
                <w:lang w:val="en-US" w:eastAsia="zh-CN" w:bidi="ar-SA"/>
              </w:rPr>
              <w:t>表4-2     项目非正常工况下废气排放情况表</w:t>
            </w:r>
          </w:p>
          <w:tbl>
            <w:tblPr>
              <w:tblStyle w:val="36"/>
              <w:tblW w:w="8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144"/>
              <w:gridCol w:w="1237"/>
              <w:gridCol w:w="918"/>
              <w:gridCol w:w="1378"/>
              <w:gridCol w:w="1378"/>
            </w:tblGrid>
            <w:tr w14:paraId="6D21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9" w:type="dxa"/>
                  <w:vMerge w:val="restart"/>
                  <w:vAlign w:val="center"/>
                </w:tcPr>
                <w:p w14:paraId="38A30AB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bCs/>
                      <w:color w:val="auto"/>
                      <w:kern w:val="2"/>
                      <w:sz w:val="21"/>
                      <w:szCs w:val="18"/>
                      <w:vertAlign w:val="baseline"/>
                      <w:lang w:val="en-US" w:eastAsia="zh-CN" w:bidi="ar-SA"/>
                    </w:rPr>
                  </w:pPr>
                  <w:r>
                    <w:rPr>
                      <w:rFonts w:hint="default" w:ascii="Times New Roman" w:hAnsi="Times New Roman" w:eastAsia="宋体" w:cs="Times New Roman"/>
                      <w:b/>
                      <w:bCs/>
                      <w:color w:val="auto"/>
                      <w:kern w:val="2"/>
                      <w:sz w:val="21"/>
                      <w:szCs w:val="18"/>
                      <w:vertAlign w:val="baseline"/>
                      <w:lang w:val="en-US" w:eastAsia="zh-CN" w:bidi="ar-SA"/>
                    </w:rPr>
                    <w:t>排气筒编号</w:t>
                  </w:r>
                </w:p>
              </w:tc>
              <w:tc>
                <w:tcPr>
                  <w:tcW w:w="1144" w:type="dxa"/>
                  <w:vMerge w:val="restart"/>
                  <w:vAlign w:val="center"/>
                </w:tcPr>
                <w:p w14:paraId="39B77F9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bCs/>
                      <w:color w:val="auto"/>
                      <w:kern w:val="2"/>
                      <w:sz w:val="21"/>
                      <w:szCs w:val="18"/>
                      <w:vertAlign w:val="baseline"/>
                      <w:lang w:val="en-US" w:eastAsia="zh-CN" w:bidi="ar-SA"/>
                    </w:rPr>
                  </w:pPr>
                  <w:r>
                    <w:rPr>
                      <w:rFonts w:hint="default" w:ascii="Times New Roman" w:hAnsi="Times New Roman" w:eastAsia="宋体" w:cs="Times New Roman"/>
                      <w:b/>
                      <w:bCs/>
                      <w:color w:val="auto"/>
                      <w:kern w:val="2"/>
                      <w:sz w:val="21"/>
                      <w:szCs w:val="18"/>
                      <w:vertAlign w:val="baseline"/>
                      <w:lang w:val="en-US" w:eastAsia="zh-CN" w:bidi="ar-SA"/>
                    </w:rPr>
                    <w:t>污染物</w:t>
                  </w:r>
                </w:p>
              </w:tc>
              <w:tc>
                <w:tcPr>
                  <w:tcW w:w="4911" w:type="dxa"/>
                  <w:gridSpan w:val="4"/>
                  <w:vAlign w:val="center"/>
                </w:tcPr>
                <w:p w14:paraId="6B994F3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bCs/>
                      <w:color w:val="auto"/>
                      <w:kern w:val="2"/>
                      <w:sz w:val="21"/>
                      <w:szCs w:val="18"/>
                      <w:vertAlign w:val="baseline"/>
                      <w:lang w:val="en-US" w:eastAsia="zh-CN" w:bidi="ar-SA"/>
                    </w:rPr>
                  </w:pPr>
                  <w:r>
                    <w:rPr>
                      <w:rFonts w:hint="default" w:ascii="Times New Roman" w:hAnsi="Times New Roman" w:eastAsia="宋体" w:cs="Times New Roman"/>
                      <w:b/>
                      <w:bCs/>
                      <w:color w:val="auto"/>
                      <w:kern w:val="2"/>
                      <w:sz w:val="21"/>
                      <w:szCs w:val="18"/>
                      <w:vertAlign w:val="baseline"/>
                      <w:lang w:val="en-US" w:eastAsia="zh-CN" w:bidi="ar-SA"/>
                    </w:rPr>
                    <w:t>非正常工况</w:t>
                  </w:r>
                </w:p>
              </w:tc>
            </w:tr>
            <w:tr w14:paraId="2799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9" w:type="dxa"/>
                  <w:vMerge w:val="continue"/>
                  <w:vAlign w:val="center"/>
                </w:tcPr>
                <w:p w14:paraId="5631F30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p>
              </w:tc>
              <w:tc>
                <w:tcPr>
                  <w:tcW w:w="1144" w:type="dxa"/>
                  <w:vMerge w:val="continue"/>
                  <w:vAlign w:val="center"/>
                </w:tcPr>
                <w:p w14:paraId="17FF638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p>
              </w:tc>
              <w:tc>
                <w:tcPr>
                  <w:tcW w:w="1237" w:type="dxa"/>
                  <w:vAlign w:val="center"/>
                </w:tcPr>
                <w:p w14:paraId="061A9F9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排放浓度mg/m</w:t>
                  </w:r>
                  <w:r>
                    <w:rPr>
                      <w:rFonts w:hint="default" w:ascii="Times New Roman" w:hAnsi="Times New Roman" w:eastAsia="宋体" w:cs="Times New Roman"/>
                      <w:b w:val="0"/>
                      <w:bCs w:val="0"/>
                      <w:color w:val="auto"/>
                      <w:kern w:val="2"/>
                      <w:sz w:val="21"/>
                      <w:szCs w:val="18"/>
                      <w:vertAlign w:val="superscript"/>
                      <w:lang w:val="en-US" w:eastAsia="zh-CN" w:bidi="ar-SA"/>
                    </w:rPr>
                    <w:t>3</w:t>
                  </w:r>
                </w:p>
              </w:tc>
              <w:tc>
                <w:tcPr>
                  <w:tcW w:w="918" w:type="dxa"/>
                  <w:vAlign w:val="center"/>
                </w:tcPr>
                <w:p w14:paraId="446060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排放速率kg/h</w:t>
                  </w:r>
                </w:p>
              </w:tc>
              <w:tc>
                <w:tcPr>
                  <w:tcW w:w="1378" w:type="dxa"/>
                  <w:vAlign w:val="center"/>
                </w:tcPr>
                <w:p w14:paraId="3E7FF2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频次及持续时间</w:t>
                  </w:r>
                </w:p>
              </w:tc>
              <w:tc>
                <w:tcPr>
                  <w:tcW w:w="1378" w:type="dxa"/>
                  <w:vAlign w:val="center"/>
                </w:tcPr>
                <w:p w14:paraId="45E97E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排放量kg/a</w:t>
                  </w:r>
                </w:p>
              </w:tc>
            </w:tr>
            <w:tr w14:paraId="6A36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9" w:type="dxa"/>
                  <w:shd w:val="clear" w:color="auto" w:fill="auto"/>
                  <w:vAlign w:val="center"/>
                </w:tcPr>
                <w:p w14:paraId="3E72DB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DA001(注塑工段）</w:t>
                  </w:r>
                </w:p>
              </w:tc>
              <w:tc>
                <w:tcPr>
                  <w:tcW w:w="1144" w:type="dxa"/>
                  <w:shd w:val="clear" w:color="auto" w:fill="auto"/>
                  <w:vAlign w:val="center"/>
                </w:tcPr>
                <w:p w14:paraId="51FFC34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非甲烷总烃</w:t>
                  </w:r>
                </w:p>
              </w:tc>
              <w:tc>
                <w:tcPr>
                  <w:tcW w:w="1237" w:type="dxa"/>
                  <w:vAlign w:val="center"/>
                </w:tcPr>
                <w:p w14:paraId="34B2F28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3.15</w:t>
                  </w:r>
                </w:p>
              </w:tc>
              <w:tc>
                <w:tcPr>
                  <w:tcW w:w="918" w:type="dxa"/>
                  <w:vAlign w:val="center"/>
                </w:tcPr>
                <w:p w14:paraId="0EB0E0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0.063</w:t>
                  </w:r>
                </w:p>
              </w:tc>
              <w:tc>
                <w:tcPr>
                  <w:tcW w:w="1378" w:type="dxa"/>
                  <w:vAlign w:val="center"/>
                </w:tcPr>
                <w:p w14:paraId="2A7F89F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1次/a，1h/次</w:t>
                  </w:r>
                </w:p>
              </w:tc>
              <w:tc>
                <w:tcPr>
                  <w:tcW w:w="1378" w:type="dxa"/>
                  <w:vAlign w:val="center"/>
                </w:tcPr>
                <w:p w14:paraId="53FA187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0.063</w:t>
                  </w:r>
                </w:p>
              </w:tc>
            </w:tr>
            <w:tr w14:paraId="42C2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9" w:type="dxa"/>
                  <w:shd w:val="clear" w:color="auto" w:fill="auto"/>
                  <w:vAlign w:val="center"/>
                </w:tcPr>
                <w:p w14:paraId="5C52802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DA002（焊接工段）</w:t>
                  </w:r>
                </w:p>
              </w:tc>
              <w:tc>
                <w:tcPr>
                  <w:tcW w:w="1144" w:type="dxa"/>
                  <w:shd w:val="clear" w:color="auto" w:fill="auto"/>
                  <w:vAlign w:val="center"/>
                </w:tcPr>
                <w:p w14:paraId="5A324DB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颗粒物</w:t>
                  </w:r>
                </w:p>
              </w:tc>
              <w:tc>
                <w:tcPr>
                  <w:tcW w:w="1237" w:type="dxa"/>
                  <w:vAlign w:val="center"/>
                </w:tcPr>
                <w:p w14:paraId="4C690A4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0.074</w:t>
                  </w:r>
                </w:p>
              </w:tc>
              <w:tc>
                <w:tcPr>
                  <w:tcW w:w="918" w:type="dxa"/>
                  <w:vAlign w:val="center"/>
                </w:tcPr>
                <w:p w14:paraId="17B717E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0.00037</w:t>
                  </w:r>
                </w:p>
              </w:tc>
              <w:tc>
                <w:tcPr>
                  <w:tcW w:w="1378" w:type="dxa"/>
                  <w:vAlign w:val="center"/>
                </w:tcPr>
                <w:p w14:paraId="40DB7F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default" w:ascii="Times New Roman" w:hAnsi="Times New Roman" w:eastAsia="宋体" w:cs="Times New Roman"/>
                      <w:b w:val="0"/>
                      <w:bCs w:val="0"/>
                      <w:color w:val="auto"/>
                      <w:kern w:val="2"/>
                      <w:sz w:val="21"/>
                      <w:szCs w:val="18"/>
                      <w:vertAlign w:val="baseline"/>
                      <w:lang w:val="en-US" w:eastAsia="zh-CN" w:bidi="ar-SA"/>
                    </w:rPr>
                    <w:t>1次/a，1h/次</w:t>
                  </w:r>
                </w:p>
              </w:tc>
              <w:tc>
                <w:tcPr>
                  <w:tcW w:w="1378" w:type="dxa"/>
                  <w:vAlign w:val="center"/>
                </w:tcPr>
                <w:p w14:paraId="785C19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val="0"/>
                      <w:color w:val="auto"/>
                      <w:kern w:val="2"/>
                      <w:sz w:val="21"/>
                      <w:szCs w:val="18"/>
                      <w:vertAlign w:val="baseline"/>
                      <w:lang w:val="en-US" w:eastAsia="zh-CN" w:bidi="ar-SA"/>
                    </w:rPr>
                  </w:pPr>
                  <w:r>
                    <w:rPr>
                      <w:rFonts w:hint="eastAsia" w:ascii="Times New Roman" w:hAnsi="Times New Roman" w:eastAsia="宋体" w:cs="Times New Roman"/>
                      <w:b w:val="0"/>
                      <w:bCs w:val="0"/>
                      <w:color w:val="auto"/>
                      <w:kern w:val="2"/>
                      <w:sz w:val="21"/>
                      <w:szCs w:val="18"/>
                      <w:vertAlign w:val="baseline"/>
                      <w:lang w:val="en-US" w:eastAsia="zh-CN" w:bidi="ar-SA"/>
                    </w:rPr>
                    <w:t>0.00037</w:t>
                  </w:r>
                </w:p>
              </w:tc>
            </w:tr>
          </w:tbl>
          <w:p w14:paraId="50BFBE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由上表可知，非正常工况下，排气筒排放的污染物浓度比正常工况要大得多，说明事故排放会对外界环境噪声较大影响，为防止生产废气非正常工况排放，企业必须加强废气处理设施的管理，定期检修。确保废气处理设施的正常运行。在废气处理设备停止运行或出现故障时，产生废气的各工序也必须相应停止生产，为杜绝废气非正常排放，应采取以下措施确保废气达标排放：</w:t>
            </w:r>
          </w:p>
          <w:p w14:paraId="20346C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①安排专业负责环保设备的日常维护和管理，定期检查、汇报情况及时发现废气处理设备的隐患，确保废气处理系统正常运作；</w:t>
            </w:r>
          </w:p>
          <w:p w14:paraId="381C1D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②定期更换废气处理设备装置中的活性炭、布袋除尘器定期清灰；</w:t>
            </w:r>
          </w:p>
          <w:p w14:paraId="0F5E39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③建立健全的环保管理机构，对环保管理人员和技术人员进行岗位培训，委托具有专业资质的环境检测单位对项目排放的污染物进行定期检测；</w:t>
            </w:r>
          </w:p>
          <w:p w14:paraId="2A278B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sz w:val="24"/>
                <w:szCs w:val="22"/>
                <w:lang w:val="en-US" w:eastAsia="zh-CN"/>
              </w:rPr>
              <w:t>④定期维护、检修废气处理装置，以保持废气处理装置的净化能力和净化容</w:t>
            </w:r>
            <w:r>
              <w:rPr>
                <w:rFonts w:hint="eastAsia" w:ascii="Times New Roman" w:hAnsi="Times New Roman" w:eastAsia="宋体" w:cs="Times New Roman"/>
                <w:b w:val="0"/>
                <w:bCs w:val="0"/>
                <w:color w:val="auto"/>
                <w:kern w:val="2"/>
                <w:sz w:val="24"/>
                <w:szCs w:val="21"/>
                <w:lang w:val="en-US" w:eastAsia="zh-CN" w:bidi="ar-SA"/>
              </w:rPr>
              <w:t>量。</w:t>
            </w:r>
          </w:p>
          <w:p w14:paraId="1FE460F6">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2" w:firstLineChars="200"/>
              <w:rPr>
                <w:rFonts w:hint="default" w:ascii="Times New Roman" w:hAnsi="Times New Roman" w:cs="Times New Roman"/>
                <w:b/>
                <w:bCs/>
                <w:color w:val="auto"/>
                <w:sz w:val="24"/>
                <w:szCs w:val="21"/>
                <w:highlight w:val="none"/>
                <w:lang w:val="en-US" w:eastAsia="zh-CN"/>
              </w:rPr>
            </w:pPr>
            <w:r>
              <w:rPr>
                <w:rFonts w:hint="default" w:ascii="Times New Roman" w:hAnsi="Times New Roman" w:cs="Times New Roman"/>
                <w:b/>
                <w:bCs/>
                <w:color w:val="auto"/>
                <w:kern w:val="2"/>
                <w:sz w:val="24"/>
                <w:szCs w:val="21"/>
                <w:lang w:val="en-US" w:eastAsia="zh-CN" w:bidi="ar-SA"/>
              </w:rPr>
              <w:t>3、大气</w:t>
            </w:r>
            <w:r>
              <w:rPr>
                <w:rFonts w:hint="default" w:ascii="Times New Roman" w:hAnsi="Times New Roman" w:cs="Times New Roman"/>
                <w:b/>
                <w:bCs/>
                <w:color w:val="auto"/>
                <w:sz w:val="24"/>
                <w:szCs w:val="21"/>
                <w:highlight w:val="none"/>
                <w:lang w:val="en-US" w:eastAsia="zh-CN"/>
              </w:rPr>
              <w:t>污染物</w:t>
            </w:r>
            <w:r>
              <w:rPr>
                <w:rFonts w:hint="eastAsia" w:ascii="Times New Roman" w:hAnsi="Times New Roman" w:cs="Times New Roman"/>
                <w:b/>
                <w:bCs/>
                <w:color w:val="auto"/>
                <w:sz w:val="24"/>
                <w:szCs w:val="21"/>
                <w:highlight w:val="none"/>
                <w:lang w:val="en-US" w:eastAsia="zh-CN"/>
              </w:rPr>
              <w:t>防治</w:t>
            </w:r>
            <w:r>
              <w:rPr>
                <w:rFonts w:hint="default" w:ascii="Times New Roman" w:hAnsi="Times New Roman" w:cs="Times New Roman"/>
                <w:b/>
                <w:bCs/>
                <w:color w:val="auto"/>
                <w:sz w:val="24"/>
                <w:szCs w:val="21"/>
                <w:highlight w:val="none"/>
                <w:lang w:val="en-US" w:eastAsia="zh-CN"/>
              </w:rPr>
              <w:t>措施可行性分析</w:t>
            </w:r>
          </w:p>
          <w:p w14:paraId="16A549C8">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1）有组织废气排放防治措施</w:t>
            </w:r>
          </w:p>
          <w:p w14:paraId="2CF0CAE2">
            <w:pPr>
              <w:keepNext w:val="0"/>
              <w:keepLines w:val="0"/>
              <w:suppressLineNumbers w:val="0"/>
              <w:spacing w:before="0" w:beforeAutospacing="0" w:after="0" w:afterAutospacing="0" w:line="360" w:lineRule="auto"/>
              <w:ind w:left="0" w:right="0" w:firstLine="480"/>
              <w:rPr>
                <w:rFonts w:hint="default" w:cs="Times New Roman"/>
                <w:color w:val="FF0000"/>
                <w:sz w:val="24"/>
                <w:lang w:val="en-US" w:eastAsia="zh-CN"/>
              </w:rPr>
            </w:pPr>
            <w:r>
              <w:rPr>
                <w:rFonts w:hint="eastAsia" w:cs="Times New Roman"/>
                <w:color w:val="000000" w:themeColor="text1"/>
                <w:sz w:val="24"/>
                <w:lang w:val="en-US" w:eastAsia="zh-CN"/>
                <w14:textFill>
                  <w14:solidFill>
                    <w14:schemeClr w14:val="tx1"/>
                  </w14:solidFill>
                </w14:textFill>
              </w:rPr>
              <w:t>本项目有机废气收集后经</w:t>
            </w:r>
            <w:r>
              <w:rPr>
                <w:rFonts w:hint="eastAsia" w:cs="Times New Roman"/>
                <w:color w:val="FF0000"/>
                <w:sz w:val="24"/>
                <w:lang w:val="en-US" w:eastAsia="zh-CN"/>
              </w:rPr>
              <w:t>“活性炭吸附+催化燃烧”装置处理</w:t>
            </w:r>
            <w:r>
              <w:rPr>
                <w:rFonts w:hint="eastAsia" w:cs="Times New Roman"/>
                <w:color w:val="000000" w:themeColor="text1"/>
                <w:sz w:val="24"/>
                <w:lang w:val="en-US" w:eastAsia="zh-CN"/>
                <w14:textFill>
                  <w14:solidFill>
                    <w14:schemeClr w14:val="tx1"/>
                  </w14:solidFill>
                </w14:textFill>
              </w:rPr>
              <w:t>，属于《排污许可证申请与核发技术规范    橡胶和塑料制品工业》（HJ1122-2020）表A.2塑料制品工业排污单位废气污染防治可行技术参考表中塑料零件及其他塑料制品污染物非甲烷总烃的可行技术，因此，</w:t>
            </w:r>
            <w:r>
              <w:rPr>
                <w:rFonts w:hint="eastAsia" w:cs="Times New Roman"/>
                <w:color w:val="FF0000"/>
                <w:sz w:val="24"/>
                <w:lang w:val="en-US" w:eastAsia="zh-CN"/>
              </w:rPr>
              <w:t>本项目有机废气治理措施-活性炭吸附+催化燃烧是可行技术。</w:t>
            </w:r>
          </w:p>
          <w:p w14:paraId="57511627">
            <w:pPr>
              <w:keepNext w:val="0"/>
              <w:keepLines w:val="0"/>
              <w:suppressLineNumbers w:val="0"/>
              <w:spacing w:before="0" w:beforeAutospacing="0" w:after="0" w:afterAutospacing="0" w:line="360" w:lineRule="auto"/>
              <w:ind w:left="0" w:right="0" w:firstLine="480"/>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本项目焊接烟尘采取集气罩+集气管道+脉冲布袋除尘器处理。布袋除尘器是颗粒物治理措施的常用措施，参考生态环境部2021年6月发布的《排放源统计调查产排污核算方法和系数手册》中的《33 金属制品业、34通用设备制造业、35专用设备制造业、36汽车制造业、37铁路、船舶、航空航天和其他运输设备制造业、431金属制品修理、432 通用设备修理、433 专用设备修理、434 铁路、船舶、航空航天等运输设备修理(不包括电镀工艺)行业系数手册》09焊接:脉冲布袋除尘器的处理效率为95%。故，项目焊接烟尘采用袋式除尘器处理是可行的。</w:t>
            </w:r>
          </w:p>
          <w:p w14:paraId="6A5F07E5">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2）无组织废气排放防治措施</w:t>
            </w:r>
          </w:p>
          <w:p w14:paraId="562A054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上文源强核算，本项目无组织污染物主要产生在点胶固化和粉碎工段，点胶固化、粉碎原料使用量较少，故相应的污染物产生量较小，项目生产过程均在封闭车间内，经过自然沉降，可有效减少无组织的逸散。可满足</w:t>
            </w:r>
            <w:r>
              <w:rPr>
                <w:rFonts w:hint="default" w:ascii="Times New Roman" w:hAnsi="Times New Roman" w:eastAsia="宋体" w:cs="Times New Roman"/>
                <w:color w:val="auto"/>
                <w:kern w:val="2"/>
                <w:sz w:val="24"/>
                <w:szCs w:val="24"/>
                <w:lang w:val="en-US" w:eastAsia="zh-CN" w:bidi="ar"/>
              </w:rPr>
              <w:t>《合成树脂工业污染物排放标准》表9规定的</w:t>
            </w:r>
            <w:r>
              <w:rPr>
                <w:rFonts w:hint="eastAsia" w:ascii="Times New Roman" w:hAnsi="Times New Roman" w:eastAsia="宋体" w:cs="Times New Roman"/>
                <w:color w:val="auto"/>
                <w:kern w:val="2"/>
                <w:sz w:val="24"/>
                <w:szCs w:val="24"/>
                <w:lang w:val="en-US" w:eastAsia="zh-CN" w:bidi="ar"/>
              </w:rPr>
              <w:t>排放</w:t>
            </w:r>
            <w:r>
              <w:rPr>
                <w:rFonts w:hint="default" w:ascii="Times New Roman" w:hAnsi="Times New Roman" w:eastAsia="宋体" w:cs="Times New Roman"/>
                <w:color w:val="auto"/>
                <w:kern w:val="2"/>
                <w:sz w:val="24"/>
                <w:szCs w:val="24"/>
                <w:lang w:val="en-US" w:eastAsia="zh-CN" w:bidi="ar"/>
              </w:rPr>
              <w:t>限值</w:t>
            </w:r>
            <w:r>
              <w:rPr>
                <w:rFonts w:hint="eastAsia" w:cs="Times New Roman"/>
                <w:color w:val="000000" w:themeColor="text1"/>
                <w:sz w:val="24"/>
                <w:lang w:val="en-US" w:eastAsia="zh-CN"/>
                <w14:textFill>
                  <w14:solidFill>
                    <w14:schemeClr w14:val="tx1"/>
                  </w14:solidFill>
                </w14:textFill>
              </w:rPr>
              <w:t>。</w:t>
            </w:r>
          </w:p>
          <w:p w14:paraId="05B8F837">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1"/>
                <w:highlight w:val="none"/>
                <w:lang w:val="en-US" w:eastAsia="zh-CN"/>
              </w:rPr>
              <w:t>4、废气监测计划</w:t>
            </w:r>
          </w:p>
          <w:p w14:paraId="1BEA8D20">
            <w:pPr>
              <w:pStyle w:val="54"/>
              <w:keepNext/>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根据《排污单位自行监测技术指南总则》（HJ819-2017），本项目废气监测计划见表4-</w:t>
            </w:r>
            <w:r>
              <w:rPr>
                <w:rFonts w:hint="eastAsia" w:cs="Times New Roman"/>
                <w:b w:val="0"/>
                <w:bCs/>
                <w:color w:val="auto"/>
                <w:sz w:val="24"/>
                <w:szCs w:val="24"/>
                <w:lang w:val="en-US" w:eastAsia="zh-CN"/>
              </w:rPr>
              <w:t>3</w:t>
            </w:r>
            <w:r>
              <w:rPr>
                <w:rFonts w:hint="default" w:ascii="Times New Roman" w:hAnsi="Times New Roman" w:cs="Times New Roman"/>
                <w:b w:val="0"/>
                <w:bCs/>
                <w:color w:val="auto"/>
                <w:sz w:val="24"/>
                <w:szCs w:val="24"/>
              </w:rPr>
              <w:t>。</w:t>
            </w:r>
          </w:p>
          <w:p w14:paraId="205299F0">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firstLine="1687" w:firstLineChars="800"/>
              <w:jc w:val="both"/>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 xml:space="preserve">表4-3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运营期大气污染源监测计划</w:t>
            </w:r>
          </w:p>
          <w:tbl>
            <w:tblPr>
              <w:tblStyle w:val="35"/>
              <w:tblW w:w="4989"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2"/>
              <w:gridCol w:w="1252"/>
              <w:gridCol w:w="1442"/>
              <w:gridCol w:w="900"/>
              <w:gridCol w:w="872"/>
              <w:gridCol w:w="3003"/>
            </w:tblGrid>
            <w:tr w14:paraId="7997E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2" w:type="dxa"/>
                  <w:tcBorders>
                    <w:tl2br w:val="nil"/>
                    <w:tr2bl w:val="nil"/>
                  </w:tcBorders>
                  <w:vAlign w:val="center"/>
                </w:tcPr>
                <w:p w14:paraId="47A7B280">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监测类别</w:t>
                  </w:r>
                </w:p>
              </w:tc>
              <w:tc>
                <w:tcPr>
                  <w:tcW w:w="1252" w:type="dxa"/>
                  <w:tcBorders>
                    <w:tl2br w:val="nil"/>
                    <w:tr2bl w:val="nil"/>
                  </w:tcBorders>
                  <w:vAlign w:val="center"/>
                </w:tcPr>
                <w:p w14:paraId="7B3F17FE">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监测地点</w:t>
                  </w:r>
                </w:p>
              </w:tc>
              <w:tc>
                <w:tcPr>
                  <w:tcW w:w="1443" w:type="dxa"/>
                  <w:tcBorders>
                    <w:tl2br w:val="nil"/>
                    <w:tr2bl w:val="nil"/>
                  </w:tcBorders>
                  <w:vAlign w:val="center"/>
                </w:tcPr>
                <w:p w14:paraId="2D65D09F">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监测点位</w:t>
                  </w:r>
                </w:p>
              </w:tc>
              <w:tc>
                <w:tcPr>
                  <w:tcW w:w="900" w:type="dxa"/>
                  <w:tcBorders>
                    <w:tl2br w:val="nil"/>
                    <w:tr2bl w:val="nil"/>
                  </w:tcBorders>
                  <w:vAlign w:val="center"/>
                </w:tcPr>
                <w:p w14:paraId="1239DBA8">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监测项目</w:t>
                  </w:r>
                </w:p>
              </w:tc>
              <w:tc>
                <w:tcPr>
                  <w:tcW w:w="872" w:type="dxa"/>
                  <w:tcBorders>
                    <w:tl2br w:val="nil"/>
                    <w:tr2bl w:val="nil"/>
                  </w:tcBorders>
                  <w:vAlign w:val="center"/>
                </w:tcPr>
                <w:p w14:paraId="0A008ABB">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监测频次</w:t>
                  </w:r>
                </w:p>
              </w:tc>
              <w:tc>
                <w:tcPr>
                  <w:tcW w:w="3004" w:type="dxa"/>
                  <w:tcBorders>
                    <w:tl2br w:val="nil"/>
                    <w:tr2bl w:val="nil"/>
                  </w:tcBorders>
                  <w:vAlign w:val="center"/>
                </w:tcPr>
                <w:p w14:paraId="03E48104">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14:textFill>
                        <w14:solidFill>
                          <w14:schemeClr w14:val="tx1"/>
                        </w14:solidFill>
                      </w14:textFill>
                    </w:rPr>
                  </w:pPr>
                  <w:r>
                    <w:rPr>
                      <w:rFonts w:hint="default" w:ascii="Times New Roman" w:hAnsi="Times New Roman" w:cs="Times New Roman"/>
                      <w:b/>
                      <w:bCs/>
                      <w:color w:val="000000" w:themeColor="text1"/>
                      <w:highlight w:val="none"/>
                      <w:u w:val="none"/>
                      <w14:textFill>
                        <w14:solidFill>
                          <w14:schemeClr w14:val="tx1"/>
                        </w14:solidFill>
                      </w14:textFill>
                    </w:rPr>
                    <w:t>执行标准</w:t>
                  </w:r>
                </w:p>
              </w:tc>
            </w:tr>
            <w:tr w14:paraId="6002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2" w:type="dxa"/>
                  <w:vMerge w:val="restart"/>
                  <w:tcBorders>
                    <w:tl2br w:val="nil"/>
                    <w:tr2bl w:val="nil"/>
                  </w:tcBorders>
                  <w:vAlign w:val="center"/>
                </w:tcPr>
                <w:p w14:paraId="3E34FD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rPr>
                  </w:pPr>
                  <w:r>
                    <w:rPr>
                      <w:rFonts w:hint="default" w:ascii="Times New Roman" w:hAnsi="Times New Roman" w:eastAsia="宋体" w:cs="Times New Roman"/>
                      <w:color w:val="FF0000"/>
                      <w:highlight w:val="none"/>
                      <w:u w:val="none"/>
                    </w:rPr>
                    <w:t>有组织废气</w:t>
                  </w:r>
                </w:p>
              </w:tc>
              <w:tc>
                <w:tcPr>
                  <w:tcW w:w="1252" w:type="dxa"/>
                  <w:tcBorders>
                    <w:tl2br w:val="nil"/>
                    <w:tr2bl w:val="nil"/>
                  </w:tcBorders>
                  <w:vAlign w:val="center"/>
                </w:tcPr>
                <w:p w14:paraId="4F47C4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lang w:val="en-US" w:eastAsia="zh-CN"/>
                    </w:rPr>
                  </w:pPr>
                  <w:r>
                    <w:rPr>
                      <w:rFonts w:hint="default" w:ascii="Times New Roman" w:hAnsi="Times New Roman" w:eastAsia="宋体" w:cs="Times New Roman"/>
                      <w:color w:val="FF0000"/>
                      <w:highlight w:val="none"/>
                      <w:u w:val="none"/>
                      <w:lang w:val="en-US" w:eastAsia="zh-CN"/>
                    </w:rPr>
                    <w:t>注塑废气排气筒</w:t>
                  </w:r>
                </w:p>
                <w:p w14:paraId="13DA39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lang w:val="en-US" w:eastAsia="zh-CN"/>
                    </w:rPr>
                  </w:pPr>
                  <w:r>
                    <w:rPr>
                      <w:rFonts w:hint="default" w:ascii="Times New Roman" w:hAnsi="Times New Roman" w:eastAsia="宋体" w:cs="Times New Roman"/>
                      <w:color w:val="FF0000"/>
                      <w:highlight w:val="none"/>
                      <w:u w:val="none"/>
                      <w:lang w:val="en-US" w:eastAsia="zh-CN"/>
                    </w:rPr>
                    <w:t>DA001</w:t>
                  </w:r>
                </w:p>
              </w:tc>
              <w:tc>
                <w:tcPr>
                  <w:tcW w:w="1443" w:type="dxa"/>
                  <w:vMerge w:val="restart"/>
                  <w:tcBorders>
                    <w:tl2br w:val="nil"/>
                    <w:tr2bl w:val="nil"/>
                  </w:tcBorders>
                  <w:vAlign w:val="center"/>
                </w:tcPr>
                <w:p w14:paraId="7B5E04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lang w:val="en-US" w:eastAsia="zh-CN"/>
                    </w:rPr>
                  </w:pPr>
                  <w:r>
                    <w:rPr>
                      <w:rFonts w:hint="default" w:ascii="Times New Roman" w:hAnsi="Times New Roman" w:eastAsia="宋体" w:cs="Times New Roman"/>
                      <w:color w:val="FF0000"/>
                      <w:highlight w:val="none"/>
                      <w:u w:val="none"/>
                      <w:lang w:val="en-US" w:eastAsia="zh-CN"/>
                    </w:rPr>
                    <w:t>排气筒采样口</w:t>
                  </w:r>
                </w:p>
              </w:tc>
              <w:tc>
                <w:tcPr>
                  <w:tcW w:w="900" w:type="dxa"/>
                  <w:tcBorders>
                    <w:tl2br w:val="nil"/>
                    <w:tr2bl w:val="nil"/>
                  </w:tcBorders>
                  <w:vAlign w:val="center"/>
                </w:tcPr>
                <w:p w14:paraId="6F963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FF0000"/>
                      <w:highlight w:val="none"/>
                      <w:u w:val="none"/>
                      <w:lang w:eastAsia="zh-CN"/>
                    </w:rPr>
                  </w:pPr>
                  <w:r>
                    <w:rPr>
                      <w:rFonts w:hint="default" w:ascii="Times New Roman" w:hAnsi="Times New Roman" w:eastAsia="宋体" w:cs="Times New Roman"/>
                      <w:color w:val="FF0000"/>
                      <w:highlight w:val="none"/>
                      <w:u w:val="none"/>
                      <w:lang w:val="en-US" w:eastAsia="zh-CN"/>
                    </w:rPr>
                    <w:t>非甲烷总烃</w:t>
                  </w:r>
                </w:p>
              </w:tc>
              <w:tc>
                <w:tcPr>
                  <w:tcW w:w="872" w:type="dxa"/>
                  <w:tcBorders>
                    <w:tl2br w:val="nil"/>
                    <w:tr2bl w:val="nil"/>
                  </w:tcBorders>
                  <w:vAlign w:val="center"/>
                </w:tcPr>
                <w:p w14:paraId="149BA9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rPr>
                  </w:pPr>
                  <w:r>
                    <w:rPr>
                      <w:rFonts w:hint="default" w:ascii="Times New Roman" w:hAnsi="Times New Roman" w:eastAsia="宋体" w:cs="Times New Roman"/>
                      <w:color w:val="FF0000"/>
                      <w:highlight w:val="none"/>
                      <w:u w:val="none"/>
                      <w:lang w:val="en-US" w:eastAsia="zh-CN"/>
                    </w:rPr>
                    <w:t>1次/</w:t>
                  </w:r>
                  <w:r>
                    <w:rPr>
                      <w:rFonts w:hint="default" w:ascii="Times New Roman" w:hAnsi="Times New Roman" w:eastAsia="宋体" w:cs="Times New Roman"/>
                      <w:color w:val="FF0000"/>
                      <w:highlight w:val="none"/>
                      <w:u w:val="none"/>
                    </w:rPr>
                    <w:t>年</w:t>
                  </w:r>
                </w:p>
              </w:tc>
              <w:tc>
                <w:tcPr>
                  <w:tcW w:w="3004" w:type="dxa"/>
                  <w:tcBorders>
                    <w:tl2br w:val="nil"/>
                    <w:tr2bl w:val="nil"/>
                  </w:tcBorders>
                  <w:vAlign w:val="center"/>
                </w:tcPr>
                <w:p w14:paraId="569A8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《合成树脂制品工业污染物排放标准》（GB31572-2015）表4大气污染物排放限值</w:t>
                  </w:r>
                </w:p>
              </w:tc>
            </w:tr>
            <w:tr w14:paraId="1CBF2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1" w:hRule="atLeast"/>
              </w:trPr>
              <w:tc>
                <w:tcPr>
                  <w:tcW w:w="762" w:type="dxa"/>
                  <w:vMerge w:val="continue"/>
                  <w:tcBorders>
                    <w:tl2br w:val="nil"/>
                    <w:tr2bl w:val="nil"/>
                  </w:tcBorders>
                  <w:vAlign w:val="center"/>
                </w:tcPr>
                <w:p w14:paraId="61F7F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rPr>
                  </w:pPr>
                </w:p>
              </w:tc>
              <w:tc>
                <w:tcPr>
                  <w:tcW w:w="1252" w:type="dxa"/>
                  <w:vMerge w:val="restart"/>
                  <w:tcBorders>
                    <w:tl2br w:val="nil"/>
                    <w:tr2bl w:val="nil"/>
                  </w:tcBorders>
                  <w:vAlign w:val="center"/>
                </w:tcPr>
                <w:p w14:paraId="18D554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lang w:val="en-US" w:eastAsia="zh-CN"/>
                    </w:rPr>
                  </w:pPr>
                  <w:r>
                    <w:rPr>
                      <w:rFonts w:hint="default" w:ascii="Times New Roman" w:hAnsi="Times New Roman" w:eastAsia="宋体" w:cs="Times New Roman"/>
                      <w:color w:val="FF0000"/>
                      <w:highlight w:val="none"/>
                      <w:u w:val="none"/>
                      <w:lang w:val="en-US" w:eastAsia="zh-CN"/>
                    </w:rPr>
                    <w:t>焊接废气排气筒</w:t>
                  </w:r>
                </w:p>
                <w:p w14:paraId="11AB03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lang w:val="en-US" w:eastAsia="zh-CN"/>
                    </w:rPr>
                  </w:pPr>
                  <w:r>
                    <w:rPr>
                      <w:rFonts w:hint="default" w:ascii="Times New Roman" w:hAnsi="Times New Roman" w:eastAsia="宋体" w:cs="Times New Roman"/>
                      <w:color w:val="FF0000"/>
                      <w:highlight w:val="none"/>
                      <w:u w:val="none"/>
                      <w:lang w:val="en-US" w:eastAsia="zh-CN"/>
                    </w:rPr>
                    <w:t>DA002</w:t>
                  </w:r>
                </w:p>
              </w:tc>
              <w:tc>
                <w:tcPr>
                  <w:tcW w:w="1443" w:type="dxa"/>
                  <w:vMerge w:val="continue"/>
                  <w:tcBorders>
                    <w:tl2br w:val="nil"/>
                    <w:tr2bl w:val="nil"/>
                  </w:tcBorders>
                  <w:vAlign w:val="center"/>
                </w:tcPr>
                <w:p w14:paraId="1D3DF8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lang w:eastAsia="zh-CN"/>
                    </w:rPr>
                  </w:pPr>
                </w:p>
              </w:tc>
              <w:tc>
                <w:tcPr>
                  <w:tcW w:w="900" w:type="dxa"/>
                  <w:tcBorders>
                    <w:tl2br w:val="nil"/>
                    <w:tr2bl w:val="nil"/>
                  </w:tcBorders>
                  <w:vAlign w:val="center"/>
                </w:tcPr>
                <w:p w14:paraId="0C9BC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FF0000"/>
                      <w:highlight w:val="none"/>
                      <w:u w:val="none"/>
                      <w:lang w:val="en-US" w:eastAsia="zh-CN"/>
                    </w:rPr>
                  </w:pPr>
                  <w:r>
                    <w:rPr>
                      <w:rFonts w:hint="default" w:ascii="Times New Roman" w:hAnsi="Times New Roman" w:eastAsia="宋体" w:cs="Times New Roman"/>
                      <w:color w:val="FF0000"/>
                      <w:highlight w:val="none"/>
                      <w:u w:val="none"/>
                    </w:rPr>
                    <w:t>颗粒物</w:t>
                  </w:r>
                </w:p>
              </w:tc>
              <w:tc>
                <w:tcPr>
                  <w:tcW w:w="872" w:type="dxa"/>
                  <w:vMerge w:val="restart"/>
                  <w:tcBorders>
                    <w:tl2br w:val="nil"/>
                    <w:tr2bl w:val="nil"/>
                  </w:tcBorders>
                  <w:vAlign w:val="center"/>
                </w:tcPr>
                <w:p w14:paraId="583DD0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4"/>
                      <w:highlight w:val="none"/>
                      <w:u w:val="none"/>
                      <w:lang w:val="en-US" w:eastAsia="zh-CN" w:bidi="ar-SA"/>
                    </w:rPr>
                  </w:pPr>
                  <w:r>
                    <w:rPr>
                      <w:rFonts w:hint="default" w:ascii="Times New Roman" w:hAnsi="Times New Roman" w:eastAsia="宋体" w:cs="Times New Roman"/>
                      <w:color w:val="FF0000"/>
                      <w:highlight w:val="none"/>
                      <w:u w:val="none"/>
                      <w:lang w:val="en-US" w:eastAsia="zh-CN"/>
                    </w:rPr>
                    <w:t>1次/</w:t>
                  </w:r>
                  <w:r>
                    <w:rPr>
                      <w:rFonts w:hint="default" w:ascii="Times New Roman" w:hAnsi="Times New Roman" w:eastAsia="宋体" w:cs="Times New Roman"/>
                      <w:color w:val="FF0000"/>
                      <w:highlight w:val="none"/>
                      <w:u w:val="none"/>
                    </w:rPr>
                    <w:t>年</w:t>
                  </w:r>
                </w:p>
              </w:tc>
              <w:tc>
                <w:tcPr>
                  <w:tcW w:w="3004" w:type="dxa"/>
                  <w:vMerge w:val="restart"/>
                  <w:tcBorders>
                    <w:tl2br w:val="nil"/>
                    <w:tr2bl w:val="nil"/>
                  </w:tcBorders>
                  <w:vAlign w:val="center"/>
                </w:tcPr>
                <w:p w14:paraId="044FB8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《大气污染物综合排放标准》（GB16297-1996）表2排放限值</w:t>
                  </w:r>
                </w:p>
              </w:tc>
            </w:tr>
            <w:tr w14:paraId="59366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trPr>
              <w:tc>
                <w:tcPr>
                  <w:tcW w:w="762" w:type="dxa"/>
                  <w:vMerge w:val="restart"/>
                  <w:tcBorders>
                    <w:tl2br w:val="nil"/>
                    <w:tr2bl w:val="nil"/>
                  </w:tcBorders>
                  <w:vAlign w:val="center"/>
                </w:tcPr>
                <w:p w14:paraId="58DFA9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无组织废气</w:t>
                  </w:r>
                </w:p>
              </w:tc>
              <w:tc>
                <w:tcPr>
                  <w:tcW w:w="1252" w:type="dxa"/>
                  <w:vMerge w:val="restart"/>
                  <w:tcBorders>
                    <w:tl2br w:val="nil"/>
                    <w:tr2bl w:val="nil"/>
                  </w:tcBorders>
                  <w:vAlign w:val="center"/>
                </w:tcPr>
                <w:p w14:paraId="3D1083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厂界</w:t>
                  </w:r>
                </w:p>
              </w:tc>
              <w:tc>
                <w:tcPr>
                  <w:tcW w:w="1443" w:type="dxa"/>
                  <w:vMerge w:val="restart"/>
                  <w:tcBorders>
                    <w:tl2br w:val="nil"/>
                    <w:tr2bl w:val="nil"/>
                  </w:tcBorders>
                  <w:vAlign w:val="center"/>
                </w:tcPr>
                <w:p w14:paraId="31F149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厂界上风向合设1个参照点、下风向设</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u w:val="none"/>
                      <w14:textFill>
                        <w14:solidFill>
                          <w14:schemeClr w14:val="tx1"/>
                        </w14:solidFill>
                      </w14:textFill>
                    </w:rPr>
                    <w:t>个监控点</w:t>
                  </w:r>
                </w:p>
              </w:tc>
              <w:tc>
                <w:tcPr>
                  <w:tcW w:w="900" w:type="dxa"/>
                  <w:tcBorders>
                    <w:tl2br w:val="nil"/>
                    <w:tr2bl w:val="nil"/>
                  </w:tcBorders>
                  <w:vAlign w:val="center"/>
                </w:tcPr>
                <w:p w14:paraId="5A65C4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非甲烷总烃</w:t>
                  </w:r>
                </w:p>
              </w:tc>
              <w:tc>
                <w:tcPr>
                  <w:tcW w:w="872" w:type="dxa"/>
                  <w:vMerge w:val="restart"/>
                  <w:tcBorders>
                    <w:tl2br w:val="nil"/>
                    <w:tr2bl w:val="nil"/>
                  </w:tcBorders>
                  <w:vAlign w:val="center"/>
                </w:tcPr>
                <w:p w14:paraId="06FA0D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1次/年</w:t>
                  </w:r>
                </w:p>
              </w:tc>
              <w:tc>
                <w:tcPr>
                  <w:tcW w:w="3004" w:type="dxa"/>
                  <w:vMerge w:val="restart"/>
                  <w:tcBorders>
                    <w:tl2br w:val="nil"/>
                    <w:tr2bl w:val="nil"/>
                  </w:tcBorders>
                  <w:vAlign w:val="center"/>
                </w:tcPr>
                <w:p w14:paraId="41BCB436">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《合成树脂制品工业污染物排放标准》（GB31572-2015）表9大气污染物排放限值</w:t>
                  </w:r>
                </w:p>
              </w:tc>
            </w:tr>
            <w:tr w14:paraId="51B12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trPr>
              <w:tc>
                <w:tcPr>
                  <w:tcW w:w="762" w:type="dxa"/>
                  <w:vMerge w:val="continue"/>
                  <w:tcBorders>
                    <w:tl2br w:val="nil"/>
                    <w:tr2bl w:val="nil"/>
                  </w:tcBorders>
                  <w:vAlign w:val="center"/>
                </w:tcPr>
                <w:p w14:paraId="5F355C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1252" w:type="dxa"/>
                  <w:vMerge w:val="continue"/>
                  <w:tcBorders>
                    <w:tl2br w:val="nil"/>
                    <w:tr2bl w:val="nil"/>
                  </w:tcBorders>
                  <w:vAlign w:val="center"/>
                </w:tcPr>
                <w:p w14:paraId="245B7A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1443" w:type="dxa"/>
                  <w:vMerge w:val="continue"/>
                  <w:tcBorders>
                    <w:tl2br w:val="nil"/>
                    <w:tr2bl w:val="nil"/>
                  </w:tcBorders>
                  <w:vAlign w:val="center"/>
                </w:tcPr>
                <w:p w14:paraId="04E2E9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900" w:type="dxa"/>
                  <w:tcBorders>
                    <w:tl2br w:val="nil"/>
                    <w:tr2bl w:val="nil"/>
                  </w:tcBorders>
                  <w:vAlign w:val="center"/>
                </w:tcPr>
                <w:p w14:paraId="3DF23E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颗粒物</w:t>
                  </w:r>
                </w:p>
              </w:tc>
              <w:tc>
                <w:tcPr>
                  <w:tcW w:w="872" w:type="dxa"/>
                  <w:vMerge w:val="continue"/>
                  <w:tcBorders>
                    <w:tl2br w:val="nil"/>
                    <w:tr2bl w:val="nil"/>
                  </w:tcBorders>
                  <w:vAlign w:val="center"/>
                </w:tcPr>
                <w:p w14:paraId="0D8CC7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p>
              </w:tc>
              <w:tc>
                <w:tcPr>
                  <w:tcW w:w="3004" w:type="dxa"/>
                  <w:vMerge w:val="continue"/>
                  <w:tcBorders>
                    <w:tl2br w:val="nil"/>
                    <w:tr2bl w:val="nil"/>
                  </w:tcBorders>
                  <w:vAlign w:val="center"/>
                </w:tcPr>
                <w:p w14:paraId="09DDAF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p>
              </w:tc>
            </w:tr>
            <w:tr w14:paraId="636BE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2" w:type="dxa"/>
                  <w:vMerge w:val="continue"/>
                  <w:tcBorders>
                    <w:tl2br w:val="nil"/>
                    <w:tr2bl w:val="nil"/>
                  </w:tcBorders>
                  <w:vAlign w:val="center"/>
                </w:tcPr>
                <w:p w14:paraId="4AD66A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14:textFill>
                        <w14:solidFill>
                          <w14:schemeClr w14:val="tx1"/>
                        </w14:solidFill>
                      </w14:textFill>
                    </w:rPr>
                  </w:pPr>
                </w:p>
              </w:tc>
              <w:tc>
                <w:tcPr>
                  <w:tcW w:w="1252" w:type="dxa"/>
                  <w:tcBorders>
                    <w:tl2br w:val="nil"/>
                    <w:tr2bl w:val="nil"/>
                  </w:tcBorders>
                  <w:vAlign w:val="center"/>
                </w:tcPr>
                <w:p w14:paraId="3D6FF1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厂区内</w:t>
                  </w:r>
                </w:p>
              </w:tc>
              <w:tc>
                <w:tcPr>
                  <w:tcW w:w="1443" w:type="dxa"/>
                  <w:tcBorders>
                    <w:tl2br w:val="nil"/>
                    <w:tr2bl w:val="nil"/>
                  </w:tcBorders>
                  <w:vAlign w:val="center"/>
                </w:tcPr>
                <w:p w14:paraId="7ADF4F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厂房或车间外上方向设1个点，</w:t>
                  </w:r>
                  <w:r>
                    <w:rPr>
                      <w:rFonts w:hint="default" w:ascii="Times New Roman" w:hAnsi="Times New Roman" w:eastAsia="宋体" w:cs="Times New Roman"/>
                      <w:color w:val="000000" w:themeColor="text1"/>
                      <w:highlight w:val="none"/>
                      <w:u w:val="none"/>
                      <w14:textFill>
                        <w14:solidFill>
                          <w14:schemeClr w14:val="tx1"/>
                        </w14:solidFill>
                      </w14:textFill>
                    </w:rPr>
                    <w:t>下风向设</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u w:val="none"/>
                      <w14:textFill>
                        <w14:solidFill>
                          <w14:schemeClr w14:val="tx1"/>
                        </w14:solidFill>
                      </w14:textFill>
                    </w:rPr>
                    <w:t>个监控点</w:t>
                  </w:r>
                </w:p>
              </w:tc>
              <w:tc>
                <w:tcPr>
                  <w:tcW w:w="900" w:type="dxa"/>
                  <w:tcBorders>
                    <w:tl2br w:val="nil"/>
                    <w:tr2bl w:val="nil"/>
                  </w:tcBorders>
                  <w:vAlign w:val="center"/>
                </w:tcPr>
                <w:p w14:paraId="52CCE9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非甲烷总烃</w:t>
                  </w:r>
                </w:p>
              </w:tc>
              <w:tc>
                <w:tcPr>
                  <w:tcW w:w="872" w:type="dxa"/>
                  <w:tcBorders>
                    <w:tl2br w:val="nil"/>
                    <w:tr2bl w:val="nil"/>
                  </w:tcBorders>
                  <w:vAlign w:val="center"/>
                </w:tcPr>
                <w:p w14:paraId="1379C3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1次/年</w:t>
                  </w:r>
                </w:p>
              </w:tc>
              <w:tc>
                <w:tcPr>
                  <w:tcW w:w="3004" w:type="dxa"/>
                  <w:tcBorders>
                    <w:tl2br w:val="nil"/>
                    <w:tr2bl w:val="nil"/>
                  </w:tcBorders>
                  <w:vAlign w:val="center"/>
                </w:tcPr>
                <w:p w14:paraId="6F213FA7">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《挥发性有机物无组织排放控制标准》（GB 37822-2019）中附录A的表A.1（厂区内VOCs无组织排放限值）</w:t>
                  </w:r>
                </w:p>
              </w:tc>
            </w:tr>
            <w:tr w14:paraId="7A14A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33" w:type="dxa"/>
                  <w:gridSpan w:val="6"/>
                  <w:tcBorders>
                    <w:tl2br w:val="nil"/>
                    <w:tr2bl w:val="nil"/>
                  </w:tcBorders>
                  <w:vAlign w:val="center"/>
                </w:tcPr>
                <w:p w14:paraId="4F4D5F8F">
                  <w:pPr>
                    <w:pStyle w:val="69"/>
                    <w:keepNext w:val="0"/>
                    <w:keepLines w:val="0"/>
                    <w:suppressLineNumbers w:val="0"/>
                    <w:spacing w:before="31" w:beforeAutospacing="0" w:after="0" w:afterAutospacing="0" w:line="367" w:lineRule="auto"/>
                    <w:ind w:left="0" w:right="9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w:t>
                  </w:r>
                  <w:r>
                    <w:rPr>
                      <w:rFonts w:hint="default" w:ascii="Times New Roman" w:hAnsi="Times New Roman" w:eastAsia="宋体" w:cs="Times New Roman"/>
                      <w:color w:val="auto"/>
                      <w:kern w:val="2"/>
                      <w:sz w:val="21"/>
                      <w:szCs w:val="21"/>
                      <w:lang w:val="en-US" w:eastAsia="zh-CN" w:bidi="ar"/>
                    </w:rPr>
                    <w:t>对厂区内VOCs无组织排放进行监控时，在厂房门窗或通风口、其他开口（孔）等排放口外1m，距离地面1.5m以上位置处进行监测。若厂房不完整（如有顶无围墙），则在操作工位下风向1m，距离地面1.5m以上位置处进行监测。</w:t>
                  </w:r>
                </w:p>
              </w:tc>
            </w:tr>
          </w:tbl>
          <w:p w14:paraId="0B43F6A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4"/>
                <w:szCs w:val="24"/>
                <w:highlight w:val="none"/>
                <w:lang w:val="en-US" w:eastAsia="zh-CN"/>
              </w:rPr>
              <w:t>二</w:t>
            </w:r>
            <w:r>
              <w:rPr>
                <w:rFonts w:hint="default" w:ascii="Times New Roman" w:hAnsi="Times New Roman" w:cs="Times New Roman"/>
                <w:b/>
                <w:bCs/>
                <w:color w:val="auto"/>
                <w:sz w:val="24"/>
                <w:szCs w:val="24"/>
                <w:highlight w:val="none"/>
              </w:rPr>
              <w:t>、</w:t>
            </w:r>
            <w:r>
              <w:rPr>
                <w:rFonts w:hint="default" w:ascii="Times New Roman" w:hAnsi="Times New Roman" w:eastAsia="宋体" w:cs="Times New Roman"/>
                <w:b/>
                <w:color w:val="auto"/>
                <w:sz w:val="24"/>
                <w:highlight w:val="none"/>
                <w:lang w:val="en-US" w:eastAsia="zh-CN"/>
              </w:rPr>
              <w:t>运营期</w:t>
            </w:r>
            <w:r>
              <w:rPr>
                <w:rFonts w:hint="default" w:ascii="Times New Roman" w:hAnsi="Times New Roman" w:eastAsia="宋体" w:cs="Times New Roman"/>
                <w:b/>
                <w:sz w:val="24"/>
                <w:highlight w:val="none"/>
                <w:lang w:val="en-US" w:eastAsia="zh-CN"/>
              </w:rPr>
              <w:t>水</w:t>
            </w:r>
            <w:r>
              <w:rPr>
                <w:rFonts w:hint="default" w:ascii="Times New Roman" w:hAnsi="Times New Roman" w:cs="Times New Roman"/>
                <w:b/>
                <w:sz w:val="24"/>
                <w:highlight w:val="none"/>
              </w:rPr>
              <w:t>环境影响分析</w:t>
            </w:r>
          </w:p>
          <w:p w14:paraId="55EB23F9">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污染源分析</w:t>
            </w:r>
          </w:p>
          <w:p w14:paraId="48E43D3D">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sz w:val="24"/>
                <w:lang w:val="en-US" w:eastAsia="zh-CN"/>
              </w:rPr>
            </w:pPr>
            <w:r>
              <w:rPr>
                <w:rFonts w:hint="eastAsia" w:cs="Times New Roman"/>
                <w:b w:val="0"/>
                <w:bCs w:val="0"/>
                <w:color w:val="auto"/>
                <w:sz w:val="24"/>
                <w:lang w:val="en-US" w:eastAsia="zh-CN"/>
              </w:rPr>
              <w:t>本项目运营期废水主要为生产废水和生活污水，其中生产废水为清洗废水和浓水。</w:t>
            </w:r>
          </w:p>
          <w:p w14:paraId="1D7711F4">
            <w:pPr>
              <w:keepNext w:val="0"/>
              <w:keepLines w:val="0"/>
              <w:numPr>
                <w:ilvl w:val="0"/>
                <w:numId w:val="13"/>
              </w:numPr>
              <w:suppressLineNumbers w:val="0"/>
              <w:spacing w:before="0" w:beforeAutospacing="0" w:after="0" w:afterAutospacing="0" w:line="360" w:lineRule="auto"/>
              <w:ind w:left="0" w:right="0" w:firstLine="480" w:firstLineChars="200"/>
              <w:rPr>
                <w:rFonts w:hint="eastAsia" w:cs="Times New Roman"/>
                <w:b w:val="0"/>
                <w:bCs w:val="0"/>
                <w:color w:val="auto"/>
                <w:sz w:val="24"/>
                <w:lang w:val="en-US" w:eastAsia="zh-CN"/>
              </w:rPr>
            </w:pPr>
            <w:r>
              <w:rPr>
                <w:rFonts w:hint="eastAsia" w:cs="Times New Roman"/>
                <w:b w:val="0"/>
                <w:bCs w:val="0"/>
                <w:color w:val="auto"/>
                <w:sz w:val="24"/>
                <w:lang w:val="en-US" w:eastAsia="zh-CN"/>
              </w:rPr>
              <w:t>生产废水</w:t>
            </w:r>
          </w:p>
          <w:p w14:paraId="2FD3C5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b w:val="0"/>
                <w:bCs w:val="0"/>
                <w:color w:val="auto"/>
                <w:sz w:val="24"/>
                <w:lang w:val="en-US" w:eastAsia="zh-CN"/>
              </w:rPr>
              <w:t>a.清洗废水：</w:t>
            </w:r>
            <w:r>
              <w:rPr>
                <w:rFonts w:hint="eastAsia" w:cs="Times New Roman"/>
                <w:color w:val="000000" w:themeColor="text1"/>
                <w:sz w:val="24"/>
                <w:szCs w:val="24"/>
                <w:highlight w:val="none"/>
                <w:lang w:val="en-US" w:eastAsia="zh-CN"/>
                <w14:textFill>
                  <w14:solidFill>
                    <w14:schemeClr w14:val="tx1"/>
                  </w14:solidFill>
                </w14:textFill>
              </w:rPr>
              <w:t>清洗废水的产生量按用水量的90%计，项目清洗废水产生量为0.09</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b w:val="0"/>
                <w:bCs w:val="0"/>
                <w:color w:val="000000" w:themeColor="text1"/>
                <w:kern w:val="2"/>
                <w:sz w:val="24"/>
                <w:szCs w:val="24"/>
                <w:lang w:val="en-US" w:eastAsia="zh-CN" w:bidi="ar-SA"/>
                <w14:textFill>
                  <w14:solidFill>
                    <w14:schemeClr w14:val="tx1"/>
                  </w14:solidFill>
                </w14:textFill>
              </w:rPr>
              <w:t>清洗废水主要污染因子为PH、COD、SS、石油类，统一收集后经厂区污水处理站统一处理，处理后排入市政管网，</w:t>
            </w:r>
            <w:r>
              <w:rPr>
                <w:rFonts w:hint="eastAsia" w:cs="Times New Roman"/>
                <w:b w:val="0"/>
                <w:bCs w:val="0"/>
                <w:color w:val="FF0000"/>
                <w:kern w:val="2"/>
                <w:sz w:val="24"/>
                <w:szCs w:val="24"/>
                <w:lang w:val="en-US" w:eastAsia="zh-CN" w:bidi="ar-SA"/>
              </w:rPr>
              <w:t>进入安康市建民污水处理厂处理后排放</w:t>
            </w:r>
            <w:r>
              <w:rPr>
                <w:rFonts w:hint="eastAsia" w:cs="Times New Roman"/>
                <w:b w:val="0"/>
                <w:bCs w:val="0"/>
                <w:color w:val="000000" w:themeColor="text1"/>
                <w:kern w:val="2"/>
                <w:sz w:val="24"/>
                <w:szCs w:val="24"/>
                <w:lang w:val="en-US" w:eastAsia="zh-CN" w:bidi="ar-SA"/>
                <w14:textFill>
                  <w14:solidFill>
                    <w14:schemeClr w14:val="tx1"/>
                  </w14:solidFill>
                </w14:textFill>
              </w:rPr>
              <w:t>。污水处理站设计处理能力为2m</w:t>
            </w:r>
            <w:r>
              <w:rPr>
                <w:rFonts w:hint="eastAsia"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cs="Times New Roman"/>
                <w:b w:val="0"/>
                <w:bCs w:val="0"/>
                <w:color w:val="000000" w:themeColor="text1"/>
                <w:kern w:val="2"/>
                <w:sz w:val="24"/>
                <w:szCs w:val="24"/>
                <w:lang w:val="en-US" w:eastAsia="zh-CN" w:bidi="ar-SA"/>
                <w14:textFill>
                  <w14:solidFill>
                    <w14:schemeClr w14:val="tx1"/>
                  </w14:solidFill>
                </w14:textFill>
              </w:rPr>
              <w:t>/d，采用“沉淀+中和+隔油+沉淀”工艺进行处理</w:t>
            </w:r>
            <w:r>
              <w:rPr>
                <w:rFonts w:hint="eastAsia" w:cs="Times New Roman"/>
                <w:b w:val="0"/>
                <w:bCs w:val="0"/>
                <w:color w:val="0000FF"/>
                <w:kern w:val="2"/>
                <w:sz w:val="24"/>
                <w:szCs w:val="24"/>
                <w:lang w:val="en-US" w:eastAsia="zh-CN" w:bidi="ar-SA"/>
              </w:rPr>
              <w:t>。</w:t>
            </w:r>
          </w:p>
          <w:p w14:paraId="04A7DA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类比同类型企业，生产废水处理前后污染物浓度去除率见下表：</w:t>
            </w:r>
          </w:p>
          <w:p w14:paraId="3975E32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sz w:val="21"/>
                <w:szCs w:val="21"/>
              </w:rPr>
            </w:pPr>
          </w:p>
          <w:p w14:paraId="449A84C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4-4    </w:t>
            </w:r>
            <w:r>
              <w:rPr>
                <w:rFonts w:hint="default" w:ascii="Times New Roman" w:hAnsi="Times New Roman" w:eastAsia="宋体" w:cs="Times New Roman"/>
                <w:b/>
                <w:bCs/>
                <w:sz w:val="21"/>
                <w:szCs w:val="21"/>
                <w:lang w:eastAsia="zh-CN"/>
              </w:rPr>
              <w:t>生产废水处理前后污染物浓度去除率一览表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66"/>
              <w:gridCol w:w="1100"/>
              <w:gridCol w:w="950"/>
              <w:gridCol w:w="1050"/>
              <w:gridCol w:w="950"/>
              <w:gridCol w:w="834"/>
              <w:gridCol w:w="633"/>
              <w:gridCol w:w="620"/>
            </w:tblGrid>
            <w:tr w14:paraId="5881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3" w:type="pct"/>
                  <w:noWrap w:val="0"/>
                  <w:vAlign w:val="center"/>
                </w:tcPr>
                <w:p w14:paraId="284C6A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废水量</w:t>
                  </w:r>
                </w:p>
              </w:tc>
              <w:tc>
                <w:tcPr>
                  <w:tcW w:w="767" w:type="pct"/>
                  <w:vMerge w:val="restart"/>
                  <w:noWrap w:val="0"/>
                  <w:vAlign w:val="center"/>
                </w:tcPr>
                <w:p w14:paraId="5DB162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242" w:type="pct"/>
                  <w:gridSpan w:val="2"/>
                  <w:noWrap w:val="0"/>
                  <w:vAlign w:val="center"/>
                </w:tcPr>
                <w:p w14:paraId="2ED753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处理前</w:t>
                  </w:r>
                </w:p>
              </w:tc>
              <w:tc>
                <w:tcPr>
                  <w:tcW w:w="1211" w:type="pct"/>
                  <w:gridSpan w:val="2"/>
                  <w:noWrap w:val="0"/>
                  <w:vAlign w:val="center"/>
                </w:tcPr>
                <w:p w14:paraId="3D407AE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处理后</w:t>
                  </w:r>
                </w:p>
              </w:tc>
              <w:tc>
                <w:tcPr>
                  <w:tcW w:w="505" w:type="pct"/>
                  <w:vMerge w:val="restart"/>
                  <w:noWrap w:val="0"/>
                  <w:vAlign w:val="center"/>
                </w:tcPr>
                <w:p w14:paraId="1679103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去除效率（</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383" w:type="pct"/>
                  <w:vMerge w:val="restart"/>
                  <w:noWrap w:val="0"/>
                  <w:vAlign w:val="center"/>
                </w:tcPr>
                <w:p w14:paraId="17229EB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接管标准</w:t>
                  </w:r>
                </w:p>
              </w:tc>
              <w:tc>
                <w:tcPr>
                  <w:tcW w:w="375" w:type="pct"/>
                  <w:vMerge w:val="restart"/>
                  <w:noWrap w:val="0"/>
                  <w:vAlign w:val="center"/>
                </w:tcPr>
                <w:p w14:paraId="43F87F3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是否达标</w:t>
                  </w:r>
                </w:p>
              </w:tc>
            </w:tr>
            <w:tr w14:paraId="451B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restart"/>
                  <w:noWrap w:val="0"/>
                  <w:vAlign w:val="center"/>
                </w:tcPr>
                <w:p w14:paraId="164CAF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27m</w:t>
                  </w:r>
                  <w:r>
                    <w:rPr>
                      <w:rFonts w:hint="eastAsia"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767" w:type="pct"/>
                  <w:vMerge w:val="continue"/>
                  <w:noWrap w:val="0"/>
                  <w:vAlign w:val="center"/>
                </w:tcPr>
                <w:p w14:paraId="4FC797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66" w:type="pct"/>
                  <w:noWrap w:val="0"/>
                  <w:vAlign w:val="center"/>
                </w:tcPr>
                <w:p w14:paraId="3A07A8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进水浓度(mg/L)</w:t>
                  </w:r>
                </w:p>
              </w:tc>
              <w:tc>
                <w:tcPr>
                  <w:tcW w:w="575" w:type="pct"/>
                  <w:noWrap w:val="0"/>
                  <w:vAlign w:val="center"/>
                </w:tcPr>
                <w:p w14:paraId="6E16122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kg/</w:t>
                  </w:r>
                  <w:r>
                    <w:rPr>
                      <w:rFonts w:hint="eastAsia" w:cs="Times New Roman"/>
                      <w:sz w:val="21"/>
                      <w:szCs w:val="21"/>
                      <w:lang w:val="en-US" w:eastAsia="zh-CN"/>
                    </w:rPr>
                    <w:t>a</w:t>
                  </w:r>
                  <w:r>
                    <w:rPr>
                      <w:rFonts w:hint="default" w:ascii="Times New Roman" w:hAnsi="Times New Roman" w:eastAsia="宋体" w:cs="Times New Roman"/>
                      <w:sz w:val="21"/>
                      <w:szCs w:val="21"/>
                      <w:lang w:eastAsia="zh-CN"/>
                    </w:rPr>
                    <w:t>）</w:t>
                  </w:r>
                </w:p>
              </w:tc>
              <w:tc>
                <w:tcPr>
                  <w:tcW w:w="636" w:type="pct"/>
                  <w:noWrap w:val="0"/>
                  <w:vAlign w:val="center"/>
                </w:tcPr>
                <w:p w14:paraId="36FEF36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出水浓度(mg/L)</w:t>
                  </w:r>
                </w:p>
              </w:tc>
              <w:tc>
                <w:tcPr>
                  <w:tcW w:w="575" w:type="pct"/>
                  <w:noWrap w:val="0"/>
                  <w:vAlign w:val="center"/>
                </w:tcPr>
                <w:p w14:paraId="3347BF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kg/</w:t>
                  </w:r>
                  <w:r>
                    <w:rPr>
                      <w:rFonts w:hint="eastAsia" w:cs="Times New Roman"/>
                      <w:sz w:val="21"/>
                      <w:szCs w:val="21"/>
                      <w:lang w:val="en-US" w:eastAsia="zh-CN"/>
                    </w:rPr>
                    <w:t>a</w:t>
                  </w:r>
                  <w:r>
                    <w:rPr>
                      <w:rFonts w:hint="default" w:ascii="Times New Roman" w:hAnsi="Times New Roman" w:eastAsia="宋体" w:cs="Times New Roman"/>
                      <w:sz w:val="21"/>
                      <w:szCs w:val="21"/>
                      <w:lang w:eastAsia="zh-CN"/>
                    </w:rPr>
                    <w:t>）</w:t>
                  </w:r>
                </w:p>
              </w:tc>
              <w:tc>
                <w:tcPr>
                  <w:tcW w:w="505" w:type="pct"/>
                  <w:vMerge w:val="continue"/>
                  <w:noWrap w:val="0"/>
                  <w:vAlign w:val="center"/>
                </w:tcPr>
                <w:p w14:paraId="7968C40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83" w:type="pct"/>
                  <w:vMerge w:val="continue"/>
                  <w:noWrap w:val="0"/>
                  <w:vAlign w:val="center"/>
                </w:tcPr>
                <w:p w14:paraId="1D74512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75" w:type="pct"/>
                  <w:vMerge w:val="continue"/>
                  <w:noWrap w:val="0"/>
                  <w:vAlign w:val="center"/>
                </w:tcPr>
                <w:p w14:paraId="0DC9311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25B7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7A18D09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4B6FCA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rPr>
                  </w:pPr>
                  <w:r>
                    <w:rPr>
                      <w:rFonts w:hint="default" w:ascii="Times New Roman" w:hAnsi="Times New Roman" w:eastAsia="宋体" w:cs="Times New Roman"/>
                      <w:sz w:val="21"/>
                      <w:szCs w:val="21"/>
                    </w:rPr>
                    <w:t>COD(mg/L)</w:t>
                  </w:r>
                </w:p>
              </w:tc>
              <w:tc>
                <w:tcPr>
                  <w:tcW w:w="666" w:type="pct"/>
                  <w:noWrap w:val="0"/>
                  <w:vAlign w:val="center"/>
                </w:tcPr>
                <w:p w14:paraId="5F0C014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550</w:t>
                  </w:r>
                </w:p>
              </w:tc>
              <w:tc>
                <w:tcPr>
                  <w:tcW w:w="575" w:type="pct"/>
                  <w:noWrap w:val="0"/>
                  <w:vAlign w:val="center"/>
                </w:tcPr>
                <w:p w14:paraId="0F87BF9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14.85</w:t>
                  </w:r>
                </w:p>
              </w:tc>
              <w:tc>
                <w:tcPr>
                  <w:tcW w:w="636" w:type="pct"/>
                  <w:noWrap w:val="0"/>
                  <w:vAlign w:val="center"/>
                </w:tcPr>
                <w:p w14:paraId="0C6ADB5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275</w:t>
                  </w:r>
                </w:p>
              </w:tc>
              <w:tc>
                <w:tcPr>
                  <w:tcW w:w="575" w:type="pct"/>
                  <w:noWrap w:val="0"/>
                  <w:vAlign w:val="center"/>
                </w:tcPr>
                <w:p w14:paraId="11AD5B2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7.425</w:t>
                  </w:r>
                </w:p>
              </w:tc>
              <w:tc>
                <w:tcPr>
                  <w:tcW w:w="505" w:type="pct"/>
                  <w:noWrap w:val="0"/>
                  <w:vAlign w:val="center"/>
                </w:tcPr>
                <w:p w14:paraId="1B3FB88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83" w:type="pct"/>
                  <w:noWrap w:val="0"/>
                  <w:vAlign w:val="center"/>
                </w:tcPr>
                <w:p w14:paraId="027ED9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r>
                    <w:rPr>
                      <w:rFonts w:hint="default" w:ascii="Times New Roman" w:hAnsi="Times New Roman" w:eastAsia="宋体" w:cs="Times New Roman"/>
                      <w:sz w:val="21"/>
                      <w:szCs w:val="21"/>
                      <w:lang w:val="en-US" w:eastAsia="zh-CN"/>
                    </w:rPr>
                    <w:t>00</w:t>
                  </w:r>
                </w:p>
              </w:tc>
              <w:tc>
                <w:tcPr>
                  <w:tcW w:w="375" w:type="pct"/>
                  <w:noWrap w:val="0"/>
                  <w:vAlign w:val="center"/>
                </w:tcPr>
                <w:p w14:paraId="1B84DA8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3D9D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793EA85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6F785B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rPr>
                  </w:pPr>
                  <w:r>
                    <w:rPr>
                      <w:rFonts w:hint="default" w:ascii="Times New Roman" w:hAnsi="Times New Roman" w:eastAsia="宋体" w:cs="Times New Roman"/>
                      <w:sz w:val="21"/>
                      <w:szCs w:val="21"/>
                    </w:rPr>
                    <w:t>BOD(mg/L)</w:t>
                  </w:r>
                </w:p>
              </w:tc>
              <w:tc>
                <w:tcPr>
                  <w:tcW w:w="666" w:type="pct"/>
                  <w:noWrap w:val="0"/>
                  <w:vAlign w:val="center"/>
                </w:tcPr>
                <w:p w14:paraId="0A7EA7E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180</w:t>
                  </w:r>
                </w:p>
              </w:tc>
              <w:tc>
                <w:tcPr>
                  <w:tcW w:w="575" w:type="pct"/>
                  <w:noWrap w:val="0"/>
                  <w:vAlign w:val="center"/>
                </w:tcPr>
                <w:p w14:paraId="575B8D5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4.86</w:t>
                  </w:r>
                </w:p>
              </w:tc>
              <w:tc>
                <w:tcPr>
                  <w:tcW w:w="636" w:type="pct"/>
                  <w:noWrap w:val="0"/>
                  <w:vAlign w:val="center"/>
                </w:tcPr>
                <w:p w14:paraId="10F3642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w:t>
                  </w:r>
                </w:p>
              </w:tc>
              <w:tc>
                <w:tcPr>
                  <w:tcW w:w="575" w:type="pct"/>
                  <w:noWrap w:val="0"/>
                  <w:vAlign w:val="center"/>
                </w:tcPr>
                <w:p w14:paraId="1FC5EDD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2.43</w:t>
                  </w:r>
                </w:p>
              </w:tc>
              <w:tc>
                <w:tcPr>
                  <w:tcW w:w="505" w:type="pct"/>
                  <w:noWrap w:val="0"/>
                  <w:vAlign w:val="center"/>
                </w:tcPr>
                <w:p w14:paraId="7E8141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383" w:type="pct"/>
                  <w:noWrap w:val="0"/>
                  <w:vAlign w:val="center"/>
                </w:tcPr>
                <w:p w14:paraId="54D08D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w:t>
                  </w:r>
                  <w:r>
                    <w:rPr>
                      <w:rFonts w:hint="default" w:ascii="Times New Roman" w:hAnsi="Times New Roman" w:eastAsia="宋体" w:cs="Times New Roman"/>
                      <w:sz w:val="21"/>
                      <w:szCs w:val="21"/>
                      <w:lang w:val="en-US" w:eastAsia="zh-CN"/>
                    </w:rPr>
                    <w:t>00</w:t>
                  </w:r>
                </w:p>
              </w:tc>
              <w:tc>
                <w:tcPr>
                  <w:tcW w:w="375" w:type="pct"/>
                  <w:noWrap w:val="0"/>
                  <w:vAlign w:val="center"/>
                </w:tcPr>
                <w:p w14:paraId="19AC220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1250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01DDFC3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5939A2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lang w:val="en-US" w:eastAsia="zh-CN"/>
                    </w:rPr>
                  </w:pPr>
                  <w:r>
                    <w:rPr>
                      <w:rFonts w:hint="default" w:ascii="Times New Roman" w:hAnsi="Times New Roman" w:eastAsia="宋体" w:cs="Times New Roman"/>
                      <w:sz w:val="21"/>
                      <w:szCs w:val="21"/>
                    </w:rPr>
                    <w:t>SS(mg/L)</w:t>
                  </w:r>
                </w:p>
              </w:tc>
              <w:tc>
                <w:tcPr>
                  <w:tcW w:w="666" w:type="pct"/>
                  <w:noWrap w:val="0"/>
                  <w:vAlign w:val="center"/>
                </w:tcPr>
                <w:p w14:paraId="07D2900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w:t>
                  </w:r>
                </w:p>
              </w:tc>
              <w:tc>
                <w:tcPr>
                  <w:tcW w:w="575" w:type="pct"/>
                  <w:noWrap w:val="0"/>
                  <w:vAlign w:val="center"/>
                </w:tcPr>
                <w:p w14:paraId="6C31ED3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16.2</w:t>
                  </w:r>
                </w:p>
              </w:tc>
              <w:tc>
                <w:tcPr>
                  <w:tcW w:w="636" w:type="pct"/>
                  <w:noWrap w:val="0"/>
                  <w:vAlign w:val="center"/>
                </w:tcPr>
                <w:p w14:paraId="17B8388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575" w:type="pct"/>
                  <w:noWrap w:val="0"/>
                  <w:vAlign w:val="center"/>
                </w:tcPr>
                <w:p w14:paraId="30BC0EE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4.05</w:t>
                  </w:r>
                </w:p>
              </w:tc>
              <w:tc>
                <w:tcPr>
                  <w:tcW w:w="505" w:type="pct"/>
                  <w:noWrap w:val="0"/>
                  <w:vAlign w:val="center"/>
                </w:tcPr>
                <w:p w14:paraId="70D0ACD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383" w:type="pct"/>
                  <w:noWrap w:val="0"/>
                  <w:vAlign w:val="center"/>
                </w:tcPr>
                <w:p w14:paraId="5B9C30A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400</w:t>
                  </w:r>
                </w:p>
              </w:tc>
              <w:tc>
                <w:tcPr>
                  <w:tcW w:w="375" w:type="pct"/>
                  <w:noWrap w:val="0"/>
                  <w:vAlign w:val="center"/>
                </w:tcPr>
                <w:p w14:paraId="564CDAB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4AEC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4762470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26E3103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vertAlign w:val="baseline"/>
                      <w:lang w:eastAsia="zh-CN"/>
                    </w:rPr>
                    <w:t>石油类</w:t>
                  </w:r>
                  <w:r>
                    <w:rPr>
                      <w:rFonts w:hint="default" w:ascii="Times New Roman" w:hAnsi="Times New Roman" w:eastAsia="宋体" w:cs="Times New Roman"/>
                      <w:sz w:val="21"/>
                      <w:szCs w:val="21"/>
                    </w:rPr>
                    <w:t>(mg/L)</w:t>
                  </w:r>
                </w:p>
              </w:tc>
              <w:tc>
                <w:tcPr>
                  <w:tcW w:w="666" w:type="pct"/>
                  <w:noWrap w:val="0"/>
                  <w:vAlign w:val="center"/>
                </w:tcPr>
                <w:p w14:paraId="1BA1F4E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575" w:type="pct"/>
                  <w:noWrap w:val="0"/>
                  <w:vAlign w:val="center"/>
                </w:tcPr>
                <w:p w14:paraId="38A4836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2.16</w:t>
                  </w:r>
                </w:p>
              </w:tc>
              <w:tc>
                <w:tcPr>
                  <w:tcW w:w="636" w:type="pct"/>
                  <w:noWrap w:val="0"/>
                  <w:vAlign w:val="center"/>
                </w:tcPr>
                <w:p w14:paraId="7328E33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16</w:t>
                  </w:r>
                </w:p>
              </w:tc>
              <w:tc>
                <w:tcPr>
                  <w:tcW w:w="575" w:type="pct"/>
                  <w:noWrap w:val="0"/>
                  <w:vAlign w:val="center"/>
                </w:tcPr>
                <w:p w14:paraId="4E721A4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0.432</w:t>
                  </w:r>
                </w:p>
              </w:tc>
              <w:tc>
                <w:tcPr>
                  <w:tcW w:w="505" w:type="pct"/>
                  <w:noWrap w:val="0"/>
                  <w:vAlign w:val="center"/>
                </w:tcPr>
                <w:p w14:paraId="5BDE27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383" w:type="pct"/>
                  <w:noWrap w:val="0"/>
                  <w:vAlign w:val="center"/>
                </w:tcPr>
                <w:p w14:paraId="3BE2A0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375" w:type="pct"/>
                  <w:noWrap w:val="0"/>
                  <w:vAlign w:val="center"/>
                </w:tcPr>
                <w:p w14:paraId="38BE53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14:paraId="273B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noWrap w:val="0"/>
                  <w:vAlign w:val="center"/>
                </w:tcPr>
                <w:p w14:paraId="4385BC7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67" w:type="pct"/>
                  <w:noWrap w:val="0"/>
                  <w:vAlign w:val="center"/>
                </w:tcPr>
                <w:p w14:paraId="26D25B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pH</w:t>
                  </w:r>
                </w:p>
              </w:tc>
              <w:tc>
                <w:tcPr>
                  <w:tcW w:w="666" w:type="pct"/>
                  <w:noWrap w:val="0"/>
                  <w:vAlign w:val="center"/>
                </w:tcPr>
                <w:p w14:paraId="12AA0B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SA"/>
                    </w:rPr>
                  </w:pPr>
                  <w:r>
                    <w:rPr>
                      <w:rFonts w:hint="eastAsia" w:cs="Times New Roman"/>
                      <w:color w:val="FF0000"/>
                      <w:kern w:val="2"/>
                      <w:sz w:val="21"/>
                      <w:szCs w:val="21"/>
                      <w:lang w:val="en-US" w:eastAsia="zh-CN" w:bidi="ar-SA"/>
                    </w:rPr>
                    <w:t>10~12</w:t>
                  </w:r>
                </w:p>
              </w:tc>
              <w:tc>
                <w:tcPr>
                  <w:tcW w:w="575" w:type="pct"/>
                  <w:noWrap w:val="0"/>
                  <w:vAlign w:val="center"/>
                </w:tcPr>
                <w:p w14:paraId="2401697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636" w:type="pct"/>
                  <w:noWrap w:val="0"/>
                  <w:vAlign w:val="center"/>
                </w:tcPr>
                <w:p w14:paraId="1FAAC6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6~9</w:t>
                  </w:r>
                </w:p>
              </w:tc>
              <w:tc>
                <w:tcPr>
                  <w:tcW w:w="575" w:type="pct"/>
                  <w:noWrap w:val="0"/>
                  <w:vAlign w:val="center"/>
                </w:tcPr>
                <w:p w14:paraId="3F4BA5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505" w:type="pct"/>
                  <w:noWrap w:val="0"/>
                  <w:vAlign w:val="center"/>
                </w:tcPr>
                <w:p w14:paraId="65EB04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383" w:type="pct"/>
                  <w:noWrap w:val="0"/>
                  <w:vAlign w:val="center"/>
                </w:tcPr>
                <w:p w14:paraId="256BBA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6~9</w:t>
                  </w:r>
                </w:p>
              </w:tc>
              <w:tc>
                <w:tcPr>
                  <w:tcW w:w="375" w:type="pct"/>
                  <w:noWrap w:val="0"/>
                  <w:vAlign w:val="center"/>
                </w:tcPr>
                <w:p w14:paraId="41C7CC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达标</w:t>
                  </w:r>
                </w:p>
              </w:tc>
            </w:tr>
          </w:tbl>
          <w:p w14:paraId="0068CB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both"/>
              <w:textAlignment w:val="auto"/>
              <w:rPr>
                <w:rFonts w:hint="eastAsia" w:cs="Times New Roman"/>
                <w:b w:val="0"/>
                <w:bCs w:val="0"/>
                <w:color w:val="FF0000"/>
                <w:sz w:val="24"/>
                <w:highlight w:val="yellow"/>
                <w:lang w:val="en-US" w:eastAsia="zh-CN"/>
              </w:rPr>
            </w:pPr>
            <w:r>
              <w:rPr>
                <w:rFonts w:hint="eastAsia" w:cs="Times New Roman"/>
                <w:b w:val="0"/>
                <w:bCs w:val="0"/>
                <w:color w:val="FF0000"/>
                <w:sz w:val="24"/>
                <w:highlight w:val="yellow"/>
                <w:lang w:val="en-US" w:eastAsia="zh-CN"/>
              </w:rPr>
              <w:t>污水处理站处理可行性分析：</w:t>
            </w:r>
          </w:p>
          <w:p w14:paraId="3FA3B4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eastAsia="宋体" w:cs="Times New Roman"/>
                <w:b w:val="0"/>
                <w:bCs w:val="0"/>
                <w:color w:val="FF0000"/>
                <w:sz w:val="24"/>
                <w:highlight w:val="yellow"/>
                <w:lang w:val="en-US" w:eastAsia="zh-CN"/>
              </w:rPr>
            </w:pPr>
            <w:r>
              <w:rPr>
                <w:rFonts w:hint="eastAsia" w:cs="Times New Roman"/>
                <w:b w:val="0"/>
                <w:bCs w:val="0"/>
                <w:color w:val="FF0000"/>
                <w:sz w:val="24"/>
                <w:highlight w:val="yellow"/>
                <w:lang w:val="en-US" w:eastAsia="zh-CN"/>
              </w:rPr>
              <w:t>根据建设单位提供资料，本项目清洗水定期更换，一次最大更换量为2m</w:t>
            </w:r>
            <w:r>
              <w:rPr>
                <w:rFonts w:hint="eastAsia" w:cs="Times New Roman"/>
                <w:b w:val="0"/>
                <w:bCs w:val="0"/>
                <w:color w:val="FF0000"/>
                <w:sz w:val="24"/>
                <w:highlight w:val="yellow"/>
                <w:vertAlign w:val="superscript"/>
                <w:lang w:val="en-US" w:eastAsia="zh-CN"/>
              </w:rPr>
              <w:t>3</w:t>
            </w:r>
            <w:r>
              <w:rPr>
                <w:rFonts w:hint="eastAsia" w:cs="Times New Roman"/>
                <w:b w:val="0"/>
                <w:bCs w:val="0"/>
                <w:color w:val="FF0000"/>
                <w:sz w:val="24"/>
                <w:highlight w:val="yellow"/>
                <w:vertAlign w:val="baseline"/>
                <w:lang w:val="en-US" w:eastAsia="zh-CN"/>
              </w:rPr>
              <w:t>/d，拟采用污水处理站进行处理，设计处理能力为</w:t>
            </w:r>
            <w:r>
              <w:rPr>
                <w:rFonts w:hint="eastAsia" w:cs="Times New Roman"/>
                <w:b w:val="0"/>
                <w:bCs w:val="0"/>
                <w:color w:val="FF0000"/>
                <w:sz w:val="24"/>
                <w:highlight w:val="yellow"/>
                <w:lang w:val="en-US" w:eastAsia="zh-CN"/>
              </w:rPr>
              <w:t>2m</w:t>
            </w:r>
            <w:r>
              <w:rPr>
                <w:rFonts w:hint="eastAsia" w:cs="Times New Roman"/>
                <w:b w:val="0"/>
                <w:bCs w:val="0"/>
                <w:color w:val="FF0000"/>
                <w:sz w:val="24"/>
                <w:highlight w:val="yellow"/>
                <w:vertAlign w:val="superscript"/>
                <w:lang w:val="en-US" w:eastAsia="zh-CN"/>
              </w:rPr>
              <w:t>3</w:t>
            </w:r>
            <w:r>
              <w:rPr>
                <w:rFonts w:hint="eastAsia" w:cs="Times New Roman"/>
                <w:b w:val="0"/>
                <w:bCs w:val="0"/>
                <w:color w:val="FF0000"/>
                <w:sz w:val="24"/>
                <w:highlight w:val="yellow"/>
                <w:vertAlign w:val="baseline"/>
                <w:lang w:val="en-US" w:eastAsia="zh-CN"/>
              </w:rPr>
              <w:t>/d，主要工艺为“沉淀+中和+隔油+沉淀”。清洗采用强碱清洗剂，故需要进行PH调节中和。经处理后水质可达到</w:t>
            </w:r>
            <w:r>
              <w:rPr>
                <w:rFonts w:hint="default"/>
                <w:b w:val="0"/>
                <w:bCs w:val="0"/>
                <w:color w:val="FF0000"/>
                <w:sz w:val="24"/>
                <w:szCs w:val="28"/>
                <w:highlight w:val="yellow"/>
              </w:rPr>
              <w:t>污水综合排放标准》（GB8978-1996）三级标准</w:t>
            </w:r>
            <w:r>
              <w:rPr>
                <w:rFonts w:hint="default"/>
                <w:b w:val="0"/>
                <w:bCs w:val="0"/>
                <w:color w:val="FF0000"/>
                <w:sz w:val="24"/>
                <w:highlight w:val="yellow"/>
              </w:rPr>
              <w:t>和《污水排入城镇下水道水质标准》（GB/T31962-2015）</w:t>
            </w:r>
            <w:r>
              <w:rPr>
                <w:rFonts w:hint="eastAsia"/>
                <w:b w:val="0"/>
                <w:bCs w:val="0"/>
                <w:color w:val="FF0000"/>
                <w:sz w:val="24"/>
                <w:highlight w:val="yellow"/>
              </w:rPr>
              <w:t>B</w:t>
            </w:r>
            <w:r>
              <w:rPr>
                <w:rFonts w:hint="default"/>
                <w:b w:val="0"/>
                <w:bCs w:val="0"/>
                <w:color w:val="FF0000"/>
                <w:sz w:val="24"/>
                <w:highlight w:val="yellow"/>
              </w:rPr>
              <w:t>级标准</w:t>
            </w:r>
            <w:r>
              <w:rPr>
                <w:rFonts w:hint="eastAsia"/>
                <w:b w:val="0"/>
                <w:bCs w:val="0"/>
                <w:color w:val="FF0000"/>
                <w:sz w:val="24"/>
                <w:highlight w:val="yellow"/>
                <w:lang w:eastAsia="zh-CN"/>
              </w:rPr>
              <w:t>。</w:t>
            </w:r>
          </w:p>
          <w:p w14:paraId="0FB7B5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both"/>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b.浓水</w:t>
            </w:r>
          </w:p>
          <w:p w14:paraId="29E85E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z w:val="24"/>
                <w:szCs w:val="24"/>
                <w:lang w:val="en-US" w:eastAsia="zh-CN"/>
              </w:rPr>
              <w:t>目制备纯水过程中产生的浓水为0.07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），制备过程采取“石英过滤+活性炭过滤+反渗透”，不添加其他药剂，浓水的成分相对简单，</w:t>
            </w:r>
            <w:r>
              <w:rPr>
                <w:rFonts w:hint="eastAsia" w:cs="Times New Roman"/>
                <w:b w:val="0"/>
                <w:bCs w:val="0"/>
                <w:color w:val="000000" w:themeColor="text1"/>
                <w:kern w:val="2"/>
                <w:sz w:val="24"/>
                <w:szCs w:val="24"/>
                <w:vertAlign w:val="baseline"/>
                <w:lang w:val="en-US" w:eastAsia="zh-CN" w:bidi="ar-SA"/>
                <w14:textFill>
                  <w14:solidFill>
                    <w14:schemeClr w14:val="tx1"/>
                  </w14:solidFill>
                </w14:textFill>
              </w:rPr>
              <w:t>经污水管网进入市政污水管网。</w:t>
            </w:r>
          </w:p>
          <w:p w14:paraId="6C1340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cs="Times New Roman"/>
                <w:b w:val="0"/>
                <w:bCs w:val="0"/>
                <w:color w:val="auto"/>
                <w:sz w:val="24"/>
                <w:lang w:val="en-US" w:eastAsia="zh-CN"/>
              </w:rPr>
            </w:pPr>
            <w:r>
              <w:rPr>
                <w:rFonts w:hint="eastAsia" w:cs="Times New Roman"/>
                <w:b w:val="0"/>
                <w:bCs w:val="0"/>
                <w:color w:val="auto"/>
                <w:sz w:val="24"/>
                <w:lang w:val="en-US" w:eastAsia="zh-CN"/>
              </w:rPr>
              <w:t>（2）生活污水</w:t>
            </w:r>
          </w:p>
          <w:p w14:paraId="450291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b w:val="0"/>
                <w:bCs w:val="0"/>
                <w:color w:val="auto"/>
                <w:sz w:val="24"/>
                <w:lang w:val="en-US" w:eastAsia="zh-CN"/>
              </w:rPr>
              <w:t>根据前文排水工程，</w:t>
            </w:r>
            <w:r>
              <w:rPr>
                <w:rFonts w:hint="default" w:ascii="Times New Roman" w:hAnsi="Times New Roman" w:cs="Times New Roman"/>
                <w:color w:val="auto"/>
                <w:sz w:val="24"/>
                <w:szCs w:val="24"/>
                <w:highlight w:val="none"/>
                <w:lang w:val="en-US" w:eastAsia="zh-CN"/>
              </w:rPr>
              <w:t>生活污水产生量为</w:t>
            </w:r>
            <w:r>
              <w:rPr>
                <w:rFonts w:hint="eastAsia" w:cs="Times New Roman"/>
                <w:color w:val="auto"/>
                <w:sz w:val="24"/>
                <w:szCs w:val="24"/>
                <w:highlight w:val="none"/>
                <w:lang w:val="en-US" w:eastAsia="zh-CN"/>
              </w:rPr>
              <w:t>32</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（9600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经厂区化粪池预处理后，排污市政污水管网。</w:t>
            </w:r>
          </w:p>
          <w:p w14:paraId="3362655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4-5   生活污水</w:t>
            </w:r>
            <w:r>
              <w:rPr>
                <w:rFonts w:hint="default" w:ascii="Times New Roman" w:hAnsi="Times New Roman" w:eastAsia="宋体" w:cs="Times New Roman"/>
                <w:b/>
                <w:bCs/>
                <w:sz w:val="21"/>
                <w:szCs w:val="21"/>
                <w:lang w:eastAsia="zh-CN"/>
              </w:rPr>
              <w:t>处理前后污染物浓度去除率一览表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706"/>
              <w:gridCol w:w="1050"/>
              <w:gridCol w:w="1250"/>
              <w:gridCol w:w="1050"/>
              <w:gridCol w:w="950"/>
              <w:gridCol w:w="834"/>
              <w:gridCol w:w="633"/>
              <w:gridCol w:w="620"/>
            </w:tblGrid>
            <w:tr w14:paraId="22AE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1" w:type="pct"/>
                  <w:noWrap w:val="0"/>
                  <w:vAlign w:val="center"/>
                </w:tcPr>
                <w:p w14:paraId="3905DF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废水量</w:t>
                  </w:r>
                </w:p>
              </w:tc>
              <w:tc>
                <w:tcPr>
                  <w:tcW w:w="427" w:type="pct"/>
                  <w:vMerge w:val="restart"/>
                  <w:noWrap w:val="0"/>
                  <w:vAlign w:val="center"/>
                </w:tcPr>
                <w:p w14:paraId="7EDC2D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393" w:type="pct"/>
                  <w:gridSpan w:val="2"/>
                  <w:noWrap w:val="0"/>
                  <w:vAlign w:val="center"/>
                </w:tcPr>
                <w:p w14:paraId="5E17BB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处理前</w:t>
                  </w:r>
                </w:p>
              </w:tc>
              <w:tc>
                <w:tcPr>
                  <w:tcW w:w="1211" w:type="pct"/>
                  <w:gridSpan w:val="2"/>
                  <w:noWrap w:val="0"/>
                  <w:vAlign w:val="center"/>
                </w:tcPr>
                <w:p w14:paraId="7598A8A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处理后</w:t>
                  </w:r>
                </w:p>
              </w:tc>
              <w:tc>
                <w:tcPr>
                  <w:tcW w:w="505" w:type="pct"/>
                  <w:vMerge w:val="restart"/>
                  <w:noWrap w:val="0"/>
                  <w:vAlign w:val="center"/>
                </w:tcPr>
                <w:p w14:paraId="5410234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去除效率（</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383" w:type="pct"/>
                  <w:vMerge w:val="restart"/>
                  <w:noWrap w:val="0"/>
                  <w:vAlign w:val="center"/>
                </w:tcPr>
                <w:p w14:paraId="014379E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接管标准</w:t>
                  </w:r>
                </w:p>
              </w:tc>
              <w:tc>
                <w:tcPr>
                  <w:tcW w:w="375" w:type="pct"/>
                  <w:vMerge w:val="restart"/>
                  <w:noWrap w:val="0"/>
                  <w:vAlign w:val="center"/>
                </w:tcPr>
                <w:p w14:paraId="7822599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是否达标</w:t>
                  </w:r>
                </w:p>
              </w:tc>
            </w:tr>
            <w:tr w14:paraId="471A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restart"/>
                  <w:noWrap w:val="0"/>
                  <w:vAlign w:val="center"/>
                </w:tcPr>
                <w:p w14:paraId="0DED4C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427" w:type="pct"/>
                  <w:vMerge w:val="continue"/>
                  <w:noWrap w:val="0"/>
                  <w:vAlign w:val="center"/>
                </w:tcPr>
                <w:p w14:paraId="1A39EA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36" w:type="pct"/>
                  <w:noWrap w:val="0"/>
                  <w:vAlign w:val="center"/>
                </w:tcPr>
                <w:p w14:paraId="5C4D78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进水浓度(mg/L)</w:t>
                  </w:r>
                </w:p>
              </w:tc>
              <w:tc>
                <w:tcPr>
                  <w:tcW w:w="757" w:type="pct"/>
                  <w:noWrap w:val="0"/>
                  <w:vAlign w:val="center"/>
                </w:tcPr>
                <w:p w14:paraId="1D4B588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w:t>
                  </w:r>
                  <w:r>
                    <w:rPr>
                      <w:rFonts w:hint="eastAsia" w:cs="Times New Roman"/>
                      <w:sz w:val="21"/>
                      <w:szCs w:val="21"/>
                      <w:lang w:val="en-US" w:eastAsia="zh-CN"/>
                    </w:rPr>
                    <w:t>a</w:t>
                  </w:r>
                  <w:r>
                    <w:rPr>
                      <w:rFonts w:hint="default" w:ascii="Times New Roman" w:hAnsi="Times New Roman" w:eastAsia="宋体" w:cs="Times New Roman"/>
                      <w:sz w:val="21"/>
                      <w:szCs w:val="21"/>
                      <w:lang w:eastAsia="zh-CN"/>
                    </w:rPr>
                    <w:t>）</w:t>
                  </w:r>
                </w:p>
              </w:tc>
              <w:tc>
                <w:tcPr>
                  <w:tcW w:w="636" w:type="pct"/>
                  <w:noWrap w:val="0"/>
                  <w:vAlign w:val="center"/>
                </w:tcPr>
                <w:p w14:paraId="3924B6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出水浓度(mg/L)</w:t>
                  </w:r>
                </w:p>
              </w:tc>
              <w:tc>
                <w:tcPr>
                  <w:tcW w:w="575" w:type="pct"/>
                  <w:noWrap w:val="0"/>
                  <w:vAlign w:val="center"/>
                </w:tcPr>
                <w:p w14:paraId="1A6557E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w:t>
                  </w:r>
                  <w:r>
                    <w:rPr>
                      <w:rFonts w:hint="eastAsia" w:cs="Times New Roman"/>
                      <w:sz w:val="21"/>
                      <w:szCs w:val="21"/>
                      <w:lang w:val="en-US" w:eastAsia="zh-CN"/>
                    </w:rPr>
                    <w:t>a</w:t>
                  </w:r>
                  <w:r>
                    <w:rPr>
                      <w:rFonts w:hint="default" w:ascii="Times New Roman" w:hAnsi="Times New Roman" w:eastAsia="宋体" w:cs="Times New Roman"/>
                      <w:sz w:val="21"/>
                      <w:szCs w:val="21"/>
                      <w:lang w:eastAsia="zh-CN"/>
                    </w:rPr>
                    <w:t>）</w:t>
                  </w:r>
                </w:p>
              </w:tc>
              <w:tc>
                <w:tcPr>
                  <w:tcW w:w="505" w:type="pct"/>
                  <w:vMerge w:val="continue"/>
                  <w:noWrap w:val="0"/>
                  <w:vAlign w:val="center"/>
                </w:tcPr>
                <w:p w14:paraId="5132F8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83" w:type="pct"/>
                  <w:vMerge w:val="continue"/>
                  <w:noWrap w:val="0"/>
                  <w:vAlign w:val="center"/>
                </w:tcPr>
                <w:p w14:paraId="4B229A7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75" w:type="pct"/>
                  <w:vMerge w:val="continue"/>
                  <w:noWrap w:val="0"/>
                  <w:vAlign w:val="center"/>
                </w:tcPr>
                <w:p w14:paraId="6BB305E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781E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14:paraId="7FD65A5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427" w:type="pct"/>
                  <w:noWrap w:val="0"/>
                  <w:vAlign w:val="center"/>
                </w:tcPr>
                <w:p w14:paraId="780641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rPr>
                  </w:pPr>
                  <w:r>
                    <w:rPr>
                      <w:rFonts w:hint="default" w:ascii="Times New Roman" w:hAnsi="Times New Roman" w:eastAsia="宋体" w:cs="Times New Roman"/>
                      <w:sz w:val="21"/>
                      <w:szCs w:val="21"/>
                    </w:rPr>
                    <w:t>COD</w:t>
                  </w:r>
                </w:p>
              </w:tc>
              <w:tc>
                <w:tcPr>
                  <w:tcW w:w="636" w:type="pct"/>
                  <w:noWrap w:val="0"/>
                  <w:vAlign w:val="center"/>
                </w:tcPr>
                <w:p w14:paraId="5554614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350</w:t>
                  </w:r>
                </w:p>
              </w:tc>
              <w:tc>
                <w:tcPr>
                  <w:tcW w:w="757" w:type="pct"/>
                  <w:noWrap w:val="0"/>
                  <w:vAlign w:val="center"/>
                </w:tcPr>
                <w:p w14:paraId="17AFAF1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3.36</w:t>
                  </w:r>
                </w:p>
              </w:tc>
              <w:tc>
                <w:tcPr>
                  <w:tcW w:w="636" w:type="pct"/>
                  <w:noWrap w:val="0"/>
                  <w:vAlign w:val="center"/>
                </w:tcPr>
                <w:p w14:paraId="215B956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575" w:type="pct"/>
                  <w:noWrap w:val="0"/>
                  <w:vAlign w:val="center"/>
                </w:tcPr>
                <w:p w14:paraId="3F564E7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1.176</w:t>
                  </w:r>
                </w:p>
              </w:tc>
              <w:tc>
                <w:tcPr>
                  <w:tcW w:w="505" w:type="pct"/>
                  <w:noWrap w:val="0"/>
                  <w:vAlign w:val="center"/>
                </w:tcPr>
                <w:p w14:paraId="63CD457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c>
                <w:tcPr>
                  <w:tcW w:w="383" w:type="pct"/>
                  <w:noWrap w:val="0"/>
                  <w:vAlign w:val="center"/>
                </w:tcPr>
                <w:p w14:paraId="381BC0A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w:t>
                  </w:r>
                </w:p>
              </w:tc>
              <w:tc>
                <w:tcPr>
                  <w:tcW w:w="375" w:type="pct"/>
                  <w:noWrap w:val="0"/>
                  <w:vAlign w:val="center"/>
                </w:tcPr>
                <w:p w14:paraId="1A2AD08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5C86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14:paraId="11E8DEA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427" w:type="pct"/>
                  <w:noWrap w:val="0"/>
                  <w:vAlign w:val="center"/>
                </w:tcPr>
                <w:p w14:paraId="221FCB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rPr>
                  </w:pPr>
                  <w:r>
                    <w:rPr>
                      <w:rFonts w:hint="default" w:ascii="Times New Roman" w:hAnsi="Times New Roman" w:eastAsia="宋体" w:cs="Times New Roman"/>
                      <w:sz w:val="21"/>
                      <w:szCs w:val="21"/>
                    </w:rPr>
                    <w:t>BOD</w:t>
                  </w:r>
                </w:p>
              </w:tc>
              <w:tc>
                <w:tcPr>
                  <w:tcW w:w="636" w:type="pct"/>
                  <w:noWrap w:val="0"/>
                  <w:vAlign w:val="center"/>
                </w:tcPr>
                <w:p w14:paraId="1A40EDB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757" w:type="pct"/>
                  <w:noWrap w:val="0"/>
                  <w:vAlign w:val="center"/>
                </w:tcPr>
                <w:p w14:paraId="69FE021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1.92</w:t>
                  </w:r>
                </w:p>
              </w:tc>
              <w:tc>
                <w:tcPr>
                  <w:tcW w:w="636" w:type="pct"/>
                  <w:noWrap w:val="0"/>
                  <w:vAlign w:val="center"/>
                </w:tcPr>
                <w:p w14:paraId="57847E0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w:t>
                  </w:r>
                </w:p>
              </w:tc>
              <w:tc>
                <w:tcPr>
                  <w:tcW w:w="575" w:type="pct"/>
                  <w:noWrap w:val="0"/>
                  <w:vAlign w:val="center"/>
                </w:tcPr>
                <w:p w14:paraId="1955DB3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0.998</w:t>
                  </w:r>
                </w:p>
              </w:tc>
              <w:tc>
                <w:tcPr>
                  <w:tcW w:w="505" w:type="pct"/>
                  <w:noWrap w:val="0"/>
                  <w:vAlign w:val="center"/>
                </w:tcPr>
                <w:p w14:paraId="70A9F6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w:t>
                  </w:r>
                </w:p>
              </w:tc>
              <w:tc>
                <w:tcPr>
                  <w:tcW w:w="383" w:type="pct"/>
                  <w:noWrap w:val="0"/>
                  <w:vAlign w:val="center"/>
                </w:tcPr>
                <w:p w14:paraId="1D446C7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375" w:type="pct"/>
                  <w:noWrap w:val="0"/>
                  <w:vAlign w:val="center"/>
                </w:tcPr>
                <w:p w14:paraId="6E78C7B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386E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14:paraId="2C37B84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427" w:type="pct"/>
                  <w:noWrap w:val="0"/>
                  <w:vAlign w:val="center"/>
                </w:tcPr>
                <w:p w14:paraId="483046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A"/>
                      <w:sz w:val="21"/>
                      <w:szCs w:val="21"/>
                      <w:lang w:val="en-US" w:eastAsia="zh-CN"/>
                    </w:rPr>
                  </w:pPr>
                  <w:r>
                    <w:rPr>
                      <w:rFonts w:hint="default" w:ascii="Times New Roman" w:hAnsi="Times New Roman" w:eastAsia="宋体" w:cs="Times New Roman"/>
                      <w:sz w:val="21"/>
                      <w:szCs w:val="21"/>
                    </w:rPr>
                    <w:t>SS</w:t>
                  </w:r>
                </w:p>
              </w:tc>
              <w:tc>
                <w:tcPr>
                  <w:tcW w:w="636" w:type="pct"/>
                  <w:noWrap w:val="0"/>
                  <w:vAlign w:val="center"/>
                </w:tcPr>
                <w:p w14:paraId="4EC43A1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280</w:t>
                  </w:r>
                </w:p>
              </w:tc>
              <w:tc>
                <w:tcPr>
                  <w:tcW w:w="757" w:type="pct"/>
                  <w:noWrap w:val="0"/>
                  <w:vAlign w:val="center"/>
                </w:tcPr>
                <w:p w14:paraId="32165C5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2.688</w:t>
                  </w:r>
                </w:p>
              </w:tc>
              <w:tc>
                <w:tcPr>
                  <w:tcW w:w="636" w:type="pct"/>
                  <w:noWrap w:val="0"/>
                  <w:vAlign w:val="center"/>
                </w:tcPr>
                <w:p w14:paraId="5DBA835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575" w:type="pct"/>
                  <w:noWrap w:val="0"/>
                  <w:vAlign w:val="center"/>
                </w:tcPr>
                <w:p w14:paraId="2F21C1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0.564</w:t>
                  </w:r>
                </w:p>
              </w:tc>
              <w:tc>
                <w:tcPr>
                  <w:tcW w:w="505" w:type="pct"/>
                  <w:noWrap w:val="0"/>
                  <w:vAlign w:val="center"/>
                </w:tcPr>
                <w:p w14:paraId="5AFD3A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79</w:t>
                  </w:r>
                </w:p>
              </w:tc>
              <w:tc>
                <w:tcPr>
                  <w:tcW w:w="383" w:type="pct"/>
                  <w:noWrap w:val="0"/>
                  <w:vAlign w:val="center"/>
                </w:tcPr>
                <w:p w14:paraId="5747CA0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w:t>
                  </w:r>
                </w:p>
              </w:tc>
              <w:tc>
                <w:tcPr>
                  <w:tcW w:w="375" w:type="pct"/>
                  <w:noWrap w:val="0"/>
                  <w:vAlign w:val="center"/>
                </w:tcPr>
                <w:p w14:paraId="089BAD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14:paraId="2965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14:paraId="489475D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427" w:type="pct"/>
                  <w:noWrap w:val="0"/>
                  <w:vAlign w:val="center"/>
                </w:tcPr>
                <w:p w14:paraId="59A16F2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vertAlign w:val="baseline"/>
                      <w:lang w:val="en-US" w:eastAsia="zh-CN"/>
                    </w:rPr>
                    <w:t>氨氮</w:t>
                  </w:r>
                </w:p>
              </w:tc>
              <w:tc>
                <w:tcPr>
                  <w:tcW w:w="636" w:type="pct"/>
                  <w:noWrap w:val="0"/>
                  <w:vAlign w:val="center"/>
                </w:tcPr>
                <w:p w14:paraId="5560F6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757" w:type="pct"/>
                  <w:noWrap w:val="0"/>
                  <w:vAlign w:val="center"/>
                </w:tcPr>
                <w:p w14:paraId="644582B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0.336</w:t>
                  </w:r>
                </w:p>
              </w:tc>
              <w:tc>
                <w:tcPr>
                  <w:tcW w:w="636" w:type="pct"/>
                  <w:noWrap w:val="0"/>
                  <w:vAlign w:val="center"/>
                </w:tcPr>
                <w:p w14:paraId="4F40F4B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2"/>
                      <w:sz w:val="21"/>
                      <w:szCs w:val="21"/>
                      <w:lang w:val="en-US" w:eastAsia="zh-CN" w:bidi="ar-SA"/>
                    </w:rPr>
                    <w:t>30</w:t>
                  </w:r>
                </w:p>
              </w:tc>
              <w:tc>
                <w:tcPr>
                  <w:tcW w:w="575" w:type="pct"/>
                  <w:noWrap w:val="0"/>
                  <w:vAlign w:val="center"/>
                </w:tcPr>
                <w:p w14:paraId="7D16978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0.175</w:t>
                  </w:r>
                </w:p>
              </w:tc>
              <w:tc>
                <w:tcPr>
                  <w:tcW w:w="505" w:type="pct"/>
                  <w:noWrap w:val="0"/>
                  <w:vAlign w:val="center"/>
                </w:tcPr>
                <w:p w14:paraId="7F513F6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w:t>
                  </w:r>
                </w:p>
              </w:tc>
              <w:tc>
                <w:tcPr>
                  <w:tcW w:w="383" w:type="pct"/>
                  <w:noWrap w:val="0"/>
                  <w:vAlign w:val="center"/>
                </w:tcPr>
                <w:p w14:paraId="4750885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w:t>
                  </w:r>
                </w:p>
              </w:tc>
              <w:tc>
                <w:tcPr>
                  <w:tcW w:w="375" w:type="pct"/>
                  <w:noWrap w:val="0"/>
                  <w:vAlign w:val="center"/>
                </w:tcPr>
                <w:p w14:paraId="5F02993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14:paraId="6882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14:paraId="5007ACE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427" w:type="pct"/>
                  <w:noWrap w:val="0"/>
                  <w:vAlign w:val="center"/>
                </w:tcPr>
                <w:p w14:paraId="31C9F89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A"/>
                      <w:kern w:val="2"/>
                      <w:sz w:val="21"/>
                      <w:szCs w:val="21"/>
                      <w:lang w:val="en-US" w:eastAsia="zh-CN" w:bidi="ar-SA"/>
                    </w:rPr>
                  </w:pPr>
                  <w:r>
                    <w:rPr>
                      <w:rFonts w:hint="eastAsia" w:ascii="Times New Roman" w:hAnsi="Times New Roman" w:eastAsia="宋体" w:cs="Times New Roman"/>
                      <w:sz w:val="21"/>
                      <w:szCs w:val="21"/>
                      <w:lang w:val="en-US" w:eastAsia="zh-CN"/>
                    </w:rPr>
                    <w:t>总氮</w:t>
                  </w:r>
                </w:p>
              </w:tc>
              <w:tc>
                <w:tcPr>
                  <w:tcW w:w="636" w:type="pct"/>
                  <w:noWrap w:val="0"/>
                  <w:vAlign w:val="center"/>
                </w:tcPr>
                <w:p w14:paraId="45CA192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w:t>
                  </w:r>
                </w:p>
              </w:tc>
              <w:tc>
                <w:tcPr>
                  <w:tcW w:w="757" w:type="pct"/>
                  <w:noWrap w:val="0"/>
                  <w:vAlign w:val="center"/>
                </w:tcPr>
                <w:p w14:paraId="4B2EA0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0.384</w:t>
                  </w:r>
                </w:p>
              </w:tc>
              <w:tc>
                <w:tcPr>
                  <w:tcW w:w="636" w:type="pct"/>
                  <w:noWrap w:val="0"/>
                  <w:vAlign w:val="center"/>
                </w:tcPr>
                <w:p w14:paraId="227442F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tc>
              <w:tc>
                <w:tcPr>
                  <w:tcW w:w="575" w:type="pct"/>
                  <w:noWrap w:val="0"/>
                  <w:vAlign w:val="center"/>
                </w:tcPr>
                <w:p w14:paraId="578D183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0.230</w:t>
                  </w:r>
                </w:p>
              </w:tc>
              <w:tc>
                <w:tcPr>
                  <w:tcW w:w="505" w:type="pct"/>
                  <w:noWrap w:val="0"/>
                  <w:vAlign w:val="center"/>
                </w:tcPr>
                <w:p w14:paraId="21771F4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w:t>
                  </w:r>
                </w:p>
              </w:tc>
              <w:tc>
                <w:tcPr>
                  <w:tcW w:w="383" w:type="pct"/>
                  <w:noWrap w:val="0"/>
                  <w:vAlign w:val="center"/>
                </w:tcPr>
                <w:p w14:paraId="4DE40D2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70</w:t>
                  </w:r>
                </w:p>
              </w:tc>
              <w:tc>
                <w:tcPr>
                  <w:tcW w:w="375" w:type="pct"/>
                  <w:noWrap w:val="0"/>
                  <w:vAlign w:val="center"/>
                </w:tcPr>
                <w:p w14:paraId="45AAC3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达标</w:t>
                  </w:r>
                </w:p>
              </w:tc>
            </w:tr>
            <w:tr w14:paraId="22FD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01" w:type="pct"/>
                  <w:vMerge w:val="continue"/>
                  <w:noWrap w:val="0"/>
                  <w:vAlign w:val="center"/>
                </w:tcPr>
                <w:p w14:paraId="7818784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427" w:type="pct"/>
                  <w:noWrap w:val="0"/>
                  <w:vAlign w:val="center"/>
                </w:tcPr>
                <w:p w14:paraId="0799260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636" w:type="pct"/>
                  <w:noWrap w:val="0"/>
                  <w:vAlign w:val="center"/>
                </w:tcPr>
                <w:p w14:paraId="1CB5B25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757" w:type="pct"/>
                  <w:noWrap w:val="0"/>
                  <w:vAlign w:val="center"/>
                </w:tcPr>
                <w:p w14:paraId="34E56C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0.058</w:t>
                  </w:r>
                </w:p>
              </w:tc>
              <w:tc>
                <w:tcPr>
                  <w:tcW w:w="636" w:type="pct"/>
                  <w:noWrap w:val="0"/>
                  <w:vAlign w:val="center"/>
                </w:tcPr>
                <w:p w14:paraId="319BE51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575" w:type="pct"/>
                  <w:noWrap w:val="0"/>
                  <w:vAlign w:val="center"/>
                </w:tcPr>
                <w:p w14:paraId="631874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0.041</w:t>
                  </w:r>
                </w:p>
              </w:tc>
              <w:tc>
                <w:tcPr>
                  <w:tcW w:w="505" w:type="pct"/>
                  <w:noWrap w:val="0"/>
                  <w:vAlign w:val="center"/>
                </w:tcPr>
                <w:p w14:paraId="4D20488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383" w:type="pct"/>
                  <w:noWrap w:val="0"/>
                  <w:vAlign w:val="center"/>
                </w:tcPr>
                <w:p w14:paraId="14EBC9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375" w:type="pct"/>
                  <w:noWrap w:val="0"/>
                  <w:vAlign w:val="center"/>
                </w:tcPr>
                <w:p w14:paraId="188F592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bl>
          <w:p w14:paraId="7B7EC40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b w:val="0"/>
                <w:bCs w:val="0"/>
                <w:sz w:val="24"/>
                <w:lang w:val="en-US" w:eastAsia="zh-CN"/>
              </w:rPr>
            </w:pPr>
            <w:r>
              <w:rPr>
                <w:rFonts w:hint="eastAsia" w:cs="Times New Roman"/>
                <w:b w:val="0"/>
                <w:bCs w:val="0"/>
                <w:color w:val="auto"/>
                <w:sz w:val="24"/>
                <w:lang w:val="en-US" w:eastAsia="zh-CN"/>
              </w:rPr>
              <w:t>由表4-4、4-5可知，本项目运营期废水经厂区处理设施预处理后达到</w:t>
            </w:r>
            <w:r>
              <w:rPr>
                <w:rFonts w:hint="default"/>
                <w:b w:val="0"/>
                <w:bCs w:val="0"/>
                <w:sz w:val="24"/>
                <w:szCs w:val="28"/>
              </w:rPr>
              <w:t>《污水综合排放标准》（GB8978-1996）三级标准</w:t>
            </w:r>
            <w:r>
              <w:rPr>
                <w:rFonts w:hint="default"/>
                <w:b w:val="0"/>
                <w:bCs w:val="0"/>
                <w:sz w:val="24"/>
              </w:rPr>
              <w:t>和《污水排入城镇下水道水质标准》（GB/T31962-2015）</w:t>
            </w:r>
            <w:r>
              <w:rPr>
                <w:rFonts w:hint="eastAsia"/>
                <w:b w:val="0"/>
                <w:bCs w:val="0"/>
                <w:sz w:val="24"/>
              </w:rPr>
              <w:t>B</w:t>
            </w:r>
            <w:r>
              <w:rPr>
                <w:rFonts w:hint="default"/>
                <w:b w:val="0"/>
                <w:bCs w:val="0"/>
                <w:sz w:val="24"/>
              </w:rPr>
              <w:t>级标准</w:t>
            </w:r>
            <w:r>
              <w:rPr>
                <w:rFonts w:hint="eastAsia"/>
                <w:b w:val="0"/>
                <w:bCs w:val="0"/>
                <w:sz w:val="24"/>
                <w:lang w:val="en-US" w:eastAsia="zh-CN"/>
              </w:rPr>
              <w:t>后排入市政管网，</w:t>
            </w:r>
            <w:r>
              <w:rPr>
                <w:rFonts w:hint="eastAsia"/>
                <w:b w:val="0"/>
                <w:bCs w:val="0"/>
                <w:color w:val="FF0000"/>
                <w:sz w:val="24"/>
                <w:lang w:val="en-US" w:eastAsia="zh-CN"/>
              </w:rPr>
              <w:t>进入安康市建民污水处理厂处理后排放。</w:t>
            </w:r>
          </w:p>
          <w:p w14:paraId="4240AF7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FF0000"/>
                <w:sz w:val="24"/>
                <w:lang w:val="en-US" w:eastAsia="zh-CN"/>
              </w:rPr>
            </w:pPr>
            <w:r>
              <w:rPr>
                <w:rFonts w:hint="default" w:ascii="Times New Roman" w:hAnsi="Times New Roman" w:cs="Times New Roman"/>
                <w:b/>
                <w:bCs/>
                <w:color w:val="FF0000"/>
                <w:sz w:val="24"/>
                <w:lang w:val="en-US" w:eastAsia="zh-CN"/>
              </w:rPr>
              <w:t>2、</w:t>
            </w:r>
            <w:r>
              <w:rPr>
                <w:rFonts w:hint="eastAsia" w:cs="Times New Roman"/>
                <w:b/>
                <w:bCs/>
                <w:color w:val="FF0000"/>
                <w:sz w:val="24"/>
                <w:lang w:val="en-US" w:eastAsia="zh-CN"/>
              </w:rPr>
              <w:t>项目废水依托安康市建民污水处理厂的依托可行性分析</w:t>
            </w:r>
          </w:p>
          <w:p w14:paraId="667737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FF0000"/>
                <w:sz w:val="24"/>
                <w:lang w:val="en-US" w:eastAsia="zh-CN"/>
              </w:rPr>
            </w:pPr>
            <w:r>
              <w:rPr>
                <w:rFonts w:hint="eastAsia" w:cs="Times New Roman"/>
                <w:b w:val="0"/>
                <w:bCs w:val="0"/>
                <w:color w:val="FF0000"/>
                <w:sz w:val="24"/>
                <w:lang w:val="en-US" w:eastAsia="zh-CN"/>
              </w:rPr>
              <w:t>本项目运营期废水经厂区处理设施预处理后达到</w:t>
            </w:r>
            <w:r>
              <w:rPr>
                <w:rFonts w:hint="default"/>
                <w:b w:val="0"/>
                <w:bCs w:val="0"/>
                <w:color w:val="FF0000"/>
                <w:sz w:val="24"/>
                <w:szCs w:val="28"/>
              </w:rPr>
              <w:t>《污水综合排放标准》（GB8978-1996）三级标准</w:t>
            </w:r>
            <w:r>
              <w:rPr>
                <w:rFonts w:hint="default"/>
                <w:b w:val="0"/>
                <w:bCs w:val="0"/>
                <w:color w:val="FF0000"/>
                <w:sz w:val="24"/>
              </w:rPr>
              <w:t>和《污水排入城镇下水道水质标准》（GB/T31962-2015）</w:t>
            </w:r>
            <w:r>
              <w:rPr>
                <w:rFonts w:hint="eastAsia"/>
                <w:b w:val="0"/>
                <w:bCs w:val="0"/>
                <w:color w:val="FF0000"/>
                <w:sz w:val="24"/>
              </w:rPr>
              <w:t>B</w:t>
            </w:r>
            <w:r>
              <w:rPr>
                <w:rFonts w:hint="default"/>
                <w:b w:val="0"/>
                <w:bCs w:val="0"/>
                <w:color w:val="FF0000"/>
                <w:sz w:val="24"/>
              </w:rPr>
              <w:t>级标准</w:t>
            </w:r>
            <w:r>
              <w:rPr>
                <w:rFonts w:hint="eastAsia"/>
                <w:b w:val="0"/>
                <w:bCs w:val="0"/>
                <w:color w:val="FF0000"/>
                <w:sz w:val="24"/>
                <w:lang w:val="en-US" w:eastAsia="zh-CN"/>
              </w:rPr>
              <w:t>后排入市政管网，进入安康市建民污水处理厂处理后排放。</w:t>
            </w:r>
          </w:p>
          <w:p w14:paraId="31CD5F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highlight w:val="none"/>
                <w:lang w:val="en-US" w:eastAsia="zh-CN"/>
              </w:rPr>
            </w:pPr>
            <w:r>
              <w:rPr>
                <w:rFonts w:hint="default" w:ascii="Times New Roman" w:hAnsi="Times New Roman" w:eastAsia="宋体" w:cs="Times New Roman"/>
                <w:color w:val="FF0000"/>
                <w:sz w:val="24"/>
                <w:highlight w:val="none"/>
                <w:lang w:val="en-US" w:eastAsia="zh-CN"/>
              </w:rPr>
              <w:t>安康市建民污水处理厂位于安康市十天高速公路安康收费站以东、长铺村二组以西的区域范围内，总服务范围东至秦岭大道、南至十天高速以南区域、西至冉家河、北至总体规划确定的快速北环线，污水厂总服务面积</w:t>
            </w:r>
            <w:r>
              <w:rPr>
                <w:rFonts w:hint="eastAsia" w:ascii="Times New Roman" w:hAnsi="Times New Roman" w:eastAsia="宋体" w:cs="Times New Roman"/>
                <w:color w:val="FF0000"/>
                <w:sz w:val="24"/>
                <w:highlight w:val="none"/>
                <w:lang w:val="en-US" w:eastAsia="zh-CN"/>
              </w:rPr>
              <w:t>约39.11</w:t>
            </w:r>
            <w:r>
              <w:rPr>
                <w:rFonts w:hint="default" w:ascii="Times New Roman" w:hAnsi="Times New Roman" w:eastAsia="宋体" w:cs="Times New Roman"/>
                <w:color w:val="FF0000"/>
                <w:sz w:val="24"/>
                <w:highlight w:val="none"/>
                <w:lang w:val="en-US" w:eastAsia="zh-CN"/>
              </w:rPr>
              <w:t>km</w:t>
            </w:r>
            <w:r>
              <w:rPr>
                <w:rFonts w:hint="default" w:ascii="Times New Roman" w:hAnsi="Times New Roman" w:eastAsia="宋体" w:cs="Times New Roman"/>
                <w:color w:val="FF0000"/>
                <w:sz w:val="24"/>
                <w:highlight w:val="none"/>
                <w:vertAlign w:val="superscript"/>
                <w:lang w:val="en-US" w:eastAsia="zh-CN"/>
              </w:rPr>
              <w:t>2</w:t>
            </w:r>
            <w:r>
              <w:rPr>
                <w:rFonts w:hint="default" w:ascii="Times New Roman" w:hAnsi="Times New Roman" w:eastAsia="宋体" w:cs="Times New Roman"/>
                <w:color w:val="FF0000"/>
                <w:sz w:val="24"/>
                <w:highlight w:val="none"/>
                <w:lang w:val="en-US" w:eastAsia="zh-CN"/>
              </w:rPr>
              <w:t>。污水处理厂（一期）建设项目2015年1月开始施工，2017年1月工程竣工调试，2018年年底通过环保验收。一期工程污水处理规模为1.5万m</w:t>
            </w:r>
            <w:r>
              <w:rPr>
                <w:rFonts w:hint="default" w:ascii="Times New Roman" w:hAnsi="Times New Roman" w:eastAsia="宋体" w:cs="Times New Roman"/>
                <w:color w:val="FF0000"/>
                <w:sz w:val="24"/>
                <w:highlight w:val="none"/>
                <w:vertAlign w:val="superscript"/>
                <w:lang w:val="en-US" w:eastAsia="zh-CN"/>
              </w:rPr>
              <w:t>3</w:t>
            </w:r>
            <w:r>
              <w:rPr>
                <w:rFonts w:hint="default" w:ascii="Times New Roman" w:hAnsi="Times New Roman" w:eastAsia="宋体" w:cs="Times New Roman"/>
                <w:color w:val="FF0000"/>
                <w:sz w:val="24"/>
                <w:highlight w:val="none"/>
                <w:lang w:val="en-US" w:eastAsia="zh-CN"/>
              </w:rPr>
              <w:t>/d，采用“A</w:t>
            </w:r>
            <w:r>
              <w:rPr>
                <w:rFonts w:hint="default" w:ascii="Times New Roman" w:hAnsi="Times New Roman" w:eastAsia="宋体" w:cs="Times New Roman"/>
                <w:color w:val="FF0000"/>
                <w:sz w:val="24"/>
                <w:highlight w:val="none"/>
                <w:vertAlign w:val="superscript"/>
                <w:lang w:val="en-US" w:eastAsia="zh-CN"/>
              </w:rPr>
              <w:t>2</w:t>
            </w:r>
            <w:r>
              <w:rPr>
                <w:rFonts w:hint="default" w:ascii="Times New Roman" w:hAnsi="Times New Roman" w:eastAsia="宋体" w:cs="Times New Roman"/>
                <w:color w:val="FF0000"/>
                <w:sz w:val="24"/>
                <w:highlight w:val="none"/>
                <w:lang w:val="en-US" w:eastAsia="zh-CN"/>
              </w:rPr>
              <w:t>O+深度处理+三级处理+紫外消毒”处理工艺，出水水质可达《城镇污水处理厂污染物排放标准》（GB18918-2002）一级A标准。目前，安康建民污水处理厂</w:t>
            </w:r>
            <w:r>
              <w:rPr>
                <w:rFonts w:hint="eastAsia" w:ascii="Times New Roman" w:hAnsi="Times New Roman" w:eastAsia="宋体" w:cs="Times New Roman"/>
                <w:color w:val="FF0000"/>
                <w:sz w:val="24"/>
                <w:highlight w:val="none"/>
                <w:lang w:val="en-US" w:eastAsia="zh-CN"/>
              </w:rPr>
              <w:t>正在筹建</w:t>
            </w:r>
            <w:r>
              <w:rPr>
                <w:rFonts w:hint="default" w:ascii="Times New Roman" w:hAnsi="Times New Roman" w:eastAsia="宋体" w:cs="Times New Roman"/>
                <w:color w:val="FF0000"/>
                <w:sz w:val="24"/>
                <w:highlight w:val="none"/>
                <w:lang w:val="en-US" w:eastAsia="zh-CN"/>
              </w:rPr>
              <w:t>一期（二阶段）扩容及改造工程</w:t>
            </w:r>
            <w:r>
              <w:rPr>
                <w:rFonts w:hint="eastAsia" w:ascii="Times New Roman" w:hAnsi="Times New Roman" w:eastAsia="宋体" w:cs="Times New Roman"/>
                <w:color w:val="FF0000"/>
                <w:sz w:val="24"/>
                <w:highlight w:val="none"/>
                <w:lang w:val="en-US" w:eastAsia="zh-CN"/>
              </w:rPr>
              <w:t>，建成后形成污水处理规模3万m</w:t>
            </w:r>
            <w:r>
              <w:rPr>
                <w:rFonts w:hint="eastAsia" w:ascii="Times New Roman" w:hAnsi="Times New Roman" w:eastAsia="宋体" w:cs="Times New Roman"/>
                <w:color w:val="FF0000"/>
                <w:sz w:val="24"/>
                <w:highlight w:val="none"/>
                <w:vertAlign w:val="superscript"/>
                <w:lang w:val="en-US" w:eastAsia="zh-CN"/>
              </w:rPr>
              <w:t>3</w:t>
            </w:r>
            <w:r>
              <w:rPr>
                <w:rFonts w:hint="eastAsia" w:ascii="Times New Roman" w:hAnsi="Times New Roman" w:eastAsia="宋体" w:cs="Times New Roman"/>
                <w:color w:val="FF0000"/>
                <w:sz w:val="24"/>
                <w:highlight w:val="none"/>
                <w:lang w:val="en-US" w:eastAsia="zh-CN"/>
              </w:rPr>
              <w:t>/d。</w:t>
            </w:r>
            <w:r>
              <w:rPr>
                <w:rFonts w:hint="default" w:ascii="Times New Roman" w:hAnsi="Times New Roman" w:eastAsia="宋体" w:cs="Times New Roman"/>
                <w:color w:val="FF0000"/>
                <w:sz w:val="24"/>
                <w:highlight w:val="none"/>
                <w:lang w:val="en-US" w:eastAsia="zh-CN"/>
              </w:rPr>
              <w:t>一期（二阶段）扩容及改造工程</w:t>
            </w:r>
            <w:r>
              <w:rPr>
                <w:rFonts w:hint="eastAsia" w:ascii="Times New Roman" w:hAnsi="Times New Roman" w:eastAsia="宋体" w:cs="Times New Roman"/>
                <w:color w:val="FF0000"/>
                <w:sz w:val="24"/>
                <w:highlight w:val="none"/>
                <w:lang w:val="en-US" w:eastAsia="zh-CN"/>
              </w:rPr>
              <w:t>采用“预处理+A</w:t>
            </w:r>
            <w:r>
              <w:rPr>
                <w:rFonts w:hint="eastAsia" w:ascii="Times New Roman" w:hAnsi="Times New Roman" w:eastAsia="宋体" w:cs="Times New Roman"/>
                <w:color w:val="FF0000"/>
                <w:sz w:val="24"/>
                <w:highlight w:val="none"/>
                <w:vertAlign w:val="superscript"/>
                <w:lang w:val="en-US" w:eastAsia="zh-CN"/>
              </w:rPr>
              <w:t>2</w:t>
            </w:r>
            <w:r>
              <w:rPr>
                <w:rFonts w:hint="eastAsia" w:ascii="Times New Roman" w:hAnsi="Times New Roman" w:eastAsia="宋体" w:cs="Times New Roman"/>
                <w:color w:val="FF0000"/>
                <w:sz w:val="24"/>
                <w:highlight w:val="none"/>
                <w:lang w:val="en-US" w:eastAsia="zh-CN"/>
              </w:rPr>
              <w:t>/O生物池+二沉池+高效沉淀池+纤维转盘滤池+紫外线消毒”处理工艺，处理后的尾水达到《城镇污水处理厂污染物排放标准》（GB18918-2002）一级A标准，达标排入月河地表水体。</w:t>
            </w:r>
          </w:p>
          <w:p w14:paraId="777A3212">
            <w:pPr>
              <w:pStyle w:val="1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3"/>
              <w:rPr>
                <w:rFonts w:hint="default" w:ascii="Times New Roman" w:hAnsi="Times New Roman"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本项目位于安康市建民污水处理厂（一期）收水范围内，污水管网已铺设至项目所在地</w:t>
            </w:r>
            <w:r>
              <w:rPr>
                <w:rFonts w:hint="eastAsia" w:ascii="Times New Roman" w:hAnsi="Times New Roman" w:eastAsia="宋体" w:cs="Times New Roman"/>
                <w:color w:val="FF0000"/>
                <w:sz w:val="24"/>
                <w:szCs w:val="24"/>
                <w:highlight w:val="none"/>
                <w:lang w:val="en-US" w:eastAsia="zh-CN"/>
              </w:rPr>
              <w:t>，项目</w:t>
            </w:r>
            <w:r>
              <w:rPr>
                <w:rFonts w:hint="default" w:ascii="Times New Roman" w:hAnsi="Times New Roman" w:eastAsia="宋体" w:cs="Times New Roman"/>
                <w:color w:val="FF0000"/>
                <w:sz w:val="24"/>
                <w:highlight w:val="none"/>
                <w:lang w:val="en-US" w:eastAsia="zh-CN"/>
              </w:rPr>
              <w:t>废水排放量为</w:t>
            </w:r>
            <w:r>
              <w:rPr>
                <w:rFonts w:hint="eastAsia" w:ascii="Times New Roman" w:hAnsi="Times New Roman" w:eastAsia="宋体" w:cs="Times New Roman"/>
                <w:color w:val="FF0000"/>
                <w:sz w:val="24"/>
                <w:highlight w:val="none"/>
                <w:lang w:val="en-US" w:eastAsia="zh-CN"/>
              </w:rPr>
              <w:t>32.2</w:t>
            </w:r>
            <w:r>
              <w:rPr>
                <w:rFonts w:hint="default" w:ascii="Times New Roman" w:hAnsi="Times New Roman" w:eastAsia="宋体" w:cs="Times New Roman"/>
                <w:color w:val="FF0000"/>
                <w:sz w:val="24"/>
                <w:highlight w:val="none"/>
                <w:lang w:val="en-US" w:eastAsia="zh-CN"/>
              </w:rPr>
              <w:t>m</w:t>
            </w:r>
            <w:r>
              <w:rPr>
                <w:rFonts w:hint="default" w:ascii="Times New Roman" w:hAnsi="Times New Roman" w:eastAsia="宋体" w:cs="Times New Roman"/>
                <w:color w:val="FF0000"/>
                <w:sz w:val="24"/>
                <w:highlight w:val="none"/>
                <w:vertAlign w:val="superscript"/>
                <w:lang w:val="en-US" w:eastAsia="zh-CN"/>
              </w:rPr>
              <w:t>3</w:t>
            </w:r>
            <w:r>
              <w:rPr>
                <w:rFonts w:hint="default" w:ascii="Times New Roman" w:hAnsi="Times New Roman" w:eastAsia="宋体" w:cs="Times New Roman"/>
                <w:color w:val="FF0000"/>
                <w:sz w:val="24"/>
                <w:highlight w:val="none"/>
                <w:lang w:val="en-US" w:eastAsia="zh-CN"/>
              </w:rPr>
              <w:t>/d，占污水处理厂</w:t>
            </w:r>
            <w:r>
              <w:rPr>
                <w:rFonts w:hint="default" w:ascii="Times New Roman" w:hAnsi="Times New Roman" w:eastAsia="宋体" w:cs="Times New Roman"/>
                <w:color w:val="FF0000"/>
                <w:sz w:val="24"/>
                <w:szCs w:val="24"/>
                <w:highlight w:val="none"/>
                <w:lang w:val="en-US" w:eastAsia="zh-CN"/>
              </w:rPr>
              <w:t>（一期）</w:t>
            </w:r>
            <w:r>
              <w:rPr>
                <w:rFonts w:hint="default" w:ascii="Times New Roman" w:hAnsi="Times New Roman" w:eastAsia="宋体" w:cs="Times New Roman"/>
                <w:color w:val="FF0000"/>
                <w:sz w:val="24"/>
                <w:highlight w:val="none"/>
                <w:lang w:val="en-US" w:eastAsia="zh-CN"/>
              </w:rPr>
              <w:t>处理规模的</w:t>
            </w:r>
            <w:r>
              <w:rPr>
                <w:rFonts w:hint="eastAsia" w:ascii="Times New Roman" w:hAnsi="Times New Roman" w:eastAsia="宋体" w:cs="Times New Roman"/>
                <w:color w:val="FF0000"/>
                <w:sz w:val="24"/>
                <w:highlight w:val="none"/>
                <w:lang w:val="en-US" w:eastAsia="zh-CN"/>
              </w:rPr>
              <w:t>0.11</w:t>
            </w:r>
            <w:r>
              <w:rPr>
                <w:rFonts w:hint="default" w:ascii="Times New Roman" w:hAnsi="Times New Roman" w:eastAsia="宋体" w:cs="Times New Roman"/>
                <w:color w:val="FF0000"/>
                <w:sz w:val="24"/>
                <w:highlight w:val="none"/>
                <w:lang w:val="en-US" w:eastAsia="zh-CN"/>
              </w:rPr>
              <w:t>%</w:t>
            </w:r>
            <w:r>
              <w:rPr>
                <w:rFonts w:hint="eastAsia" w:ascii="Times New Roman" w:hAnsi="Times New Roman" w:eastAsia="宋体" w:cs="Times New Roman"/>
                <w:color w:val="FF0000"/>
                <w:sz w:val="24"/>
                <w:highlight w:val="none"/>
                <w:lang w:val="en-US" w:eastAsia="zh-CN"/>
              </w:rPr>
              <w:t>，</w:t>
            </w:r>
            <w:r>
              <w:rPr>
                <w:rFonts w:hint="eastAsia" w:ascii="Times New Roman" w:hAnsi="Times New Roman" w:eastAsia="宋体" w:cs="Times New Roman"/>
                <w:color w:val="FF0000"/>
                <w:sz w:val="24"/>
                <w:szCs w:val="24"/>
                <w:highlight w:val="none"/>
                <w:lang w:val="en-US" w:eastAsia="zh-CN"/>
              </w:rPr>
              <w:t>且经厂区污水处理站/化粪池预处理</w:t>
            </w:r>
            <w:r>
              <w:rPr>
                <w:rFonts w:hint="default" w:ascii="Times New Roman" w:hAnsi="Times New Roman" w:eastAsia="宋体" w:cs="Times New Roman"/>
                <w:color w:val="FF0000"/>
                <w:sz w:val="24"/>
                <w:highlight w:val="none"/>
                <w:lang w:val="en-US" w:eastAsia="zh-CN"/>
              </w:rPr>
              <w:t>后</w:t>
            </w:r>
            <w:r>
              <w:rPr>
                <w:rFonts w:hint="default" w:ascii="Times New Roman" w:hAnsi="Times New Roman" w:eastAsia="宋体" w:cs="Times New Roman"/>
                <w:color w:val="FF0000"/>
                <w:sz w:val="24"/>
                <w:highlight w:val="none"/>
              </w:rPr>
              <w:t>达到</w:t>
            </w:r>
            <w:r>
              <w:rPr>
                <w:rFonts w:hint="default" w:ascii="Times New Roman" w:hAnsi="Times New Roman" w:eastAsia="宋体" w:cs="Times New Roman"/>
                <w:color w:val="FF0000"/>
                <w:sz w:val="24"/>
                <w:highlight w:val="none"/>
                <w:lang w:eastAsia="zh-CN"/>
              </w:rPr>
              <w:t>《污水综合排放标准》（GB8978-1996）三级标准</w:t>
            </w:r>
            <w:r>
              <w:rPr>
                <w:rFonts w:hint="default" w:ascii="Times New Roman" w:hAnsi="Times New Roman" w:eastAsia="宋体" w:cs="Times New Roman"/>
                <w:color w:val="FF0000"/>
                <w:sz w:val="24"/>
                <w:highlight w:val="none"/>
                <w:lang w:val="en-US" w:eastAsia="zh-CN"/>
              </w:rPr>
              <w:t>及《污水排入城镇下水道水质标准》GB/T31962-2015中B级标准，</w:t>
            </w:r>
            <w:r>
              <w:rPr>
                <w:rFonts w:hint="eastAsia" w:ascii="Times New Roman" w:hAnsi="Times New Roman" w:eastAsia="宋体" w:cs="Times New Roman"/>
                <w:color w:val="FF0000"/>
                <w:sz w:val="24"/>
                <w:highlight w:val="none"/>
                <w:lang w:val="en-US" w:eastAsia="zh-CN"/>
              </w:rPr>
              <w:t>可</w:t>
            </w:r>
            <w:r>
              <w:rPr>
                <w:rFonts w:hint="default" w:ascii="Times New Roman" w:hAnsi="Times New Roman" w:eastAsia="宋体" w:cs="Times New Roman"/>
                <w:color w:val="FF0000"/>
                <w:kern w:val="0"/>
                <w:sz w:val="24"/>
                <w:szCs w:val="24"/>
                <w:highlight w:val="none"/>
                <w:lang w:val="en-US" w:eastAsia="zh-CN" w:bidi="ar"/>
              </w:rPr>
              <w:t>满足</w:t>
            </w:r>
            <w:r>
              <w:rPr>
                <w:rFonts w:hint="default" w:ascii="Times New Roman" w:hAnsi="Times New Roman" w:cs="Times New Roman"/>
                <w:color w:val="FF0000"/>
                <w:sz w:val="24"/>
                <w:highlight w:val="none"/>
                <w:lang w:val="en-US" w:eastAsia="zh-CN"/>
              </w:rPr>
              <w:t>安康市建民污水处理厂</w:t>
            </w:r>
            <w:r>
              <w:rPr>
                <w:rFonts w:hint="default" w:ascii="Times New Roman" w:hAnsi="Times New Roman" w:eastAsia="宋体" w:cs="Times New Roman"/>
                <w:color w:val="FF0000"/>
                <w:kern w:val="0"/>
                <w:sz w:val="24"/>
                <w:szCs w:val="24"/>
                <w:highlight w:val="none"/>
                <w:lang w:val="en-US" w:eastAsia="zh-CN" w:bidi="ar"/>
              </w:rPr>
              <w:t>的设计进水水质要求，</w:t>
            </w:r>
            <w:r>
              <w:rPr>
                <w:rFonts w:hint="default" w:ascii="Times New Roman" w:hAnsi="Times New Roman" w:cs="Times New Roman"/>
                <w:color w:val="FF0000"/>
                <w:sz w:val="24"/>
                <w:szCs w:val="24"/>
                <w:highlight w:val="none"/>
              </w:rPr>
              <w:t>不会对</w:t>
            </w:r>
            <w:r>
              <w:rPr>
                <w:rFonts w:hint="default" w:ascii="Times New Roman" w:hAnsi="Times New Roman" w:cs="Times New Roman"/>
                <w:color w:val="FF0000"/>
                <w:sz w:val="24"/>
                <w:highlight w:val="none"/>
                <w:lang w:val="en-US" w:eastAsia="zh-CN"/>
              </w:rPr>
              <w:t>安康市建民污</w:t>
            </w:r>
            <w:r>
              <w:rPr>
                <w:rFonts w:hint="default" w:ascii="Times New Roman" w:hAnsi="Times New Roman" w:eastAsia="宋体" w:cs="Times New Roman"/>
                <w:color w:val="FF0000"/>
                <w:sz w:val="24"/>
                <w:highlight w:val="none"/>
                <w:lang w:val="en-US" w:eastAsia="zh-CN"/>
              </w:rPr>
              <w:t>水处理厂造成冲击。</w:t>
            </w:r>
          </w:p>
          <w:p w14:paraId="0CF8331E">
            <w:pPr>
              <w:pStyle w:val="1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3"/>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综上，项目废水经市政污水管网排入安康市建民污水处理厂可行。</w:t>
            </w:r>
          </w:p>
          <w:p w14:paraId="37F3B4D6">
            <w:pPr>
              <w:keepNext w:val="0"/>
              <w:keepLines w:val="0"/>
              <w:suppressLineNumbers w:val="0"/>
              <w:adjustRightInd w:val="0"/>
              <w:snapToGrid w:val="0"/>
              <w:spacing w:before="0" w:beforeAutospacing="0" w:after="0" w:afterAutospacing="0" w:line="360" w:lineRule="auto"/>
              <w:ind w:left="0" w:right="0" w:firstLine="482" w:firstLineChars="200"/>
              <w:rPr>
                <w:rFonts w:hint="eastAsia"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lang w:val="en-US" w:eastAsia="zh-CN"/>
                <w14:textFill>
                  <w14:solidFill>
                    <w14:schemeClr w14:val="tx1"/>
                  </w14:solidFill>
                </w14:textFill>
              </w:rPr>
              <w:t>监测计划</w:t>
            </w:r>
          </w:p>
          <w:p w14:paraId="2ACC9FED">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szCs w:val="32"/>
                <w:lang w:val="en-US" w:eastAsia="zh-CN"/>
              </w:rPr>
            </w:pPr>
            <w:r>
              <w:rPr>
                <w:rFonts w:hint="eastAsia"/>
                <w:sz w:val="24"/>
                <w:szCs w:val="32"/>
                <w:lang w:val="en-US" w:eastAsia="zh-CN"/>
              </w:rPr>
              <w:t>（1）排放口情况</w:t>
            </w:r>
          </w:p>
          <w:p w14:paraId="3025130B">
            <w:pPr>
              <w:keepNext w:val="0"/>
              <w:keepLines w:val="0"/>
              <w:suppressLineNumbers w:val="0"/>
              <w:adjustRightInd w:val="0"/>
              <w:snapToGrid w:val="0"/>
              <w:spacing w:before="0" w:beforeAutospacing="0" w:after="0" w:afterAutospacing="0" w:line="360" w:lineRule="auto"/>
              <w:ind w:left="0" w:right="0" w:firstLine="480" w:firstLineChars="200"/>
              <w:rPr>
                <w:rFonts w:hint="eastAsia"/>
                <w:sz w:val="24"/>
                <w:szCs w:val="32"/>
                <w:lang w:val="en-US" w:eastAsia="zh-CN"/>
              </w:rPr>
            </w:pPr>
            <w:r>
              <w:rPr>
                <w:rFonts w:hint="eastAsia"/>
                <w:sz w:val="24"/>
                <w:szCs w:val="32"/>
                <w:lang w:val="en-US" w:eastAsia="zh-CN"/>
              </w:rPr>
              <w:t>项目废水设一个综合排放口，排放口基础信息见下表：</w:t>
            </w:r>
          </w:p>
          <w:p w14:paraId="49CDB1A1">
            <w:pPr>
              <w:pStyle w:val="8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eastAsia" w:ascii="Times New Roman" w:hAnsi="Times New Roman" w:eastAsia="宋体" w:cs="Times New Roman"/>
                <w:b/>
                <w:bCs w:val="0"/>
                <w:lang w:val="en-US" w:eastAsia="zh-CN"/>
              </w:rPr>
            </w:pPr>
            <w:r>
              <w:rPr>
                <w:rFonts w:hint="eastAsia" w:ascii="Times New Roman" w:hAnsi="Times New Roman" w:eastAsia="宋体" w:cs="Times New Roman"/>
                <w:b/>
                <w:bCs w:val="0"/>
                <w:lang w:val="en-US" w:eastAsia="zh-CN"/>
              </w:rPr>
              <w:t>表4-6  废水类别、污染物及污染治理设施信息表</w:t>
            </w:r>
          </w:p>
          <w:tbl>
            <w:tblPr>
              <w:tblStyle w:val="36"/>
              <w:tblW w:w="805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14"/>
              <w:gridCol w:w="658"/>
              <w:gridCol w:w="818"/>
              <w:gridCol w:w="748"/>
              <w:gridCol w:w="872"/>
              <w:gridCol w:w="836"/>
              <w:gridCol w:w="1116"/>
              <w:gridCol w:w="806"/>
              <w:gridCol w:w="938"/>
              <w:gridCol w:w="851"/>
            </w:tblGrid>
            <w:tr w14:paraId="26DD3C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05" w:hRule="atLeast"/>
              </w:trPr>
              <w:tc>
                <w:tcPr>
                  <w:tcW w:w="414" w:type="dxa"/>
                  <w:vMerge w:val="restart"/>
                  <w:tcBorders>
                    <w:tl2br w:val="nil"/>
                    <w:tr2bl w:val="nil"/>
                  </w:tcBorders>
                  <w:noWrap w:val="0"/>
                  <w:vAlign w:val="center"/>
                </w:tcPr>
                <w:p w14:paraId="64ECC5F6">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序号</w:t>
                  </w:r>
                </w:p>
              </w:tc>
              <w:tc>
                <w:tcPr>
                  <w:tcW w:w="658" w:type="dxa"/>
                  <w:vMerge w:val="restart"/>
                  <w:tcBorders>
                    <w:tl2br w:val="nil"/>
                    <w:tr2bl w:val="nil"/>
                  </w:tcBorders>
                  <w:noWrap w:val="0"/>
                  <w:vAlign w:val="center"/>
                </w:tcPr>
                <w:p w14:paraId="329F51F6">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废水类别</w:t>
                  </w:r>
                </w:p>
              </w:tc>
              <w:tc>
                <w:tcPr>
                  <w:tcW w:w="818" w:type="dxa"/>
                  <w:vMerge w:val="restart"/>
                  <w:tcBorders>
                    <w:tl2br w:val="nil"/>
                    <w:tr2bl w:val="nil"/>
                  </w:tcBorders>
                  <w:noWrap w:val="0"/>
                  <w:vAlign w:val="center"/>
                </w:tcPr>
                <w:p w14:paraId="3EF60990">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污染物种类</w:t>
                  </w:r>
                </w:p>
              </w:tc>
              <w:tc>
                <w:tcPr>
                  <w:tcW w:w="748" w:type="dxa"/>
                  <w:vMerge w:val="restart"/>
                  <w:tcBorders>
                    <w:tl2br w:val="nil"/>
                    <w:tr2bl w:val="nil"/>
                  </w:tcBorders>
                  <w:noWrap w:val="0"/>
                  <w:vAlign w:val="center"/>
                </w:tcPr>
                <w:p w14:paraId="1CD80CD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排放规律</w:t>
                  </w:r>
                </w:p>
              </w:tc>
              <w:tc>
                <w:tcPr>
                  <w:tcW w:w="2824" w:type="dxa"/>
                  <w:gridSpan w:val="3"/>
                  <w:tcBorders>
                    <w:tl2br w:val="nil"/>
                    <w:tr2bl w:val="nil"/>
                  </w:tcBorders>
                  <w:noWrap w:val="0"/>
                  <w:vAlign w:val="center"/>
                </w:tcPr>
                <w:p w14:paraId="713A030C">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污染治理设施</w:t>
                  </w:r>
                </w:p>
              </w:tc>
              <w:tc>
                <w:tcPr>
                  <w:tcW w:w="806" w:type="dxa"/>
                  <w:vMerge w:val="restart"/>
                  <w:tcBorders>
                    <w:tl2br w:val="nil"/>
                    <w:tr2bl w:val="nil"/>
                  </w:tcBorders>
                  <w:noWrap w:val="0"/>
                  <w:vAlign w:val="center"/>
                </w:tcPr>
                <w:p w14:paraId="67E36A0E">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排放口编号</w:t>
                  </w:r>
                </w:p>
              </w:tc>
              <w:tc>
                <w:tcPr>
                  <w:tcW w:w="938" w:type="dxa"/>
                  <w:vMerge w:val="restart"/>
                  <w:tcBorders>
                    <w:tl2br w:val="nil"/>
                    <w:tr2bl w:val="nil"/>
                  </w:tcBorders>
                  <w:noWrap w:val="0"/>
                  <w:vAlign w:val="center"/>
                </w:tcPr>
                <w:p w14:paraId="5F10A096">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排放口设施是否符合要求</w:t>
                  </w:r>
                </w:p>
              </w:tc>
              <w:tc>
                <w:tcPr>
                  <w:tcW w:w="851" w:type="dxa"/>
                  <w:vMerge w:val="restart"/>
                  <w:tcBorders>
                    <w:tl2br w:val="nil"/>
                    <w:tr2bl w:val="nil"/>
                  </w:tcBorders>
                  <w:noWrap w:val="0"/>
                  <w:vAlign w:val="center"/>
                </w:tcPr>
                <w:p w14:paraId="74924EBE">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排放口类型</w:t>
                  </w:r>
                </w:p>
              </w:tc>
            </w:tr>
            <w:tr w14:paraId="46232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90" w:hRule="atLeast"/>
              </w:trPr>
              <w:tc>
                <w:tcPr>
                  <w:tcW w:w="414" w:type="dxa"/>
                  <w:vMerge w:val="continue"/>
                  <w:tcBorders>
                    <w:tl2br w:val="nil"/>
                    <w:tr2bl w:val="nil"/>
                  </w:tcBorders>
                  <w:noWrap w:val="0"/>
                  <w:vAlign w:val="center"/>
                </w:tcPr>
                <w:p w14:paraId="2BF9134E">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658" w:type="dxa"/>
                  <w:vMerge w:val="continue"/>
                  <w:tcBorders>
                    <w:tl2br w:val="nil"/>
                    <w:tr2bl w:val="nil"/>
                  </w:tcBorders>
                  <w:noWrap w:val="0"/>
                  <w:vAlign w:val="center"/>
                </w:tcPr>
                <w:p w14:paraId="29DC2C84">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18" w:type="dxa"/>
                  <w:vMerge w:val="continue"/>
                  <w:tcBorders>
                    <w:tl2br w:val="nil"/>
                    <w:tr2bl w:val="nil"/>
                  </w:tcBorders>
                  <w:noWrap w:val="0"/>
                  <w:vAlign w:val="center"/>
                </w:tcPr>
                <w:p w14:paraId="1E18976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748" w:type="dxa"/>
                  <w:vMerge w:val="continue"/>
                  <w:tcBorders>
                    <w:tl2br w:val="nil"/>
                    <w:tr2bl w:val="nil"/>
                  </w:tcBorders>
                  <w:noWrap w:val="0"/>
                  <w:vAlign w:val="center"/>
                </w:tcPr>
                <w:p w14:paraId="24C8EED2">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72" w:type="dxa"/>
                  <w:tcBorders>
                    <w:tl2br w:val="nil"/>
                    <w:tr2bl w:val="nil"/>
                  </w:tcBorders>
                  <w:noWrap w:val="0"/>
                  <w:vAlign w:val="center"/>
                </w:tcPr>
                <w:p w14:paraId="3A059F0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污染治理设施编号</w:t>
                  </w:r>
                </w:p>
              </w:tc>
              <w:tc>
                <w:tcPr>
                  <w:tcW w:w="836" w:type="dxa"/>
                  <w:tcBorders>
                    <w:tl2br w:val="nil"/>
                    <w:tr2bl w:val="nil"/>
                  </w:tcBorders>
                  <w:noWrap w:val="0"/>
                  <w:vAlign w:val="center"/>
                </w:tcPr>
                <w:p w14:paraId="2A2B1BB7">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污染治理设施名称</w:t>
                  </w:r>
                </w:p>
              </w:tc>
              <w:tc>
                <w:tcPr>
                  <w:tcW w:w="1116" w:type="dxa"/>
                  <w:tcBorders>
                    <w:tl2br w:val="nil"/>
                    <w:tr2bl w:val="nil"/>
                  </w:tcBorders>
                  <w:noWrap w:val="0"/>
                  <w:vAlign w:val="center"/>
                </w:tcPr>
                <w:p w14:paraId="638A79C2">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污染治理设施工艺</w:t>
                  </w:r>
                </w:p>
              </w:tc>
              <w:tc>
                <w:tcPr>
                  <w:tcW w:w="806" w:type="dxa"/>
                  <w:vMerge w:val="continue"/>
                  <w:tcBorders>
                    <w:tl2br w:val="nil"/>
                    <w:tr2bl w:val="nil"/>
                  </w:tcBorders>
                  <w:noWrap w:val="0"/>
                  <w:vAlign w:val="center"/>
                </w:tcPr>
                <w:p w14:paraId="0C1F891F">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938" w:type="dxa"/>
                  <w:vMerge w:val="continue"/>
                  <w:tcBorders>
                    <w:tl2br w:val="nil"/>
                    <w:tr2bl w:val="nil"/>
                  </w:tcBorders>
                  <w:noWrap w:val="0"/>
                  <w:vAlign w:val="center"/>
                </w:tcPr>
                <w:p w14:paraId="3D940722">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51" w:type="dxa"/>
                  <w:vMerge w:val="continue"/>
                  <w:tcBorders>
                    <w:tl2br w:val="nil"/>
                    <w:tr2bl w:val="nil"/>
                  </w:tcBorders>
                  <w:noWrap w:val="0"/>
                  <w:vAlign w:val="center"/>
                </w:tcPr>
                <w:p w14:paraId="627220E0">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r>
            <w:tr w14:paraId="6134F5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387" w:hRule="atLeast"/>
              </w:trPr>
              <w:tc>
                <w:tcPr>
                  <w:tcW w:w="414" w:type="dxa"/>
                  <w:vMerge w:val="restart"/>
                  <w:tcBorders>
                    <w:tl2br w:val="nil"/>
                    <w:tr2bl w:val="nil"/>
                  </w:tcBorders>
                  <w:noWrap w:val="0"/>
                  <w:vAlign w:val="center"/>
                </w:tcPr>
                <w:p w14:paraId="25E7FD50">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w:t>
                  </w:r>
                </w:p>
              </w:tc>
              <w:tc>
                <w:tcPr>
                  <w:tcW w:w="658" w:type="dxa"/>
                  <w:vMerge w:val="restart"/>
                  <w:tcBorders>
                    <w:tl2br w:val="nil"/>
                    <w:tr2bl w:val="nil"/>
                  </w:tcBorders>
                  <w:noWrap w:val="0"/>
                  <w:vAlign w:val="center"/>
                </w:tcPr>
                <w:p w14:paraId="1A0C007F">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综合废水</w:t>
                  </w:r>
                </w:p>
              </w:tc>
              <w:tc>
                <w:tcPr>
                  <w:tcW w:w="818" w:type="dxa"/>
                  <w:vMerge w:val="restart"/>
                  <w:tcBorders>
                    <w:tl2br w:val="nil"/>
                    <w:tr2bl w:val="nil"/>
                  </w:tcBorders>
                  <w:noWrap w:val="0"/>
                  <w:vAlign w:val="center"/>
                </w:tcPr>
                <w:p w14:paraId="76A84A4A">
                  <w:pPr>
                    <w:pStyle w:val="9"/>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FF0000"/>
                      <w:kern w:val="0"/>
                      <w:sz w:val="21"/>
                      <w:szCs w:val="21"/>
                      <w:lang w:val="en-US" w:eastAsia="zh-CN" w:bidi="ar"/>
                    </w:rPr>
                    <w:t>COD、SS、氨氮、</w:t>
                  </w:r>
                  <w:r>
                    <w:rPr>
                      <w:rFonts w:hint="eastAsia" w:ascii="宋体" w:hAnsi="宋体" w:eastAsia="宋体" w:cs="宋体"/>
                      <w:color w:val="FF0000"/>
                      <w:sz w:val="21"/>
                      <w:szCs w:val="21"/>
                    </w:rPr>
                    <w:t>BOD</w:t>
                  </w:r>
                  <w:r>
                    <w:rPr>
                      <w:rFonts w:hint="eastAsia" w:ascii="宋体" w:hAnsi="宋体" w:eastAsia="宋体" w:cs="宋体"/>
                      <w:color w:val="FF0000"/>
                      <w:sz w:val="21"/>
                      <w:szCs w:val="21"/>
                      <w:vertAlign w:val="subscript"/>
                    </w:rPr>
                    <w:t>5</w:t>
                  </w:r>
                  <w:r>
                    <w:rPr>
                      <w:rFonts w:hint="eastAsia" w:ascii="宋体" w:hAnsi="宋体" w:eastAsia="宋体" w:cs="宋体"/>
                      <w:color w:val="FF0000"/>
                      <w:kern w:val="0"/>
                      <w:sz w:val="21"/>
                      <w:szCs w:val="21"/>
                      <w:lang w:val="en-US" w:eastAsia="zh-CN" w:bidi="ar"/>
                    </w:rPr>
                    <w:t>、PH、石油类、总磷、总氮</w:t>
                  </w:r>
                </w:p>
              </w:tc>
              <w:tc>
                <w:tcPr>
                  <w:tcW w:w="748" w:type="dxa"/>
                  <w:vMerge w:val="restart"/>
                  <w:tcBorders>
                    <w:tl2br w:val="nil"/>
                    <w:tr2bl w:val="nil"/>
                  </w:tcBorders>
                  <w:noWrap w:val="0"/>
                  <w:vAlign w:val="center"/>
                </w:tcPr>
                <w:p w14:paraId="3F92403D">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间接排放，排放期间流量稳定</w:t>
                  </w:r>
                </w:p>
              </w:tc>
              <w:tc>
                <w:tcPr>
                  <w:tcW w:w="872" w:type="dxa"/>
                  <w:tcBorders>
                    <w:tl2br w:val="nil"/>
                    <w:tr2bl w:val="nil"/>
                  </w:tcBorders>
                  <w:noWrap w:val="0"/>
                  <w:vAlign w:val="center"/>
                </w:tcPr>
                <w:p w14:paraId="733A4239">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TW001（生活污水）</w:t>
                  </w:r>
                </w:p>
              </w:tc>
              <w:tc>
                <w:tcPr>
                  <w:tcW w:w="836" w:type="dxa"/>
                  <w:tcBorders>
                    <w:tl2br w:val="nil"/>
                    <w:tr2bl w:val="nil"/>
                  </w:tcBorders>
                  <w:noWrap w:val="0"/>
                  <w:vAlign w:val="center"/>
                </w:tcPr>
                <w:p w14:paraId="6507E4BC">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化粪池</w:t>
                  </w:r>
                </w:p>
              </w:tc>
              <w:tc>
                <w:tcPr>
                  <w:tcW w:w="1116" w:type="dxa"/>
                  <w:tcBorders>
                    <w:tl2br w:val="nil"/>
                    <w:tr2bl w:val="nil"/>
                  </w:tcBorders>
                  <w:noWrap w:val="0"/>
                  <w:vAlign w:val="center"/>
                </w:tcPr>
                <w:p w14:paraId="1AB03ED8">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沉淀</w:t>
                  </w:r>
                </w:p>
              </w:tc>
              <w:tc>
                <w:tcPr>
                  <w:tcW w:w="806" w:type="dxa"/>
                  <w:vMerge w:val="restart"/>
                  <w:tcBorders>
                    <w:tl2br w:val="nil"/>
                    <w:tr2bl w:val="nil"/>
                  </w:tcBorders>
                  <w:noWrap w:val="0"/>
                  <w:vAlign w:val="center"/>
                </w:tcPr>
                <w:p w14:paraId="7307EF03">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DW001</w:t>
                  </w:r>
                </w:p>
              </w:tc>
              <w:tc>
                <w:tcPr>
                  <w:tcW w:w="938" w:type="dxa"/>
                  <w:vMerge w:val="restart"/>
                  <w:tcBorders>
                    <w:tl2br w:val="nil"/>
                    <w:tr2bl w:val="nil"/>
                  </w:tcBorders>
                  <w:noWrap w:val="0"/>
                  <w:vAlign w:val="center"/>
                </w:tcPr>
                <w:p w14:paraId="02590302">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是</w:t>
                  </w:r>
                </w:p>
              </w:tc>
              <w:tc>
                <w:tcPr>
                  <w:tcW w:w="851" w:type="dxa"/>
                  <w:vMerge w:val="restart"/>
                  <w:tcBorders>
                    <w:tl2br w:val="nil"/>
                    <w:tr2bl w:val="nil"/>
                  </w:tcBorders>
                  <w:noWrap w:val="0"/>
                  <w:vAlign w:val="center"/>
                </w:tcPr>
                <w:p w14:paraId="23A1A6E9">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一般排放口=总排口</w:t>
                  </w:r>
                </w:p>
              </w:tc>
            </w:tr>
            <w:tr w14:paraId="729F40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397" w:hRule="atLeast"/>
              </w:trPr>
              <w:tc>
                <w:tcPr>
                  <w:tcW w:w="414" w:type="dxa"/>
                  <w:vMerge w:val="continue"/>
                  <w:tcBorders>
                    <w:tl2br w:val="nil"/>
                    <w:tr2bl w:val="nil"/>
                  </w:tcBorders>
                  <w:noWrap w:val="0"/>
                  <w:vAlign w:val="center"/>
                </w:tcPr>
                <w:p w14:paraId="03A8ADAE">
                  <w:pPr>
                    <w:pStyle w:val="9"/>
                    <w:keepNext w:val="0"/>
                    <w:keepLines w:val="0"/>
                    <w:suppressLineNumbers w:val="0"/>
                    <w:spacing w:before="0" w:beforeAutospacing="0" w:after="0" w:afterAutospacing="0" w:line="360" w:lineRule="auto"/>
                    <w:ind w:left="0" w:right="0"/>
                    <w:jc w:val="center"/>
                    <w:rPr>
                      <w:rFonts w:hint="default"/>
                    </w:rPr>
                  </w:pPr>
                </w:p>
              </w:tc>
              <w:tc>
                <w:tcPr>
                  <w:tcW w:w="658" w:type="dxa"/>
                  <w:vMerge w:val="continue"/>
                  <w:tcBorders>
                    <w:tl2br w:val="nil"/>
                    <w:tr2bl w:val="nil"/>
                  </w:tcBorders>
                  <w:noWrap w:val="0"/>
                  <w:vAlign w:val="center"/>
                </w:tcPr>
                <w:p w14:paraId="33C85F72">
                  <w:pPr>
                    <w:pStyle w:val="9"/>
                    <w:keepNext w:val="0"/>
                    <w:keepLines w:val="0"/>
                    <w:suppressLineNumbers w:val="0"/>
                    <w:spacing w:before="0" w:beforeAutospacing="0" w:after="0" w:afterAutospacing="0" w:line="360" w:lineRule="auto"/>
                    <w:ind w:left="0" w:right="0"/>
                    <w:jc w:val="center"/>
                    <w:rPr>
                      <w:rFonts w:hint="default"/>
                    </w:rPr>
                  </w:pPr>
                </w:p>
              </w:tc>
              <w:tc>
                <w:tcPr>
                  <w:tcW w:w="818" w:type="dxa"/>
                  <w:vMerge w:val="continue"/>
                  <w:tcBorders>
                    <w:tl2br w:val="nil"/>
                    <w:tr2bl w:val="nil"/>
                  </w:tcBorders>
                  <w:noWrap w:val="0"/>
                  <w:vAlign w:val="center"/>
                </w:tcPr>
                <w:p w14:paraId="4F7534BC">
                  <w:pPr>
                    <w:pStyle w:val="9"/>
                    <w:keepNext w:val="0"/>
                    <w:keepLines w:val="0"/>
                    <w:suppressLineNumbers w:val="0"/>
                    <w:spacing w:before="0" w:beforeAutospacing="0" w:after="0" w:afterAutospacing="0" w:line="360" w:lineRule="auto"/>
                    <w:ind w:left="0" w:right="0"/>
                    <w:jc w:val="center"/>
                    <w:rPr>
                      <w:rFonts w:hint="default"/>
                    </w:rPr>
                  </w:pPr>
                </w:p>
              </w:tc>
              <w:tc>
                <w:tcPr>
                  <w:tcW w:w="748" w:type="dxa"/>
                  <w:vMerge w:val="continue"/>
                  <w:tcBorders>
                    <w:tl2br w:val="nil"/>
                    <w:tr2bl w:val="nil"/>
                  </w:tcBorders>
                  <w:noWrap w:val="0"/>
                  <w:vAlign w:val="center"/>
                </w:tcPr>
                <w:p w14:paraId="2492D4CB">
                  <w:pPr>
                    <w:pStyle w:val="9"/>
                    <w:keepNext w:val="0"/>
                    <w:keepLines w:val="0"/>
                    <w:suppressLineNumbers w:val="0"/>
                    <w:spacing w:before="0" w:beforeAutospacing="0" w:after="0" w:afterAutospacing="0" w:line="360" w:lineRule="auto"/>
                    <w:ind w:left="0" w:right="0"/>
                    <w:jc w:val="center"/>
                    <w:rPr>
                      <w:rFonts w:hint="default"/>
                    </w:rPr>
                  </w:pPr>
                </w:p>
              </w:tc>
              <w:tc>
                <w:tcPr>
                  <w:tcW w:w="872" w:type="dxa"/>
                  <w:tcBorders>
                    <w:tl2br w:val="nil"/>
                    <w:tr2bl w:val="nil"/>
                  </w:tcBorders>
                  <w:noWrap w:val="0"/>
                  <w:vAlign w:val="center"/>
                </w:tcPr>
                <w:p w14:paraId="7341D67A">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TW002（生产废水）</w:t>
                  </w:r>
                </w:p>
              </w:tc>
              <w:tc>
                <w:tcPr>
                  <w:tcW w:w="836" w:type="dxa"/>
                  <w:tcBorders>
                    <w:tl2br w:val="nil"/>
                    <w:tr2bl w:val="nil"/>
                  </w:tcBorders>
                  <w:noWrap w:val="0"/>
                  <w:vAlign w:val="center"/>
                </w:tcPr>
                <w:p w14:paraId="2D92EE7C">
                  <w:pPr>
                    <w:pStyle w:val="9"/>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kern w:val="0"/>
                      <w:sz w:val="21"/>
                      <w:szCs w:val="21"/>
                      <w:vertAlign w:val="baseline"/>
                      <w:lang w:val="en-US" w:eastAsia="zh-CN" w:bidi="ar"/>
                    </w:rPr>
                  </w:pPr>
                  <w:r>
                    <w:rPr>
                      <w:rFonts w:hint="eastAsia" w:ascii="Times New Roman" w:hAnsi="Times New Roman" w:eastAsia="宋体" w:cs="Times New Roman"/>
                      <w:sz w:val="21"/>
                      <w:szCs w:val="21"/>
                      <w:lang w:val="en-US" w:eastAsia="zh-CN"/>
                    </w:rPr>
                    <w:t>污水处理站</w:t>
                  </w:r>
                </w:p>
              </w:tc>
              <w:tc>
                <w:tcPr>
                  <w:tcW w:w="1116" w:type="dxa"/>
                  <w:tcBorders>
                    <w:tl2br w:val="nil"/>
                    <w:tr2bl w:val="nil"/>
                  </w:tcBorders>
                  <w:noWrap w:val="0"/>
                  <w:vAlign w:val="center"/>
                </w:tcPr>
                <w:p w14:paraId="0B6F575D">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r>
                    <w:rPr>
                      <w:rFonts w:hint="default" w:ascii="Times New Roman" w:hAnsi="Times New Roman" w:eastAsia="宋体" w:cs="Times New Roman"/>
                      <w:sz w:val="21"/>
                      <w:szCs w:val="21"/>
                      <w:lang w:val="en-US" w:eastAsia="zh-CN"/>
                    </w:rPr>
                    <w:t>沉淀+中和+隔油+沉淀</w:t>
                  </w:r>
                </w:p>
              </w:tc>
              <w:tc>
                <w:tcPr>
                  <w:tcW w:w="806" w:type="dxa"/>
                  <w:vMerge w:val="continue"/>
                  <w:tcBorders>
                    <w:tl2br w:val="nil"/>
                    <w:tr2bl w:val="nil"/>
                  </w:tcBorders>
                  <w:noWrap w:val="0"/>
                  <w:vAlign w:val="center"/>
                </w:tcPr>
                <w:p w14:paraId="6FD42256">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938" w:type="dxa"/>
                  <w:vMerge w:val="continue"/>
                  <w:tcBorders>
                    <w:tl2br w:val="nil"/>
                    <w:tr2bl w:val="nil"/>
                  </w:tcBorders>
                  <w:noWrap w:val="0"/>
                  <w:vAlign w:val="center"/>
                </w:tcPr>
                <w:p w14:paraId="2A3454C8">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c>
                <w:tcPr>
                  <w:tcW w:w="851" w:type="dxa"/>
                  <w:vMerge w:val="continue"/>
                  <w:tcBorders>
                    <w:tl2br w:val="nil"/>
                    <w:tr2bl w:val="nil"/>
                  </w:tcBorders>
                  <w:noWrap w:val="0"/>
                  <w:vAlign w:val="center"/>
                </w:tcPr>
                <w:p w14:paraId="048BD7F3">
                  <w:pPr>
                    <w:pStyle w:val="9"/>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kern w:val="0"/>
                      <w:sz w:val="21"/>
                      <w:szCs w:val="21"/>
                      <w:vertAlign w:val="baseline"/>
                      <w:lang w:val="en-US" w:eastAsia="zh-CN" w:bidi="ar"/>
                    </w:rPr>
                  </w:pPr>
                </w:p>
              </w:tc>
            </w:tr>
          </w:tbl>
          <w:p w14:paraId="4929A93B">
            <w:pPr>
              <w:pStyle w:val="15"/>
              <w:keepNext w:val="0"/>
              <w:keepLines w:val="0"/>
              <w:suppressLineNumbers w:val="0"/>
              <w:spacing w:beforeAutospacing="0" w:afterAutospacing="0"/>
              <w:ind w:left="0" w:firstLine="2168" w:firstLineChars="900"/>
              <w:rPr>
                <w:rFonts w:hint="default"/>
                <w:b/>
                <w:bCs/>
                <w:lang w:val="en-US" w:eastAsia="zh-CN"/>
              </w:rPr>
            </w:pPr>
            <w:r>
              <w:rPr>
                <w:rFonts w:hint="default" w:ascii="Times New Roman" w:hAnsi="Times New Roman" w:eastAsia="宋体" w:cs="Times New Roman"/>
                <w:b/>
                <w:bCs/>
                <w:sz w:val="24"/>
                <w:szCs w:val="28"/>
                <w:lang w:val="en-US" w:eastAsia="zh-CN"/>
              </w:rPr>
              <w:t>表4-7      排放口基本信息情况表</w:t>
            </w:r>
          </w:p>
          <w:tbl>
            <w:tblPr>
              <w:tblStyle w:val="36"/>
              <w:tblW w:w="5000" w:type="pct"/>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04"/>
              <w:gridCol w:w="699"/>
              <w:gridCol w:w="966"/>
              <w:gridCol w:w="950"/>
              <w:gridCol w:w="1023"/>
              <w:gridCol w:w="881"/>
              <w:gridCol w:w="863"/>
              <w:gridCol w:w="883"/>
              <w:gridCol w:w="1585"/>
            </w:tblGrid>
            <w:tr w14:paraId="7E5A38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c>
                <w:tcPr>
                  <w:tcW w:w="244" w:type="pct"/>
                  <w:vMerge w:val="restart"/>
                  <w:tcBorders>
                    <w:tl2br w:val="nil"/>
                    <w:tr2bl w:val="nil"/>
                  </w:tcBorders>
                  <w:noWrap w:val="0"/>
                  <w:vAlign w:val="center"/>
                </w:tcPr>
                <w:p w14:paraId="4C7D24F3">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序号</w:t>
                  </w:r>
                </w:p>
              </w:tc>
              <w:tc>
                <w:tcPr>
                  <w:tcW w:w="423" w:type="pct"/>
                  <w:vMerge w:val="restart"/>
                  <w:tcBorders>
                    <w:tl2br w:val="nil"/>
                    <w:tr2bl w:val="nil"/>
                  </w:tcBorders>
                  <w:noWrap w:val="0"/>
                  <w:vAlign w:val="center"/>
                </w:tcPr>
                <w:p w14:paraId="7AEF35A3">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排放口编号</w:t>
                  </w:r>
                </w:p>
              </w:tc>
              <w:tc>
                <w:tcPr>
                  <w:tcW w:w="1160" w:type="pct"/>
                  <w:gridSpan w:val="2"/>
                  <w:tcBorders>
                    <w:tl2br w:val="nil"/>
                    <w:tr2bl w:val="nil"/>
                  </w:tcBorders>
                  <w:noWrap w:val="0"/>
                  <w:vAlign w:val="center"/>
                </w:tcPr>
                <w:p w14:paraId="59871BF4">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排放口地理坐标</w:t>
                  </w:r>
                </w:p>
              </w:tc>
              <w:tc>
                <w:tcPr>
                  <w:tcW w:w="619" w:type="pct"/>
                  <w:vMerge w:val="restart"/>
                  <w:tcBorders>
                    <w:tl2br w:val="nil"/>
                    <w:tr2bl w:val="nil"/>
                  </w:tcBorders>
                  <w:noWrap w:val="0"/>
                  <w:vAlign w:val="center"/>
                </w:tcPr>
                <w:p w14:paraId="424BB62B">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废水排放量（</w:t>
                  </w:r>
                  <w:r>
                    <w:rPr>
                      <w:rFonts w:hint="default" w:ascii="Times New Roman" w:hAnsi="Times New Roman" w:eastAsia="宋体" w:cs="Times New Roman"/>
                      <w:color w:val="auto"/>
                      <w:sz w:val="21"/>
                      <w:szCs w:val="21"/>
                    </w:rPr>
                    <w:t>m³/a</w:t>
                  </w:r>
                  <w:r>
                    <w:rPr>
                      <w:rFonts w:hint="eastAsia" w:ascii="宋体" w:hAnsi="宋体" w:eastAsia="宋体" w:cs="宋体"/>
                      <w:b/>
                      <w:bCs/>
                      <w:color w:val="000000"/>
                      <w:kern w:val="0"/>
                      <w:sz w:val="21"/>
                      <w:szCs w:val="21"/>
                      <w:lang w:val="en-US" w:eastAsia="zh-CN" w:bidi="ar"/>
                    </w:rPr>
                    <w:t>）</w:t>
                  </w:r>
                </w:p>
              </w:tc>
              <w:tc>
                <w:tcPr>
                  <w:tcW w:w="533" w:type="pct"/>
                  <w:vMerge w:val="restart"/>
                  <w:tcBorders>
                    <w:tl2br w:val="nil"/>
                    <w:tr2bl w:val="nil"/>
                  </w:tcBorders>
                  <w:noWrap w:val="0"/>
                  <w:vAlign w:val="center"/>
                </w:tcPr>
                <w:p w14:paraId="2C7F8EF8">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排放</w:t>
                  </w:r>
                </w:p>
                <w:p w14:paraId="51386105">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去向</w:t>
                  </w:r>
                </w:p>
              </w:tc>
              <w:tc>
                <w:tcPr>
                  <w:tcW w:w="522" w:type="pct"/>
                  <w:vMerge w:val="restart"/>
                  <w:tcBorders>
                    <w:tl2br w:val="nil"/>
                    <w:tr2bl w:val="nil"/>
                  </w:tcBorders>
                  <w:noWrap w:val="0"/>
                  <w:vAlign w:val="center"/>
                </w:tcPr>
                <w:p w14:paraId="26A6929E">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排放规律</w:t>
                  </w:r>
                </w:p>
              </w:tc>
              <w:tc>
                <w:tcPr>
                  <w:tcW w:w="534" w:type="pct"/>
                  <w:vMerge w:val="restart"/>
                  <w:tcBorders>
                    <w:tl2br w:val="nil"/>
                    <w:tr2bl w:val="nil"/>
                  </w:tcBorders>
                  <w:noWrap w:val="0"/>
                  <w:vAlign w:val="center"/>
                </w:tcPr>
                <w:p w14:paraId="6FCE53D5">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间歇排放时段</w:t>
                  </w:r>
                </w:p>
              </w:tc>
              <w:tc>
                <w:tcPr>
                  <w:tcW w:w="960" w:type="pct"/>
                  <w:vMerge w:val="restart"/>
                  <w:tcBorders>
                    <w:tl2br w:val="nil"/>
                    <w:tr2bl w:val="nil"/>
                  </w:tcBorders>
                  <w:noWrap w:val="0"/>
                  <w:vAlign w:val="center"/>
                </w:tcPr>
                <w:p w14:paraId="09B3722A">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排放标准</w:t>
                  </w:r>
                </w:p>
              </w:tc>
            </w:tr>
            <w:tr w14:paraId="5CBBCC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244" w:type="pct"/>
                  <w:vMerge w:val="continue"/>
                  <w:tcBorders>
                    <w:tl2br w:val="nil"/>
                    <w:tr2bl w:val="nil"/>
                  </w:tcBorders>
                  <w:noWrap w:val="0"/>
                  <w:vAlign w:val="center"/>
                </w:tcPr>
                <w:p w14:paraId="1671A401">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423" w:type="pct"/>
                  <w:vMerge w:val="continue"/>
                  <w:tcBorders>
                    <w:tl2br w:val="nil"/>
                    <w:tr2bl w:val="nil"/>
                  </w:tcBorders>
                  <w:noWrap w:val="0"/>
                  <w:vAlign w:val="center"/>
                </w:tcPr>
                <w:p w14:paraId="5EABC1B3">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585" w:type="pct"/>
                  <w:tcBorders>
                    <w:tl2br w:val="nil"/>
                    <w:tr2bl w:val="nil"/>
                  </w:tcBorders>
                  <w:noWrap w:val="0"/>
                  <w:vAlign w:val="center"/>
                </w:tcPr>
                <w:p w14:paraId="0B0637E0">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经度</w:t>
                  </w:r>
                </w:p>
              </w:tc>
              <w:tc>
                <w:tcPr>
                  <w:tcW w:w="575" w:type="pct"/>
                  <w:tcBorders>
                    <w:tl2br w:val="nil"/>
                    <w:tr2bl w:val="nil"/>
                  </w:tcBorders>
                  <w:noWrap w:val="0"/>
                  <w:vAlign w:val="center"/>
                </w:tcPr>
                <w:p w14:paraId="5AE91B0D">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纬度</w:t>
                  </w:r>
                </w:p>
              </w:tc>
              <w:tc>
                <w:tcPr>
                  <w:tcW w:w="619" w:type="pct"/>
                  <w:vMerge w:val="continue"/>
                  <w:tcBorders>
                    <w:tl2br w:val="nil"/>
                    <w:tr2bl w:val="nil"/>
                  </w:tcBorders>
                  <w:noWrap w:val="0"/>
                  <w:vAlign w:val="center"/>
                </w:tcPr>
                <w:p w14:paraId="376E6FAB">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533" w:type="pct"/>
                  <w:vMerge w:val="continue"/>
                  <w:tcBorders>
                    <w:tl2br w:val="nil"/>
                    <w:tr2bl w:val="nil"/>
                  </w:tcBorders>
                  <w:noWrap w:val="0"/>
                  <w:vAlign w:val="center"/>
                </w:tcPr>
                <w:p w14:paraId="1F029412">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522" w:type="pct"/>
                  <w:vMerge w:val="continue"/>
                  <w:tcBorders>
                    <w:tl2br w:val="nil"/>
                    <w:tr2bl w:val="nil"/>
                  </w:tcBorders>
                  <w:noWrap w:val="0"/>
                  <w:vAlign w:val="center"/>
                </w:tcPr>
                <w:p w14:paraId="57021F0D">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534" w:type="pct"/>
                  <w:vMerge w:val="continue"/>
                  <w:tcBorders>
                    <w:tl2br w:val="nil"/>
                    <w:tr2bl w:val="nil"/>
                  </w:tcBorders>
                  <w:noWrap w:val="0"/>
                  <w:vAlign w:val="center"/>
                </w:tcPr>
                <w:p w14:paraId="4CF68A40">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960" w:type="pct"/>
                  <w:vMerge w:val="continue"/>
                  <w:tcBorders>
                    <w:tl2br w:val="nil"/>
                    <w:tr2bl w:val="nil"/>
                  </w:tcBorders>
                  <w:noWrap w:val="0"/>
                  <w:vAlign w:val="center"/>
                </w:tcPr>
                <w:p w14:paraId="163DA8ED">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5077D0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39" w:hRule="atLeast"/>
              </w:trPr>
              <w:tc>
                <w:tcPr>
                  <w:tcW w:w="244" w:type="pct"/>
                  <w:tcBorders>
                    <w:tl2br w:val="nil"/>
                    <w:tr2bl w:val="nil"/>
                  </w:tcBorders>
                  <w:noWrap w:val="0"/>
                  <w:vAlign w:val="center"/>
                </w:tcPr>
                <w:p w14:paraId="0500D99F">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423" w:type="pct"/>
                  <w:tcBorders>
                    <w:tl2br w:val="nil"/>
                    <w:tr2bl w:val="nil"/>
                  </w:tcBorders>
                  <w:noWrap w:val="0"/>
                  <w:vAlign w:val="center"/>
                </w:tcPr>
                <w:p w14:paraId="573A9690">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DW001</w:t>
                  </w:r>
                </w:p>
              </w:tc>
              <w:tc>
                <w:tcPr>
                  <w:tcW w:w="585" w:type="pct"/>
                  <w:tcBorders>
                    <w:tl2br w:val="nil"/>
                    <w:tr2bl w:val="nil"/>
                  </w:tcBorders>
                  <w:noWrap w:val="0"/>
                  <w:vAlign w:val="center"/>
                </w:tcPr>
                <w:p w14:paraId="1EDD277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4"/>
                      <w:lang w:val="en-US" w:eastAsia="zh-CN"/>
                    </w:rPr>
                    <w:t>108.935223049</w:t>
                  </w:r>
                </w:p>
              </w:tc>
              <w:tc>
                <w:tcPr>
                  <w:tcW w:w="575" w:type="pct"/>
                  <w:tcBorders>
                    <w:tl2br w:val="nil"/>
                    <w:tr2bl w:val="nil"/>
                  </w:tcBorders>
                  <w:noWrap w:val="0"/>
                  <w:vAlign w:val="center"/>
                </w:tcPr>
                <w:p w14:paraId="12D8E0E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4"/>
                      <w:lang w:val="en-US" w:eastAsia="zh-CN"/>
                    </w:rPr>
                    <w:t>32.722628909</w:t>
                  </w:r>
                </w:p>
              </w:tc>
              <w:tc>
                <w:tcPr>
                  <w:tcW w:w="619" w:type="pct"/>
                  <w:tcBorders>
                    <w:tl2br w:val="nil"/>
                    <w:tr2bl w:val="nil"/>
                  </w:tcBorders>
                  <w:noWrap w:val="0"/>
                  <w:vAlign w:val="center"/>
                </w:tcPr>
                <w:p w14:paraId="2641EBA8">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color w:val="auto"/>
                      <w:sz w:val="21"/>
                      <w:szCs w:val="21"/>
                      <w:lang w:val="en-US" w:eastAsia="zh-CN"/>
                    </w:rPr>
                    <w:t>9630</w:t>
                  </w:r>
                </w:p>
              </w:tc>
              <w:tc>
                <w:tcPr>
                  <w:tcW w:w="533" w:type="pct"/>
                  <w:tcBorders>
                    <w:tl2br w:val="nil"/>
                    <w:tr2bl w:val="nil"/>
                  </w:tcBorders>
                  <w:noWrap w:val="0"/>
                  <w:vAlign w:val="center"/>
                </w:tcPr>
                <w:p w14:paraId="58F37481">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排入市政管网</w:t>
                  </w:r>
                </w:p>
              </w:tc>
              <w:tc>
                <w:tcPr>
                  <w:tcW w:w="522" w:type="pct"/>
                  <w:tcBorders>
                    <w:tl2br w:val="nil"/>
                    <w:tr2bl w:val="nil"/>
                  </w:tcBorders>
                  <w:noWrap w:val="0"/>
                  <w:vAlign w:val="center"/>
                </w:tcPr>
                <w:p w14:paraId="7B0E2C21">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间接排放，排放期间流量稳定</w:t>
                  </w:r>
                </w:p>
              </w:tc>
              <w:tc>
                <w:tcPr>
                  <w:tcW w:w="534" w:type="pct"/>
                  <w:tcBorders>
                    <w:tl2br w:val="nil"/>
                    <w:tr2bl w:val="nil"/>
                  </w:tcBorders>
                  <w:noWrap w:val="0"/>
                  <w:vAlign w:val="center"/>
                </w:tcPr>
                <w:p w14:paraId="628FACC1">
                  <w:pPr>
                    <w:pStyle w:val="9"/>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w:t>
                  </w:r>
                </w:p>
              </w:tc>
              <w:tc>
                <w:tcPr>
                  <w:tcW w:w="960" w:type="pct"/>
                  <w:tcBorders>
                    <w:tl2br w:val="nil"/>
                    <w:tr2bl w:val="nil"/>
                  </w:tcBorders>
                  <w:noWrap w:val="0"/>
                  <w:vAlign w:val="center"/>
                </w:tcPr>
                <w:p w14:paraId="4DB9FDF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b w:val="0"/>
                      <w:sz w:val="21"/>
                      <w:szCs w:val="21"/>
                      <w:highlight w:val="none"/>
                    </w:rPr>
                    <w:t>《污水综合排放标准》(GB8978-1996)</w:t>
                  </w:r>
                </w:p>
              </w:tc>
            </w:tr>
          </w:tbl>
          <w:p w14:paraId="141F85D2">
            <w:pPr>
              <w:keepNext w:val="0"/>
              <w:keepLines w:val="0"/>
              <w:numPr>
                <w:ilvl w:val="0"/>
                <w:numId w:val="0"/>
              </w:numPr>
              <w:suppressLineNumbers w:val="0"/>
              <w:adjustRightInd w:val="0"/>
              <w:snapToGrid w:val="0"/>
              <w:spacing w:before="0" w:beforeAutospacing="0" w:after="0" w:afterAutospacing="0" w:line="360" w:lineRule="auto"/>
              <w:ind w:left="420" w:leftChars="200" w:right="0" w:rightChars="0"/>
              <w:rPr>
                <w:rFonts w:hint="eastAsia"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（2）监测计划</w:t>
            </w:r>
          </w:p>
          <w:p w14:paraId="5540747E">
            <w:pPr>
              <w:keepNext w:val="0"/>
              <w:keepLines w:val="0"/>
              <w:suppressLineNumbers w:val="0"/>
              <w:spacing w:before="0" w:beforeAutospacing="0" w:after="0" w:afterAutospacing="0" w:line="360" w:lineRule="auto"/>
              <w:ind w:left="0" w:right="0" w:firstLine="480" w:firstLineChars="200"/>
              <w:rPr>
                <w:rFonts w:hint="eastAsia"/>
                <w:b w:val="0"/>
                <w:bCs w:val="0"/>
                <w:sz w:val="24"/>
                <w:szCs w:val="24"/>
              </w:rPr>
            </w:pPr>
            <w:r>
              <w:rPr>
                <w:rFonts w:hint="eastAsia"/>
                <w:b w:val="0"/>
                <w:bCs w:val="0"/>
                <w:sz w:val="24"/>
                <w:szCs w:val="24"/>
              </w:rPr>
              <w:t>根据《排污单位自行监测技术指南 总则》（HJ819-2017），制定本项目废水监测计划如下：</w:t>
            </w:r>
          </w:p>
          <w:p w14:paraId="12261BCB">
            <w:pPr>
              <w:keepNext w:val="0"/>
              <w:keepLines w:val="0"/>
              <w:suppressLineNumbers w:val="0"/>
              <w:spacing w:before="0" w:beforeAutospacing="0" w:after="0" w:afterAutospacing="0"/>
              <w:ind w:left="0" w:right="0" w:firstLine="2168" w:firstLineChars="900"/>
              <w:jc w:val="both"/>
              <w:rPr>
                <w:rFonts w:hint="default"/>
                <w:b/>
                <w:bCs/>
                <w:sz w:val="24"/>
                <w:szCs w:val="24"/>
              </w:rPr>
            </w:pPr>
            <w:r>
              <w:rPr>
                <w:rFonts w:hint="eastAsia"/>
                <w:b/>
                <w:bCs/>
                <w:sz w:val="24"/>
                <w:szCs w:val="24"/>
                <w:lang w:val="en-US" w:eastAsia="zh-CN"/>
              </w:rPr>
              <w:t xml:space="preserve">表4-8    </w:t>
            </w:r>
            <w:r>
              <w:rPr>
                <w:rFonts w:hint="default"/>
                <w:b/>
                <w:bCs/>
                <w:sz w:val="24"/>
                <w:szCs w:val="24"/>
              </w:rPr>
              <w:t>营运期废水监测计划表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383"/>
              <w:gridCol w:w="3033"/>
              <w:gridCol w:w="1615"/>
              <w:gridCol w:w="1425"/>
            </w:tblGrid>
            <w:tr w14:paraId="15FD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14:paraId="6DB039EA">
                  <w:pPr>
                    <w:pStyle w:val="52"/>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项目</w:t>
                  </w:r>
                </w:p>
              </w:tc>
              <w:tc>
                <w:tcPr>
                  <w:tcW w:w="837" w:type="pct"/>
                  <w:noWrap w:val="0"/>
                  <w:vAlign w:val="center"/>
                </w:tcPr>
                <w:p w14:paraId="2E56E2CD">
                  <w:pPr>
                    <w:pStyle w:val="52"/>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监测点</w:t>
                  </w:r>
                </w:p>
              </w:tc>
              <w:tc>
                <w:tcPr>
                  <w:tcW w:w="1837" w:type="pct"/>
                  <w:noWrap w:val="0"/>
                  <w:vAlign w:val="center"/>
                </w:tcPr>
                <w:p w14:paraId="6EA99BA1">
                  <w:pPr>
                    <w:pStyle w:val="52"/>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监测项目</w:t>
                  </w:r>
                </w:p>
              </w:tc>
              <w:tc>
                <w:tcPr>
                  <w:tcW w:w="978" w:type="pct"/>
                  <w:noWrap w:val="0"/>
                  <w:vAlign w:val="center"/>
                </w:tcPr>
                <w:p w14:paraId="44ED1ABA">
                  <w:pPr>
                    <w:pStyle w:val="52"/>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监测频率</w:t>
                  </w:r>
                </w:p>
              </w:tc>
              <w:tc>
                <w:tcPr>
                  <w:tcW w:w="863" w:type="pct"/>
                  <w:noWrap w:val="0"/>
                  <w:vAlign w:val="center"/>
                </w:tcPr>
                <w:p w14:paraId="5BF81ADE">
                  <w:pPr>
                    <w:pStyle w:val="52"/>
                    <w:keepNext w:val="0"/>
                    <w:keepLines w:val="0"/>
                    <w:suppressLineNumbers w:val="0"/>
                    <w:adjustRightInd/>
                    <w:spacing w:before="24" w:beforeAutospacing="0" w:after="24" w:afterAutospacing="0" w:line="240" w:lineRule="atLeast"/>
                    <w:ind w:left="0" w:right="0"/>
                    <w:textAlignment w:val="baseline"/>
                    <w:rPr>
                      <w:rFonts w:hint="default" w:ascii="Times New Roman"/>
                      <w:b/>
                      <w:bCs/>
                      <w:sz w:val="21"/>
                      <w:szCs w:val="21"/>
                    </w:rPr>
                  </w:pPr>
                  <w:r>
                    <w:rPr>
                      <w:rFonts w:hint="default" w:ascii="Times New Roman"/>
                      <w:b/>
                      <w:bCs/>
                      <w:sz w:val="21"/>
                      <w:szCs w:val="21"/>
                    </w:rPr>
                    <w:t>监测时间</w:t>
                  </w:r>
                </w:p>
              </w:tc>
            </w:tr>
            <w:tr w14:paraId="76B5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83" w:type="pct"/>
                  <w:noWrap w:val="0"/>
                  <w:vAlign w:val="center"/>
                </w:tcPr>
                <w:p w14:paraId="6A23E684">
                  <w:pPr>
                    <w:pStyle w:val="52"/>
                    <w:keepNext w:val="0"/>
                    <w:keepLines w:val="0"/>
                    <w:suppressLineNumbers w:val="0"/>
                    <w:adjustRightInd/>
                    <w:spacing w:before="24" w:beforeAutospacing="0" w:after="24" w:afterAutospacing="0" w:line="240" w:lineRule="atLeast"/>
                    <w:ind w:left="0" w:right="0"/>
                    <w:textAlignment w:val="baseline"/>
                    <w:rPr>
                      <w:rFonts w:hint="default" w:ascii="Times New Roman"/>
                      <w:color w:val="000000" w:themeColor="text1"/>
                      <w:sz w:val="21"/>
                      <w:szCs w:val="21"/>
                      <w14:textFill>
                        <w14:solidFill>
                          <w14:schemeClr w14:val="tx1"/>
                        </w14:solidFill>
                      </w14:textFill>
                    </w:rPr>
                  </w:pPr>
                  <w:r>
                    <w:rPr>
                      <w:rFonts w:hint="eastAsia" w:ascii="Times New Roman"/>
                      <w:color w:val="000000" w:themeColor="text1"/>
                      <w:sz w:val="21"/>
                      <w:szCs w:val="21"/>
                      <w:lang w:eastAsia="zh-CN"/>
                      <w14:textFill>
                        <w14:solidFill>
                          <w14:schemeClr w14:val="tx1"/>
                        </w14:solidFill>
                      </w14:textFill>
                    </w:rPr>
                    <w:t>综合废水</w:t>
                  </w:r>
                </w:p>
              </w:tc>
              <w:tc>
                <w:tcPr>
                  <w:tcW w:w="837" w:type="pct"/>
                  <w:noWrap w:val="0"/>
                  <w:vAlign w:val="center"/>
                </w:tcPr>
                <w:p w14:paraId="1204A1A1">
                  <w:pPr>
                    <w:pStyle w:val="52"/>
                    <w:keepNext w:val="0"/>
                    <w:keepLines w:val="0"/>
                    <w:suppressLineNumbers w:val="0"/>
                    <w:adjustRightInd/>
                    <w:spacing w:before="24" w:beforeAutospacing="0" w:after="24" w:afterAutospacing="0" w:line="240" w:lineRule="atLeast"/>
                    <w:ind w:left="0" w:right="0"/>
                    <w:textAlignment w:val="baseline"/>
                    <w:rPr>
                      <w:rFonts w:hint="eastAsia" w:ascii="Times New Roman" w:eastAsia="宋体"/>
                      <w:color w:val="000000" w:themeColor="text1"/>
                      <w:sz w:val="21"/>
                      <w:szCs w:val="21"/>
                      <w:lang w:eastAsia="zh-CN"/>
                      <w14:textFill>
                        <w14:solidFill>
                          <w14:schemeClr w14:val="tx1"/>
                        </w14:solidFill>
                      </w14:textFill>
                    </w:rPr>
                  </w:pPr>
                  <w:r>
                    <w:rPr>
                      <w:rFonts w:hint="eastAsia" w:ascii="Times New Roman"/>
                      <w:color w:val="000000" w:themeColor="text1"/>
                      <w:sz w:val="21"/>
                      <w:szCs w:val="21"/>
                      <w:lang w:eastAsia="zh-CN"/>
                      <w14:textFill>
                        <w14:solidFill>
                          <w14:schemeClr w14:val="tx1"/>
                        </w14:solidFill>
                      </w14:textFill>
                    </w:rPr>
                    <w:t>综合废水排污口</w:t>
                  </w:r>
                </w:p>
              </w:tc>
              <w:tc>
                <w:tcPr>
                  <w:tcW w:w="1837" w:type="pct"/>
                  <w:noWrap w:val="0"/>
                  <w:vAlign w:val="center"/>
                </w:tcPr>
                <w:p w14:paraId="7CDFFEA9">
                  <w:pPr>
                    <w:pStyle w:val="52"/>
                    <w:keepNext w:val="0"/>
                    <w:keepLines w:val="0"/>
                    <w:suppressLineNumbers w:val="0"/>
                    <w:adjustRightInd/>
                    <w:spacing w:before="24" w:beforeAutospacing="0" w:after="24" w:afterAutospacing="0" w:line="240" w:lineRule="atLeast"/>
                    <w:ind w:left="0" w:right="0"/>
                    <w:textAlignment w:val="baseline"/>
                    <w:rPr>
                      <w:rFonts w:hint="default" w:ascii="Times New Roman" w:eastAsia="宋体"/>
                      <w:sz w:val="21"/>
                      <w:szCs w:val="21"/>
                      <w:lang w:val="en-US" w:eastAsia="zh-CN"/>
                    </w:rPr>
                  </w:pPr>
                  <w:r>
                    <w:rPr>
                      <w:rFonts w:hint="eastAsia" w:ascii="Times New Roman"/>
                      <w:color w:val="FF0000"/>
                      <w:sz w:val="21"/>
                      <w:szCs w:val="21"/>
                    </w:rPr>
                    <w:t>CODcr、BOD</w:t>
                  </w:r>
                  <w:r>
                    <w:rPr>
                      <w:rFonts w:hint="eastAsia" w:ascii="Times New Roman"/>
                      <w:color w:val="FF0000"/>
                      <w:sz w:val="21"/>
                      <w:szCs w:val="21"/>
                      <w:vertAlign w:val="subscript"/>
                    </w:rPr>
                    <w:t>5</w:t>
                  </w:r>
                  <w:r>
                    <w:rPr>
                      <w:rFonts w:hint="eastAsia" w:ascii="Times New Roman"/>
                      <w:color w:val="FF0000"/>
                      <w:sz w:val="21"/>
                      <w:szCs w:val="21"/>
                    </w:rPr>
                    <w:t>、SS、NH</w:t>
                  </w:r>
                  <w:r>
                    <w:rPr>
                      <w:rFonts w:hint="eastAsia" w:ascii="Times New Roman"/>
                      <w:color w:val="FF0000"/>
                      <w:sz w:val="21"/>
                      <w:szCs w:val="21"/>
                      <w:vertAlign w:val="subscript"/>
                    </w:rPr>
                    <w:t>3</w:t>
                  </w:r>
                  <w:r>
                    <w:rPr>
                      <w:rFonts w:hint="eastAsia" w:ascii="Times New Roman"/>
                      <w:color w:val="FF0000"/>
                      <w:sz w:val="21"/>
                      <w:szCs w:val="21"/>
                    </w:rPr>
                    <w:t>-N、</w:t>
                  </w:r>
                  <w:r>
                    <w:rPr>
                      <w:rFonts w:hint="eastAsia" w:ascii="Times New Roman"/>
                      <w:color w:val="FF0000"/>
                      <w:sz w:val="21"/>
                      <w:szCs w:val="21"/>
                      <w:lang w:val="en-US" w:eastAsia="zh-CN"/>
                    </w:rPr>
                    <w:t>pH、石油类、总磷、总氮</w:t>
                  </w:r>
                </w:p>
              </w:tc>
              <w:tc>
                <w:tcPr>
                  <w:tcW w:w="978" w:type="pct"/>
                  <w:noWrap w:val="0"/>
                  <w:vAlign w:val="center"/>
                </w:tcPr>
                <w:p w14:paraId="5D3734BF">
                  <w:pPr>
                    <w:pStyle w:val="52"/>
                    <w:keepNext w:val="0"/>
                    <w:keepLines w:val="0"/>
                    <w:suppressLineNumbers w:val="0"/>
                    <w:adjustRightInd/>
                    <w:spacing w:before="24" w:beforeAutospacing="0" w:after="24" w:afterAutospacing="0" w:line="240" w:lineRule="atLeast"/>
                    <w:ind w:left="0" w:right="0"/>
                    <w:textAlignment w:val="baseline"/>
                    <w:rPr>
                      <w:rFonts w:hint="eastAsia" w:ascii="Times New Roman" w:eastAsia="宋体"/>
                      <w:sz w:val="21"/>
                      <w:szCs w:val="21"/>
                      <w:lang w:eastAsia="zh-CN"/>
                    </w:rPr>
                  </w:pPr>
                  <w:r>
                    <w:rPr>
                      <w:rFonts w:hint="default" w:ascii="Times New Roman"/>
                      <w:color w:val="FF0000"/>
                      <w:sz w:val="21"/>
                      <w:szCs w:val="21"/>
                    </w:rPr>
                    <w:t>1次/</w:t>
                  </w:r>
                  <w:r>
                    <w:rPr>
                      <w:rFonts w:hint="eastAsia" w:ascii="Times New Roman"/>
                      <w:color w:val="FF0000"/>
                      <w:sz w:val="21"/>
                      <w:szCs w:val="21"/>
                      <w:lang w:val="en-US" w:eastAsia="zh-CN"/>
                    </w:rPr>
                    <w:t>年</w:t>
                  </w:r>
                </w:p>
              </w:tc>
              <w:tc>
                <w:tcPr>
                  <w:tcW w:w="863" w:type="pct"/>
                  <w:noWrap w:val="0"/>
                  <w:vAlign w:val="center"/>
                </w:tcPr>
                <w:p w14:paraId="138C2E93">
                  <w:pPr>
                    <w:pStyle w:val="52"/>
                    <w:keepNext w:val="0"/>
                    <w:keepLines w:val="0"/>
                    <w:suppressLineNumbers w:val="0"/>
                    <w:adjustRightInd/>
                    <w:spacing w:before="24" w:beforeAutospacing="0" w:after="24" w:afterAutospacing="0" w:line="240" w:lineRule="atLeast"/>
                    <w:ind w:left="0" w:right="0"/>
                    <w:textAlignment w:val="baseline"/>
                    <w:rPr>
                      <w:rFonts w:hint="default" w:ascii="Times New Roman"/>
                      <w:sz w:val="21"/>
                      <w:szCs w:val="21"/>
                    </w:rPr>
                  </w:pPr>
                  <w:r>
                    <w:rPr>
                      <w:rFonts w:hint="default" w:ascii="Times New Roman"/>
                      <w:sz w:val="21"/>
                      <w:szCs w:val="21"/>
                    </w:rPr>
                    <w:t>正常排放时段</w:t>
                  </w:r>
                </w:p>
              </w:tc>
            </w:tr>
          </w:tbl>
          <w:p w14:paraId="35B290D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三</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运营期</w:t>
            </w:r>
            <w:r>
              <w:rPr>
                <w:rFonts w:hint="default" w:ascii="Times New Roman" w:hAnsi="Times New Roman" w:eastAsia="宋体" w:cs="Times New Roman"/>
                <w:b/>
                <w:sz w:val="24"/>
                <w:highlight w:val="none"/>
                <w:lang w:val="en-US" w:eastAsia="zh-CN"/>
              </w:rPr>
              <w:t>噪声</w:t>
            </w:r>
            <w:r>
              <w:rPr>
                <w:rFonts w:hint="default" w:ascii="Times New Roman" w:hAnsi="Times New Roman" w:cs="Times New Roman"/>
                <w:b/>
                <w:sz w:val="24"/>
                <w:highlight w:val="none"/>
              </w:rPr>
              <w:t>影响分析</w:t>
            </w:r>
          </w:p>
          <w:p w14:paraId="286D73E3">
            <w:pPr>
              <w:pStyle w:val="75"/>
              <w:keepNext w:val="0"/>
              <w:keepLines w:val="0"/>
              <w:suppressLineNumbers w:val="0"/>
              <w:adjustRightInd w:val="0"/>
              <w:snapToGrid w:val="0"/>
              <w:spacing w:beforeAutospacing="0" w:after="0" w:afterAutospacing="0" w:line="360" w:lineRule="auto"/>
              <w:ind w:left="0" w:firstLine="475" w:firstLineChars="197"/>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1、</w:t>
            </w:r>
            <w:r>
              <w:rPr>
                <w:rFonts w:hint="default" w:ascii="Times New Roman" w:hAnsi="Times New Roman" w:cs="Times New Roman"/>
                <w:b/>
                <w:bCs/>
                <w:color w:val="auto"/>
                <w:kern w:val="0"/>
                <w:sz w:val="24"/>
              </w:rPr>
              <w:t>污染源分析</w:t>
            </w:r>
          </w:p>
          <w:p w14:paraId="7CFA0D8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本项目主要噪声源为各类设备运行时产生的噪声。</w:t>
            </w:r>
            <w:r>
              <w:rPr>
                <w:rFonts w:hint="default" w:ascii="Times New Roman" w:hAnsi="Times New Roman" w:eastAsia="宋体" w:cs="Times New Roman"/>
                <w:sz w:val="24"/>
                <w:szCs w:val="24"/>
                <w:lang w:val="en-US" w:eastAsia="zh-CN"/>
              </w:rPr>
              <w:t>源强约在65-9</w:t>
            </w:r>
            <w:r>
              <w:rPr>
                <w:rFonts w:hint="eastAsia" w:cs="Times New Roman"/>
                <w:sz w:val="24"/>
                <w:szCs w:val="24"/>
                <w:lang w:val="en-US" w:eastAsia="zh-CN"/>
              </w:rPr>
              <w:t>5</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val="en-US" w:eastAsia="zh-CN"/>
              </w:rPr>
              <w:t>,，各类设备噪声源采取减振、吸声、隔声等措施进行降噪处理。</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color w:val="auto"/>
                <w:kern w:val="0"/>
                <w:sz w:val="24"/>
                <w:szCs w:val="24"/>
              </w:rPr>
              <w:t>项目主要设备噪声源强见</w:t>
            </w:r>
            <w:r>
              <w:rPr>
                <w:rFonts w:hint="default" w:ascii="Times New Roman" w:hAnsi="Times New Roman" w:eastAsia="宋体" w:cs="Times New Roman"/>
                <w:color w:val="auto"/>
                <w:kern w:val="0"/>
                <w:sz w:val="24"/>
                <w:szCs w:val="24"/>
                <w:lang w:val="en-US" w:eastAsia="zh-CN"/>
              </w:rPr>
              <w:t>下表</w:t>
            </w:r>
            <w:r>
              <w:rPr>
                <w:rFonts w:hint="default" w:ascii="Times New Roman" w:hAnsi="Times New Roman" w:eastAsia="宋体" w:cs="Times New Roman"/>
                <w:color w:val="auto"/>
                <w:kern w:val="0"/>
                <w:sz w:val="24"/>
                <w:szCs w:val="24"/>
              </w:rPr>
              <w:t>。</w:t>
            </w:r>
          </w:p>
          <w:p w14:paraId="2813C3EF">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表4-9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项目噪声污染源源强核算结果及相关参数一览表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828"/>
              <w:gridCol w:w="1048"/>
              <w:gridCol w:w="1151"/>
              <w:gridCol w:w="2138"/>
              <w:gridCol w:w="1406"/>
            </w:tblGrid>
            <w:tr w14:paraId="4A15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4D134D7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序号</w:t>
                  </w:r>
                </w:p>
              </w:tc>
              <w:tc>
                <w:tcPr>
                  <w:tcW w:w="1107" w:type="pct"/>
                  <w:noWrap w:val="0"/>
                  <w:vAlign w:val="center"/>
                </w:tcPr>
                <w:p w14:paraId="2E15C38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设备名称</w:t>
                  </w:r>
                </w:p>
              </w:tc>
              <w:tc>
                <w:tcPr>
                  <w:tcW w:w="635" w:type="pct"/>
                  <w:noWrap w:val="0"/>
                  <w:vAlign w:val="center"/>
                </w:tcPr>
                <w:p w14:paraId="4EE2E5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数量</w:t>
                  </w:r>
                </w:p>
                <w:p w14:paraId="463C790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（台/套）</w:t>
                  </w:r>
                </w:p>
              </w:tc>
              <w:tc>
                <w:tcPr>
                  <w:tcW w:w="697" w:type="pct"/>
                  <w:noWrap w:val="0"/>
                  <w:vAlign w:val="center"/>
                </w:tcPr>
                <w:p w14:paraId="4A17E2B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噪声源强</w:t>
                  </w:r>
                </w:p>
              </w:tc>
              <w:tc>
                <w:tcPr>
                  <w:tcW w:w="1295" w:type="pct"/>
                  <w:noWrap w:val="0"/>
                  <w:vAlign w:val="center"/>
                </w:tcPr>
                <w:p w14:paraId="4BCBFAF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拟采取治理措施</w:t>
                  </w:r>
                </w:p>
              </w:tc>
              <w:tc>
                <w:tcPr>
                  <w:tcW w:w="852" w:type="pct"/>
                  <w:noWrap w:val="0"/>
                  <w:vAlign w:val="center"/>
                </w:tcPr>
                <w:p w14:paraId="7161CC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降噪后声级</w:t>
                  </w:r>
                </w:p>
                <w:p w14:paraId="1A4DCF4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dB（A）</w:t>
                  </w:r>
                </w:p>
              </w:tc>
            </w:tr>
            <w:tr w14:paraId="733A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412" w:type="pct"/>
                  <w:noWrap w:val="0"/>
                  <w:vAlign w:val="center"/>
                </w:tcPr>
                <w:p w14:paraId="52FB9060">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1</w:t>
                  </w:r>
                </w:p>
              </w:tc>
              <w:tc>
                <w:tcPr>
                  <w:tcW w:w="1107" w:type="pct"/>
                  <w:noWrap w:val="0"/>
                  <w:vAlign w:val="center"/>
                </w:tcPr>
                <w:p w14:paraId="62BD5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焊接机</w:t>
                  </w:r>
                </w:p>
              </w:tc>
              <w:tc>
                <w:tcPr>
                  <w:tcW w:w="635" w:type="pct"/>
                  <w:noWrap w:val="0"/>
                  <w:vAlign w:val="center"/>
                </w:tcPr>
                <w:p w14:paraId="1AA1EE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31</w:t>
                  </w:r>
                </w:p>
              </w:tc>
              <w:tc>
                <w:tcPr>
                  <w:tcW w:w="697" w:type="pct"/>
                  <w:noWrap w:val="0"/>
                  <w:vAlign w:val="center"/>
                </w:tcPr>
                <w:p w14:paraId="251D249B">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70</w:t>
                  </w:r>
                </w:p>
              </w:tc>
              <w:tc>
                <w:tcPr>
                  <w:tcW w:w="1295" w:type="pct"/>
                  <w:shd w:val="clear" w:color="auto" w:fill="auto"/>
                  <w:noWrap w:val="0"/>
                  <w:vAlign w:val="center"/>
                </w:tcPr>
                <w:p w14:paraId="07794D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2C0670FB">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55</w:t>
                  </w:r>
                </w:p>
              </w:tc>
            </w:tr>
            <w:tr w14:paraId="1ED7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42790E0">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2</w:t>
                  </w:r>
                </w:p>
              </w:tc>
              <w:tc>
                <w:tcPr>
                  <w:tcW w:w="1107" w:type="pct"/>
                  <w:noWrap w:val="0"/>
                  <w:vAlign w:val="center"/>
                </w:tcPr>
                <w:p w14:paraId="66890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组装机</w:t>
                  </w:r>
                </w:p>
              </w:tc>
              <w:tc>
                <w:tcPr>
                  <w:tcW w:w="635" w:type="pct"/>
                  <w:noWrap w:val="0"/>
                  <w:vAlign w:val="center"/>
                </w:tcPr>
                <w:p w14:paraId="491CC46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697" w:type="pct"/>
                  <w:noWrap w:val="0"/>
                  <w:vAlign w:val="center"/>
                </w:tcPr>
                <w:p w14:paraId="00306936">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75</w:t>
                  </w:r>
                </w:p>
              </w:tc>
              <w:tc>
                <w:tcPr>
                  <w:tcW w:w="1295" w:type="pct"/>
                  <w:noWrap w:val="0"/>
                  <w:vAlign w:val="center"/>
                </w:tcPr>
                <w:p w14:paraId="27163EF8">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78CAF618">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60</w:t>
                  </w:r>
                </w:p>
              </w:tc>
            </w:tr>
            <w:tr w14:paraId="5DD4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43769E8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sz w:val="21"/>
                      <w:szCs w:val="21"/>
                    </w:rPr>
                    <w:t>3</w:t>
                  </w:r>
                </w:p>
              </w:tc>
              <w:tc>
                <w:tcPr>
                  <w:tcW w:w="1107" w:type="pct"/>
                  <w:noWrap w:val="0"/>
                  <w:vAlign w:val="center"/>
                </w:tcPr>
                <w:p w14:paraId="20B5F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总装机</w:t>
                  </w:r>
                </w:p>
              </w:tc>
              <w:tc>
                <w:tcPr>
                  <w:tcW w:w="635" w:type="pct"/>
                  <w:noWrap w:val="0"/>
                  <w:vAlign w:val="center"/>
                </w:tcPr>
                <w:p w14:paraId="381E70F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w:t>
                  </w:r>
                </w:p>
              </w:tc>
              <w:tc>
                <w:tcPr>
                  <w:tcW w:w="697" w:type="pct"/>
                  <w:noWrap w:val="0"/>
                  <w:vAlign w:val="center"/>
                </w:tcPr>
                <w:p w14:paraId="3EC194A6">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80</w:t>
                  </w:r>
                </w:p>
              </w:tc>
              <w:tc>
                <w:tcPr>
                  <w:tcW w:w="1295" w:type="pct"/>
                  <w:noWrap w:val="0"/>
                  <w:vAlign w:val="center"/>
                </w:tcPr>
                <w:p w14:paraId="137A8580">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650F2690">
                  <w:pPr>
                    <w:pStyle w:val="68"/>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65</w:t>
                  </w:r>
                </w:p>
              </w:tc>
            </w:tr>
            <w:tr w14:paraId="7FAC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1130FE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w:t>
                  </w:r>
                </w:p>
              </w:tc>
              <w:tc>
                <w:tcPr>
                  <w:tcW w:w="1107" w:type="pct"/>
                  <w:noWrap w:val="0"/>
                  <w:vAlign w:val="center"/>
                </w:tcPr>
                <w:p w14:paraId="46007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磁石充磁机</w:t>
                  </w:r>
                </w:p>
              </w:tc>
              <w:tc>
                <w:tcPr>
                  <w:tcW w:w="635" w:type="pct"/>
                  <w:noWrap w:val="0"/>
                  <w:vAlign w:val="center"/>
                </w:tcPr>
                <w:p w14:paraId="5025082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w:t>
                  </w:r>
                </w:p>
              </w:tc>
              <w:tc>
                <w:tcPr>
                  <w:tcW w:w="697" w:type="pct"/>
                  <w:noWrap w:val="0"/>
                  <w:vAlign w:val="center"/>
                </w:tcPr>
                <w:p w14:paraId="042A241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c>
                <w:tcPr>
                  <w:tcW w:w="1295" w:type="pct"/>
                  <w:noWrap w:val="0"/>
                  <w:vAlign w:val="center"/>
                </w:tcPr>
                <w:p w14:paraId="424CDE5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1D4BEB0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60</w:t>
                  </w:r>
                </w:p>
              </w:tc>
            </w:tr>
            <w:tr w14:paraId="00F2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72607F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1107" w:type="pct"/>
                  <w:noWrap w:val="0"/>
                  <w:vAlign w:val="center"/>
                </w:tcPr>
                <w:p w14:paraId="73D3E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磁石插轴粘接机</w:t>
                  </w:r>
                </w:p>
              </w:tc>
              <w:tc>
                <w:tcPr>
                  <w:tcW w:w="635" w:type="pct"/>
                  <w:noWrap w:val="0"/>
                  <w:vAlign w:val="center"/>
                </w:tcPr>
                <w:p w14:paraId="3D8BE39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w:t>
                  </w:r>
                </w:p>
              </w:tc>
              <w:tc>
                <w:tcPr>
                  <w:tcW w:w="697" w:type="pct"/>
                  <w:noWrap w:val="0"/>
                  <w:vAlign w:val="center"/>
                </w:tcPr>
                <w:p w14:paraId="1F2C144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80</w:t>
                  </w:r>
                </w:p>
              </w:tc>
              <w:tc>
                <w:tcPr>
                  <w:tcW w:w="1295" w:type="pct"/>
                  <w:noWrap w:val="0"/>
                  <w:vAlign w:val="center"/>
                </w:tcPr>
                <w:p w14:paraId="52F75F4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6FD7B2A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65</w:t>
                  </w:r>
                </w:p>
              </w:tc>
            </w:tr>
            <w:tr w14:paraId="2BB4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184938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w:t>
                  </w:r>
                </w:p>
              </w:tc>
              <w:tc>
                <w:tcPr>
                  <w:tcW w:w="1107" w:type="pct"/>
                  <w:noWrap w:val="0"/>
                  <w:vAlign w:val="center"/>
                </w:tcPr>
                <w:p w14:paraId="06029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磁石垫片去尘机</w:t>
                  </w:r>
                </w:p>
              </w:tc>
              <w:tc>
                <w:tcPr>
                  <w:tcW w:w="635" w:type="pct"/>
                  <w:noWrap w:val="0"/>
                  <w:vAlign w:val="center"/>
                </w:tcPr>
                <w:p w14:paraId="2BCFEAC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w:t>
                  </w:r>
                </w:p>
              </w:tc>
              <w:tc>
                <w:tcPr>
                  <w:tcW w:w="697" w:type="pct"/>
                  <w:noWrap w:val="0"/>
                  <w:vAlign w:val="center"/>
                </w:tcPr>
                <w:p w14:paraId="764655E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85</w:t>
                  </w:r>
                </w:p>
              </w:tc>
              <w:tc>
                <w:tcPr>
                  <w:tcW w:w="1295" w:type="pct"/>
                  <w:noWrap w:val="0"/>
                  <w:vAlign w:val="center"/>
                </w:tcPr>
                <w:p w14:paraId="21B3CA8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47B546A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r>
            <w:tr w14:paraId="5D6F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E81BAE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7</w:t>
                  </w:r>
                </w:p>
              </w:tc>
              <w:tc>
                <w:tcPr>
                  <w:tcW w:w="1107" w:type="pct"/>
                  <w:noWrap w:val="0"/>
                  <w:vAlign w:val="center"/>
                </w:tcPr>
                <w:p w14:paraId="43640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磁石接着高度检测机</w:t>
                  </w:r>
                </w:p>
              </w:tc>
              <w:tc>
                <w:tcPr>
                  <w:tcW w:w="635" w:type="pct"/>
                  <w:noWrap w:val="0"/>
                  <w:vAlign w:val="center"/>
                </w:tcPr>
                <w:p w14:paraId="67CDB8E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697" w:type="pct"/>
                  <w:noWrap w:val="0"/>
                  <w:vAlign w:val="center"/>
                </w:tcPr>
                <w:p w14:paraId="57FF11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80</w:t>
                  </w:r>
                </w:p>
              </w:tc>
              <w:tc>
                <w:tcPr>
                  <w:tcW w:w="1295" w:type="pct"/>
                  <w:noWrap w:val="0"/>
                  <w:vAlign w:val="center"/>
                </w:tcPr>
                <w:p w14:paraId="1F158DF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2C4112B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65</w:t>
                  </w:r>
                </w:p>
              </w:tc>
            </w:tr>
            <w:tr w14:paraId="4A8D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412" w:type="pct"/>
                  <w:noWrap w:val="0"/>
                  <w:vAlign w:val="center"/>
                </w:tcPr>
                <w:p w14:paraId="502565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w:t>
                  </w:r>
                </w:p>
              </w:tc>
              <w:tc>
                <w:tcPr>
                  <w:tcW w:w="1107" w:type="pct"/>
                  <w:noWrap w:val="0"/>
                  <w:vAlign w:val="center"/>
                </w:tcPr>
                <w:p w14:paraId="66C13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机箱插轴机</w:t>
                  </w:r>
                </w:p>
              </w:tc>
              <w:tc>
                <w:tcPr>
                  <w:tcW w:w="635" w:type="pct"/>
                  <w:noWrap w:val="0"/>
                  <w:vAlign w:val="center"/>
                </w:tcPr>
                <w:p w14:paraId="148A867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w:t>
                  </w:r>
                </w:p>
              </w:tc>
              <w:tc>
                <w:tcPr>
                  <w:tcW w:w="697" w:type="pct"/>
                  <w:noWrap w:val="0"/>
                  <w:vAlign w:val="center"/>
                </w:tcPr>
                <w:p w14:paraId="74CA6A8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c>
                <w:tcPr>
                  <w:tcW w:w="1295" w:type="pct"/>
                  <w:noWrap w:val="0"/>
                  <w:vAlign w:val="center"/>
                </w:tcPr>
                <w:p w14:paraId="08D7A90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4088641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60</w:t>
                  </w:r>
                </w:p>
              </w:tc>
            </w:tr>
            <w:tr w14:paraId="6C36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D1C861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eastAsia="zh-CN"/>
                    </w:rPr>
                    <w:t>9</w:t>
                  </w:r>
                </w:p>
              </w:tc>
              <w:tc>
                <w:tcPr>
                  <w:tcW w:w="1107" w:type="pct"/>
                  <w:noWrap w:val="0"/>
                  <w:vAlign w:val="center"/>
                </w:tcPr>
                <w:p w14:paraId="1274F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自动绕线机</w:t>
                  </w:r>
                </w:p>
              </w:tc>
              <w:tc>
                <w:tcPr>
                  <w:tcW w:w="635" w:type="pct"/>
                  <w:noWrap w:val="0"/>
                  <w:vAlign w:val="center"/>
                </w:tcPr>
                <w:p w14:paraId="397DF8F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w:t>
                  </w:r>
                </w:p>
              </w:tc>
              <w:tc>
                <w:tcPr>
                  <w:tcW w:w="697" w:type="pct"/>
                  <w:noWrap w:val="0"/>
                  <w:vAlign w:val="center"/>
                </w:tcPr>
                <w:p w14:paraId="52A044A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80</w:t>
                  </w:r>
                </w:p>
              </w:tc>
              <w:tc>
                <w:tcPr>
                  <w:tcW w:w="1295" w:type="pct"/>
                  <w:noWrap w:val="0"/>
                  <w:vAlign w:val="center"/>
                </w:tcPr>
                <w:p w14:paraId="07E6E93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2C77118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65</w:t>
                  </w:r>
                </w:p>
              </w:tc>
            </w:tr>
            <w:tr w14:paraId="5AE4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445164F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rPr>
                    <w:t>10</w:t>
                  </w:r>
                </w:p>
              </w:tc>
              <w:tc>
                <w:tcPr>
                  <w:tcW w:w="1107" w:type="pct"/>
                  <w:noWrap w:val="0"/>
                  <w:vAlign w:val="center"/>
                </w:tcPr>
                <w:p w14:paraId="36950C3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kern w:val="2"/>
                      <w:sz w:val="21"/>
                      <w:szCs w:val="21"/>
                      <w:lang w:val="en-US" w:eastAsia="zh-CN" w:bidi="ar-SA"/>
                    </w:rPr>
                    <w:t>绕线机+缠胶布</w:t>
                  </w:r>
                </w:p>
              </w:tc>
              <w:tc>
                <w:tcPr>
                  <w:tcW w:w="635" w:type="pct"/>
                  <w:noWrap w:val="0"/>
                  <w:vAlign w:val="center"/>
                </w:tcPr>
                <w:p w14:paraId="0D3F887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97" w:type="pct"/>
                  <w:noWrap w:val="0"/>
                  <w:vAlign w:val="center"/>
                </w:tcPr>
                <w:p w14:paraId="5A8B1BC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80</w:t>
                  </w:r>
                </w:p>
              </w:tc>
              <w:tc>
                <w:tcPr>
                  <w:tcW w:w="1295" w:type="pct"/>
                  <w:noWrap w:val="0"/>
                  <w:vAlign w:val="center"/>
                </w:tcPr>
                <w:p w14:paraId="665759B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097A23F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65</w:t>
                  </w:r>
                </w:p>
              </w:tc>
            </w:tr>
            <w:tr w14:paraId="6223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6BE6980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11</w:t>
                  </w:r>
                </w:p>
              </w:tc>
              <w:tc>
                <w:tcPr>
                  <w:tcW w:w="1107" w:type="pct"/>
                  <w:noWrap w:val="0"/>
                  <w:vAlign w:val="center"/>
                </w:tcPr>
                <w:p w14:paraId="5F5943C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sz w:val="21"/>
                      <w:szCs w:val="21"/>
                      <w:lang w:val="en-US" w:eastAsia="zh-CN"/>
                    </w:rPr>
                    <w:t>清洗机+烘烤甩干</w:t>
                  </w:r>
                </w:p>
              </w:tc>
              <w:tc>
                <w:tcPr>
                  <w:tcW w:w="635" w:type="pct"/>
                  <w:noWrap w:val="0"/>
                  <w:vAlign w:val="center"/>
                </w:tcPr>
                <w:p w14:paraId="5282AB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697" w:type="pct"/>
                  <w:noWrap w:val="0"/>
                  <w:vAlign w:val="center"/>
                </w:tcPr>
                <w:p w14:paraId="0B86A70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w:t>
                  </w:r>
                  <w:r>
                    <w:rPr>
                      <w:rFonts w:hint="eastAsia" w:cs="Times New Roman"/>
                      <w:bCs/>
                      <w:sz w:val="21"/>
                      <w:szCs w:val="21"/>
                      <w:lang w:val="en-US" w:eastAsia="zh-CN"/>
                    </w:rPr>
                    <w:t>5</w:t>
                  </w:r>
                </w:p>
              </w:tc>
              <w:tc>
                <w:tcPr>
                  <w:tcW w:w="1295" w:type="pct"/>
                  <w:noWrap w:val="0"/>
                  <w:vAlign w:val="center"/>
                </w:tcPr>
                <w:p w14:paraId="23ADF93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7E69677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50</w:t>
                  </w:r>
                </w:p>
              </w:tc>
            </w:tr>
            <w:tr w14:paraId="0007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7FC352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12</w:t>
                  </w:r>
                </w:p>
              </w:tc>
              <w:tc>
                <w:tcPr>
                  <w:tcW w:w="1107" w:type="pct"/>
                  <w:noWrap w:val="0"/>
                  <w:vAlign w:val="center"/>
                </w:tcPr>
                <w:p w14:paraId="436586F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测试机</w:t>
                  </w:r>
                </w:p>
              </w:tc>
              <w:tc>
                <w:tcPr>
                  <w:tcW w:w="635" w:type="pct"/>
                  <w:noWrap w:val="0"/>
                  <w:vAlign w:val="center"/>
                </w:tcPr>
                <w:p w14:paraId="04C386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697" w:type="pct"/>
                  <w:noWrap w:val="0"/>
                  <w:vAlign w:val="center"/>
                </w:tcPr>
                <w:p w14:paraId="4AF72E0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90</w:t>
                  </w:r>
                </w:p>
              </w:tc>
              <w:tc>
                <w:tcPr>
                  <w:tcW w:w="1295" w:type="pct"/>
                  <w:noWrap w:val="0"/>
                  <w:vAlign w:val="center"/>
                </w:tcPr>
                <w:p w14:paraId="57CECAA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6514D20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r>
            <w:tr w14:paraId="2355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33B0A99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13</w:t>
                  </w:r>
                </w:p>
              </w:tc>
              <w:tc>
                <w:tcPr>
                  <w:tcW w:w="1107" w:type="pct"/>
                  <w:shd w:val="clear" w:color="auto" w:fill="auto"/>
                  <w:noWrap w:val="0"/>
                  <w:vAlign w:val="center"/>
                </w:tcPr>
                <w:p w14:paraId="5A921BE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lang w:val="en-US" w:eastAsia="zh-CN"/>
                    </w:rPr>
                    <w:t>激光打标机</w:t>
                  </w:r>
                </w:p>
              </w:tc>
              <w:tc>
                <w:tcPr>
                  <w:tcW w:w="635" w:type="pct"/>
                  <w:shd w:val="clear" w:color="auto" w:fill="auto"/>
                  <w:noWrap w:val="0"/>
                  <w:vAlign w:val="center"/>
                </w:tcPr>
                <w:p w14:paraId="616FBB2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697" w:type="pct"/>
                  <w:noWrap w:val="0"/>
                  <w:vAlign w:val="center"/>
                </w:tcPr>
                <w:p w14:paraId="393AF15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85</w:t>
                  </w:r>
                </w:p>
              </w:tc>
              <w:tc>
                <w:tcPr>
                  <w:tcW w:w="1295" w:type="pct"/>
                  <w:noWrap w:val="0"/>
                  <w:vAlign w:val="center"/>
                </w:tcPr>
                <w:p w14:paraId="4E34454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5998218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r>
            <w:tr w14:paraId="7512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E607E6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w:t>
                  </w:r>
                </w:p>
              </w:tc>
              <w:tc>
                <w:tcPr>
                  <w:tcW w:w="1107" w:type="pct"/>
                  <w:noWrap w:val="0"/>
                  <w:vAlign w:val="center"/>
                </w:tcPr>
                <w:p w14:paraId="00F00618">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kern w:val="2"/>
                      <w:sz w:val="21"/>
                      <w:szCs w:val="21"/>
                      <w:lang w:val="en-US" w:eastAsia="zh-CN" w:bidi="ar-SA"/>
                    </w:rPr>
                    <w:t>U铁压合机</w:t>
                  </w:r>
                </w:p>
              </w:tc>
              <w:tc>
                <w:tcPr>
                  <w:tcW w:w="635" w:type="pct"/>
                  <w:noWrap w:val="0"/>
                  <w:vAlign w:val="center"/>
                </w:tcPr>
                <w:p w14:paraId="132E360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97" w:type="pct"/>
                  <w:noWrap w:val="0"/>
                  <w:vAlign w:val="center"/>
                </w:tcPr>
                <w:p w14:paraId="6591EA4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80</w:t>
                  </w:r>
                </w:p>
              </w:tc>
              <w:tc>
                <w:tcPr>
                  <w:tcW w:w="1295" w:type="pct"/>
                  <w:noWrap w:val="0"/>
                  <w:vAlign w:val="center"/>
                </w:tcPr>
                <w:p w14:paraId="66A1B4D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4AD8EE7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65</w:t>
                  </w:r>
                </w:p>
              </w:tc>
            </w:tr>
            <w:tr w14:paraId="2268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52804F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15</w:t>
                  </w:r>
                </w:p>
              </w:tc>
              <w:tc>
                <w:tcPr>
                  <w:tcW w:w="1107" w:type="pct"/>
                  <w:noWrap w:val="0"/>
                  <w:vAlign w:val="center"/>
                </w:tcPr>
                <w:p w14:paraId="4C6A1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kern w:val="2"/>
                      <w:sz w:val="21"/>
                      <w:szCs w:val="21"/>
                      <w:lang w:val="en-US" w:eastAsia="zh-CN" w:bidi="ar-SA"/>
                    </w:rPr>
                    <w:t>输出轴铆压设备</w:t>
                  </w:r>
                </w:p>
              </w:tc>
              <w:tc>
                <w:tcPr>
                  <w:tcW w:w="635" w:type="pct"/>
                  <w:noWrap w:val="0"/>
                  <w:vAlign w:val="center"/>
                </w:tcPr>
                <w:p w14:paraId="2C98236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97" w:type="pct"/>
                  <w:noWrap w:val="0"/>
                  <w:vAlign w:val="center"/>
                </w:tcPr>
                <w:p w14:paraId="56C139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80</w:t>
                  </w:r>
                </w:p>
              </w:tc>
              <w:tc>
                <w:tcPr>
                  <w:tcW w:w="1295" w:type="pct"/>
                  <w:noWrap w:val="0"/>
                  <w:vAlign w:val="center"/>
                </w:tcPr>
                <w:p w14:paraId="37D479B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277E22D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65</w:t>
                  </w:r>
                </w:p>
              </w:tc>
            </w:tr>
            <w:tr w14:paraId="1BDA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329B9C5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16</w:t>
                  </w:r>
                </w:p>
              </w:tc>
              <w:tc>
                <w:tcPr>
                  <w:tcW w:w="1107" w:type="pct"/>
                  <w:noWrap w:val="0"/>
                  <w:vAlign w:val="center"/>
                </w:tcPr>
                <w:p w14:paraId="2F3EF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kern w:val="2"/>
                      <w:sz w:val="21"/>
                      <w:szCs w:val="21"/>
                      <w:lang w:val="en-US" w:eastAsia="zh-CN" w:bidi="ar-SA"/>
                    </w:rPr>
                    <w:t>成品摆盘机</w:t>
                  </w:r>
                </w:p>
              </w:tc>
              <w:tc>
                <w:tcPr>
                  <w:tcW w:w="635" w:type="pct"/>
                  <w:noWrap w:val="0"/>
                  <w:vAlign w:val="center"/>
                </w:tcPr>
                <w:p w14:paraId="169A301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97" w:type="pct"/>
                  <w:noWrap w:val="0"/>
                  <w:vAlign w:val="center"/>
                </w:tcPr>
                <w:p w14:paraId="2A6D7C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c>
                <w:tcPr>
                  <w:tcW w:w="1295" w:type="pct"/>
                  <w:noWrap w:val="0"/>
                  <w:vAlign w:val="center"/>
                </w:tcPr>
                <w:p w14:paraId="02495A0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2B98182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60</w:t>
                  </w:r>
                </w:p>
              </w:tc>
            </w:tr>
            <w:tr w14:paraId="354C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68C247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17</w:t>
                  </w:r>
                </w:p>
              </w:tc>
              <w:tc>
                <w:tcPr>
                  <w:tcW w:w="1107" w:type="pct"/>
                  <w:noWrap w:val="0"/>
                  <w:vAlign w:val="center"/>
                </w:tcPr>
                <w:p w14:paraId="22562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kern w:val="2"/>
                      <w:sz w:val="21"/>
                      <w:szCs w:val="21"/>
                      <w:lang w:val="en-US" w:eastAsia="zh-CN" w:bidi="ar-SA"/>
                    </w:rPr>
                    <w:t>叠铆机</w:t>
                  </w:r>
                </w:p>
              </w:tc>
              <w:tc>
                <w:tcPr>
                  <w:tcW w:w="635" w:type="pct"/>
                  <w:noWrap w:val="0"/>
                  <w:vAlign w:val="center"/>
                </w:tcPr>
                <w:p w14:paraId="45BDCC2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97" w:type="pct"/>
                  <w:noWrap w:val="0"/>
                  <w:vAlign w:val="center"/>
                </w:tcPr>
                <w:p w14:paraId="2461488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c>
                <w:tcPr>
                  <w:tcW w:w="1295" w:type="pct"/>
                  <w:noWrap w:val="0"/>
                  <w:vAlign w:val="center"/>
                </w:tcPr>
                <w:p w14:paraId="76B3018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28A4771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60</w:t>
                  </w:r>
                </w:p>
              </w:tc>
            </w:tr>
            <w:tr w14:paraId="49B0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3F5CA0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18</w:t>
                  </w:r>
                </w:p>
              </w:tc>
              <w:tc>
                <w:tcPr>
                  <w:tcW w:w="1107" w:type="pct"/>
                  <w:noWrap w:val="0"/>
                  <w:vAlign w:val="center"/>
                </w:tcPr>
                <w:p w14:paraId="792AB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kern w:val="2"/>
                      <w:sz w:val="21"/>
                      <w:szCs w:val="21"/>
                      <w:lang w:val="en-US" w:eastAsia="zh-CN" w:bidi="ar-SA"/>
                    </w:rPr>
                    <w:t>吊力贴标机</w:t>
                  </w:r>
                </w:p>
              </w:tc>
              <w:tc>
                <w:tcPr>
                  <w:tcW w:w="635" w:type="pct"/>
                  <w:noWrap w:val="0"/>
                  <w:vAlign w:val="center"/>
                </w:tcPr>
                <w:p w14:paraId="3DB2F76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97" w:type="pct"/>
                  <w:noWrap w:val="0"/>
                  <w:vAlign w:val="center"/>
                </w:tcPr>
                <w:p w14:paraId="68F59B3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1295" w:type="pct"/>
                  <w:noWrap w:val="0"/>
                  <w:vAlign w:val="center"/>
                </w:tcPr>
                <w:p w14:paraId="377059B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3E0C1B1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55</w:t>
                  </w:r>
                </w:p>
              </w:tc>
            </w:tr>
            <w:tr w14:paraId="48D7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1A837FA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19</w:t>
                  </w:r>
                </w:p>
              </w:tc>
              <w:tc>
                <w:tcPr>
                  <w:tcW w:w="1107" w:type="pct"/>
                  <w:noWrap w:val="0"/>
                  <w:vAlign w:val="center"/>
                </w:tcPr>
                <w:p w14:paraId="11242A0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rPr>
                    <w:t>注塑机</w:t>
                  </w:r>
                </w:p>
              </w:tc>
              <w:tc>
                <w:tcPr>
                  <w:tcW w:w="635" w:type="pct"/>
                  <w:noWrap w:val="0"/>
                  <w:vAlign w:val="center"/>
                </w:tcPr>
                <w:p w14:paraId="7DEAFA2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30</w:t>
                  </w:r>
                </w:p>
              </w:tc>
              <w:tc>
                <w:tcPr>
                  <w:tcW w:w="697" w:type="pct"/>
                  <w:noWrap w:val="0"/>
                  <w:vAlign w:val="center"/>
                </w:tcPr>
                <w:p w14:paraId="5BB94DF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1295" w:type="pct"/>
                  <w:noWrap w:val="0"/>
                  <w:vAlign w:val="center"/>
                </w:tcPr>
                <w:p w14:paraId="332AAA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75CB6E4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55</w:t>
                  </w:r>
                </w:p>
              </w:tc>
            </w:tr>
            <w:tr w14:paraId="6684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6AEECC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20</w:t>
                  </w:r>
                </w:p>
              </w:tc>
              <w:tc>
                <w:tcPr>
                  <w:tcW w:w="1107" w:type="pct"/>
                  <w:noWrap w:val="0"/>
                  <w:vAlign w:val="center"/>
                </w:tcPr>
                <w:p w14:paraId="104CB40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4"/>
                      <w:sz w:val="21"/>
                      <w:szCs w:val="21"/>
                      <w:lang w:val="en-US" w:eastAsia="zh-CN"/>
                    </w:rPr>
                    <w:t>模温机</w:t>
                  </w:r>
                </w:p>
              </w:tc>
              <w:tc>
                <w:tcPr>
                  <w:tcW w:w="635" w:type="pct"/>
                  <w:noWrap w:val="0"/>
                  <w:vAlign w:val="center"/>
                </w:tcPr>
                <w:p w14:paraId="743EFE68">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30</w:t>
                  </w:r>
                </w:p>
              </w:tc>
              <w:tc>
                <w:tcPr>
                  <w:tcW w:w="697" w:type="pct"/>
                  <w:noWrap w:val="0"/>
                  <w:vAlign w:val="center"/>
                </w:tcPr>
                <w:p w14:paraId="7E23410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1295" w:type="pct"/>
                  <w:noWrap w:val="0"/>
                  <w:vAlign w:val="center"/>
                </w:tcPr>
                <w:p w14:paraId="162199D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2BCD99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55</w:t>
                  </w:r>
                </w:p>
              </w:tc>
            </w:tr>
            <w:tr w14:paraId="4811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60D2D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21</w:t>
                  </w:r>
                </w:p>
              </w:tc>
              <w:tc>
                <w:tcPr>
                  <w:tcW w:w="1107" w:type="pct"/>
                  <w:noWrap w:val="0"/>
                  <w:vAlign w:val="center"/>
                </w:tcPr>
                <w:p w14:paraId="099DDF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机械手</w:t>
                  </w:r>
                </w:p>
              </w:tc>
              <w:tc>
                <w:tcPr>
                  <w:tcW w:w="635" w:type="pct"/>
                  <w:noWrap w:val="0"/>
                  <w:vAlign w:val="center"/>
                </w:tcPr>
                <w:p w14:paraId="6C820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30</w:t>
                  </w:r>
                </w:p>
              </w:tc>
              <w:tc>
                <w:tcPr>
                  <w:tcW w:w="697" w:type="pct"/>
                  <w:noWrap w:val="0"/>
                  <w:vAlign w:val="center"/>
                </w:tcPr>
                <w:p w14:paraId="1B0CE0D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c>
                <w:tcPr>
                  <w:tcW w:w="1295" w:type="pct"/>
                  <w:noWrap w:val="0"/>
                  <w:vAlign w:val="center"/>
                </w:tcPr>
                <w:p w14:paraId="750D6DE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12856D7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60</w:t>
                  </w:r>
                </w:p>
              </w:tc>
            </w:tr>
            <w:tr w14:paraId="2AED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5E75B73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22</w:t>
                  </w:r>
                </w:p>
              </w:tc>
              <w:tc>
                <w:tcPr>
                  <w:tcW w:w="1107" w:type="pct"/>
                  <w:noWrap w:val="0"/>
                  <w:vAlign w:val="center"/>
                </w:tcPr>
                <w:p w14:paraId="1136F118">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rPr>
                    <w:t>干燥机</w:t>
                  </w:r>
                </w:p>
              </w:tc>
              <w:tc>
                <w:tcPr>
                  <w:tcW w:w="635" w:type="pct"/>
                  <w:noWrap w:val="0"/>
                  <w:vAlign w:val="center"/>
                </w:tcPr>
                <w:p w14:paraId="3583F81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30</w:t>
                  </w:r>
                </w:p>
              </w:tc>
              <w:tc>
                <w:tcPr>
                  <w:tcW w:w="697" w:type="pct"/>
                  <w:noWrap w:val="0"/>
                  <w:vAlign w:val="center"/>
                </w:tcPr>
                <w:p w14:paraId="0C6CD10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85</w:t>
                  </w:r>
                </w:p>
              </w:tc>
              <w:tc>
                <w:tcPr>
                  <w:tcW w:w="1295" w:type="pct"/>
                  <w:noWrap w:val="0"/>
                  <w:vAlign w:val="center"/>
                </w:tcPr>
                <w:p w14:paraId="3E82B0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515E377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r>
            <w:tr w14:paraId="00DE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7E893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23</w:t>
                  </w:r>
                </w:p>
              </w:tc>
              <w:tc>
                <w:tcPr>
                  <w:tcW w:w="1107" w:type="pct"/>
                  <w:noWrap w:val="0"/>
                  <w:vAlign w:val="center"/>
                </w:tcPr>
                <w:p w14:paraId="76BDACF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吸料机</w:t>
                  </w:r>
                </w:p>
              </w:tc>
              <w:tc>
                <w:tcPr>
                  <w:tcW w:w="635" w:type="pct"/>
                  <w:noWrap w:val="0"/>
                  <w:vAlign w:val="center"/>
                </w:tcPr>
                <w:p w14:paraId="4AD06FC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1"/>
                      <w:sz w:val="21"/>
                      <w:szCs w:val="21"/>
                      <w:lang w:val="en-US" w:eastAsia="zh-CN"/>
                    </w:rPr>
                    <w:t>30</w:t>
                  </w:r>
                </w:p>
              </w:tc>
              <w:tc>
                <w:tcPr>
                  <w:tcW w:w="697" w:type="pct"/>
                  <w:noWrap w:val="0"/>
                  <w:vAlign w:val="center"/>
                </w:tcPr>
                <w:p w14:paraId="355FF72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85</w:t>
                  </w:r>
                </w:p>
              </w:tc>
              <w:tc>
                <w:tcPr>
                  <w:tcW w:w="1295" w:type="pct"/>
                  <w:noWrap w:val="0"/>
                  <w:vAlign w:val="center"/>
                </w:tcPr>
                <w:p w14:paraId="351920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2B57D2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r>
            <w:tr w14:paraId="4833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716CD70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24</w:t>
                  </w:r>
                </w:p>
              </w:tc>
              <w:tc>
                <w:tcPr>
                  <w:tcW w:w="1107" w:type="pct"/>
                  <w:noWrap w:val="0"/>
                  <w:vAlign w:val="center"/>
                </w:tcPr>
                <w:p w14:paraId="6CF89CB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8"/>
                      <w:sz w:val="21"/>
                      <w:szCs w:val="21"/>
                      <w:lang w:val="en-US" w:eastAsia="zh-CN"/>
                    </w:rPr>
                    <w:t>粉碎机</w:t>
                  </w:r>
                </w:p>
              </w:tc>
              <w:tc>
                <w:tcPr>
                  <w:tcW w:w="635" w:type="pct"/>
                  <w:noWrap w:val="0"/>
                  <w:vAlign w:val="center"/>
                </w:tcPr>
                <w:p w14:paraId="3796338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1"/>
                      <w:sz w:val="21"/>
                      <w:szCs w:val="21"/>
                      <w:lang w:val="en-US" w:eastAsia="zh-CN"/>
                    </w:rPr>
                    <w:t>5</w:t>
                  </w:r>
                </w:p>
              </w:tc>
              <w:tc>
                <w:tcPr>
                  <w:tcW w:w="697" w:type="pct"/>
                  <w:noWrap w:val="0"/>
                  <w:vAlign w:val="center"/>
                </w:tcPr>
                <w:p w14:paraId="4F98A9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90</w:t>
                  </w:r>
                </w:p>
              </w:tc>
              <w:tc>
                <w:tcPr>
                  <w:tcW w:w="1295" w:type="pct"/>
                  <w:noWrap w:val="0"/>
                  <w:vAlign w:val="center"/>
                </w:tcPr>
                <w:p w14:paraId="6750BE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6DD9A30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r>
            <w:tr w14:paraId="481C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120416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25</w:t>
                  </w:r>
                </w:p>
              </w:tc>
              <w:tc>
                <w:tcPr>
                  <w:tcW w:w="1107" w:type="pct"/>
                  <w:noWrap w:val="0"/>
                  <w:vAlign w:val="center"/>
                </w:tcPr>
                <w:p w14:paraId="039F20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kern w:val="2"/>
                      <w:sz w:val="21"/>
                      <w:szCs w:val="21"/>
                      <w:lang w:val="en-US" w:eastAsia="zh-CN" w:bidi="ar-SA"/>
                    </w:rPr>
                    <w:t>点胶烘烤</w:t>
                  </w:r>
                </w:p>
              </w:tc>
              <w:tc>
                <w:tcPr>
                  <w:tcW w:w="635" w:type="pct"/>
                  <w:noWrap w:val="0"/>
                  <w:vAlign w:val="center"/>
                </w:tcPr>
                <w:p w14:paraId="65F1D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sz w:val="21"/>
                      <w:szCs w:val="21"/>
                      <w:lang w:val="en-US" w:eastAsia="zh-CN"/>
                    </w:rPr>
                    <w:t>2</w:t>
                  </w:r>
                </w:p>
              </w:tc>
              <w:tc>
                <w:tcPr>
                  <w:tcW w:w="697" w:type="pct"/>
                  <w:noWrap w:val="0"/>
                  <w:vAlign w:val="center"/>
                </w:tcPr>
                <w:p w14:paraId="440D24D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1295" w:type="pct"/>
                  <w:noWrap w:val="0"/>
                  <w:vAlign w:val="center"/>
                </w:tcPr>
                <w:p w14:paraId="7818F6B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6829321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55</w:t>
                  </w:r>
                </w:p>
              </w:tc>
            </w:tr>
            <w:tr w14:paraId="45C6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3C33040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26</w:t>
                  </w:r>
                </w:p>
              </w:tc>
              <w:tc>
                <w:tcPr>
                  <w:tcW w:w="1107" w:type="pct"/>
                  <w:noWrap w:val="0"/>
                  <w:vAlign w:val="center"/>
                </w:tcPr>
                <w:p w14:paraId="35019D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kern w:val="2"/>
                      <w:sz w:val="21"/>
                      <w:szCs w:val="21"/>
                      <w:lang w:val="en-US" w:eastAsia="zh-CN" w:bidi="ar-SA"/>
                    </w:rPr>
                    <w:t>烤箱</w:t>
                  </w:r>
                </w:p>
              </w:tc>
              <w:tc>
                <w:tcPr>
                  <w:tcW w:w="635" w:type="pct"/>
                  <w:noWrap w:val="0"/>
                  <w:vAlign w:val="center"/>
                </w:tcPr>
                <w:p w14:paraId="38DEF18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4</w:t>
                  </w:r>
                </w:p>
              </w:tc>
              <w:tc>
                <w:tcPr>
                  <w:tcW w:w="697" w:type="pct"/>
                  <w:noWrap w:val="0"/>
                  <w:vAlign w:val="center"/>
                </w:tcPr>
                <w:p w14:paraId="51296E6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1295" w:type="pct"/>
                  <w:noWrap w:val="0"/>
                  <w:vAlign w:val="center"/>
                </w:tcPr>
                <w:p w14:paraId="776A8DF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3E1AB68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55</w:t>
                  </w:r>
                </w:p>
              </w:tc>
            </w:tr>
            <w:tr w14:paraId="6CA2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2E3F2A4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27</w:t>
                  </w:r>
                </w:p>
              </w:tc>
              <w:tc>
                <w:tcPr>
                  <w:tcW w:w="1107" w:type="pct"/>
                  <w:noWrap w:val="0"/>
                  <w:vAlign w:val="center"/>
                </w:tcPr>
                <w:p w14:paraId="3202CB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kern w:val="2"/>
                      <w:sz w:val="21"/>
                      <w:szCs w:val="21"/>
                      <w:lang w:val="en-US" w:eastAsia="zh-CN" w:bidi="ar-SA"/>
                    </w:rPr>
                    <w:t>紫外线固化机</w:t>
                  </w:r>
                </w:p>
              </w:tc>
              <w:tc>
                <w:tcPr>
                  <w:tcW w:w="635" w:type="pct"/>
                  <w:noWrap w:val="0"/>
                  <w:vAlign w:val="center"/>
                </w:tcPr>
                <w:p w14:paraId="4FFC327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1"/>
                      <w:sz w:val="21"/>
                      <w:szCs w:val="21"/>
                      <w:lang w:val="en-US" w:eastAsia="zh-CN"/>
                    </w:rPr>
                    <w:t>6</w:t>
                  </w:r>
                </w:p>
              </w:tc>
              <w:tc>
                <w:tcPr>
                  <w:tcW w:w="697" w:type="pct"/>
                  <w:noWrap w:val="0"/>
                  <w:vAlign w:val="center"/>
                </w:tcPr>
                <w:p w14:paraId="3DBE373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1295" w:type="pct"/>
                  <w:noWrap w:val="0"/>
                  <w:vAlign w:val="center"/>
                </w:tcPr>
                <w:p w14:paraId="468F928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529A4A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55</w:t>
                  </w:r>
                </w:p>
              </w:tc>
            </w:tr>
            <w:tr w14:paraId="36D7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4A9C118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28</w:t>
                  </w:r>
                </w:p>
              </w:tc>
              <w:tc>
                <w:tcPr>
                  <w:tcW w:w="1107" w:type="pct"/>
                  <w:noWrap w:val="0"/>
                  <w:vAlign w:val="center"/>
                </w:tcPr>
                <w:p w14:paraId="3ABB4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right"/>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kern w:val="2"/>
                      <w:sz w:val="21"/>
                      <w:szCs w:val="21"/>
                      <w:lang w:val="en-US" w:eastAsia="zh-CN" w:bidi="ar-SA"/>
                    </w:rPr>
                    <w:t>龙门高速精密冲床</w:t>
                  </w:r>
                </w:p>
              </w:tc>
              <w:tc>
                <w:tcPr>
                  <w:tcW w:w="635" w:type="pct"/>
                  <w:noWrap w:val="0"/>
                  <w:vAlign w:val="center"/>
                </w:tcPr>
                <w:p w14:paraId="5CA582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697" w:type="pct"/>
                  <w:noWrap w:val="0"/>
                  <w:vAlign w:val="center"/>
                </w:tcPr>
                <w:p w14:paraId="31C9B2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90</w:t>
                  </w:r>
                </w:p>
              </w:tc>
              <w:tc>
                <w:tcPr>
                  <w:tcW w:w="1295" w:type="pct"/>
                  <w:noWrap w:val="0"/>
                  <w:vAlign w:val="center"/>
                </w:tcPr>
                <w:p w14:paraId="3D1852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6EBF6E3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r>
            <w:tr w14:paraId="373D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6EBB84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29</w:t>
                  </w:r>
                </w:p>
              </w:tc>
              <w:tc>
                <w:tcPr>
                  <w:tcW w:w="1107" w:type="pct"/>
                  <w:noWrap w:val="0"/>
                  <w:vAlign w:val="center"/>
                </w:tcPr>
                <w:p w14:paraId="24E32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kern w:val="2"/>
                      <w:sz w:val="21"/>
                      <w:szCs w:val="21"/>
                      <w:lang w:val="en-US" w:eastAsia="zh-CN" w:bidi="ar-SA"/>
                    </w:rPr>
                    <w:t>热处理设备</w:t>
                  </w:r>
                </w:p>
              </w:tc>
              <w:tc>
                <w:tcPr>
                  <w:tcW w:w="635" w:type="pct"/>
                  <w:noWrap w:val="0"/>
                  <w:vAlign w:val="center"/>
                </w:tcPr>
                <w:p w14:paraId="4D97B5D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2</w:t>
                  </w:r>
                </w:p>
              </w:tc>
              <w:tc>
                <w:tcPr>
                  <w:tcW w:w="697" w:type="pct"/>
                  <w:noWrap w:val="0"/>
                  <w:vAlign w:val="center"/>
                </w:tcPr>
                <w:p w14:paraId="3F419DE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85</w:t>
                  </w:r>
                </w:p>
              </w:tc>
              <w:tc>
                <w:tcPr>
                  <w:tcW w:w="1295" w:type="pct"/>
                  <w:noWrap w:val="0"/>
                  <w:vAlign w:val="center"/>
                </w:tcPr>
                <w:p w14:paraId="6C1D45E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5EEB0EF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r>
            <w:tr w14:paraId="7720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0D059B5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30</w:t>
                  </w:r>
                </w:p>
              </w:tc>
              <w:tc>
                <w:tcPr>
                  <w:tcW w:w="1107" w:type="pct"/>
                  <w:shd w:val="clear" w:color="auto" w:fill="auto"/>
                  <w:noWrap w:val="0"/>
                  <w:vAlign w:val="center"/>
                </w:tcPr>
                <w:p w14:paraId="0D5E9A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制氮机组</w:t>
                  </w:r>
                </w:p>
              </w:tc>
              <w:tc>
                <w:tcPr>
                  <w:tcW w:w="635" w:type="pct"/>
                  <w:shd w:val="clear" w:color="auto" w:fill="auto"/>
                  <w:noWrap w:val="0"/>
                  <w:vAlign w:val="center"/>
                </w:tcPr>
                <w:p w14:paraId="189D742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lang w:val="en-US" w:eastAsia="zh-CN"/>
                    </w:rPr>
                    <w:t>1</w:t>
                  </w:r>
                </w:p>
              </w:tc>
              <w:tc>
                <w:tcPr>
                  <w:tcW w:w="697" w:type="pct"/>
                  <w:noWrap w:val="0"/>
                  <w:vAlign w:val="center"/>
                </w:tcPr>
                <w:p w14:paraId="09C9000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95</w:t>
                  </w:r>
                </w:p>
              </w:tc>
              <w:tc>
                <w:tcPr>
                  <w:tcW w:w="1295" w:type="pct"/>
                  <w:noWrap w:val="0"/>
                  <w:vAlign w:val="center"/>
                </w:tcPr>
                <w:p w14:paraId="32DB132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171ED8C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80</w:t>
                  </w:r>
                </w:p>
              </w:tc>
            </w:tr>
            <w:tr w14:paraId="17D1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6F2FECB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31</w:t>
                  </w:r>
                </w:p>
              </w:tc>
              <w:tc>
                <w:tcPr>
                  <w:tcW w:w="1107" w:type="pct"/>
                  <w:noWrap w:val="0"/>
                  <w:vAlign w:val="center"/>
                </w:tcPr>
                <w:p w14:paraId="7C2841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kern w:val="2"/>
                      <w:sz w:val="21"/>
                      <w:szCs w:val="21"/>
                      <w:lang w:val="en-US" w:eastAsia="zh-CN" w:bidi="ar-SA"/>
                    </w:rPr>
                    <w:t>全自动旋转超声波清洗机</w:t>
                  </w:r>
                </w:p>
              </w:tc>
              <w:tc>
                <w:tcPr>
                  <w:tcW w:w="635" w:type="pct"/>
                  <w:noWrap w:val="0"/>
                  <w:vAlign w:val="center"/>
                </w:tcPr>
                <w:p w14:paraId="3E39F15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1</w:t>
                  </w:r>
                </w:p>
              </w:tc>
              <w:tc>
                <w:tcPr>
                  <w:tcW w:w="697" w:type="pct"/>
                  <w:noWrap w:val="0"/>
                  <w:vAlign w:val="center"/>
                </w:tcPr>
                <w:p w14:paraId="69D70D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90</w:t>
                  </w:r>
                </w:p>
              </w:tc>
              <w:tc>
                <w:tcPr>
                  <w:tcW w:w="1295" w:type="pct"/>
                  <w:noWrap w:val="0"/>
                  <w:vAlign w:val="center"/>
                </w:tcPr>
                <w:p w14:paraId="4D81212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779796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r>
            <w:tr w14:paraId="07A2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1F9DD2D8">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32</w:t>
                  </w:r>
                </w:p>
              </w:tc>
              <w:tc>
                <w:tcPr>
                  <w:tcW w:w="1107" w:type="pct"/>
                  <w:noWrap w:val="0"/>
                  <w:vAlign w:val="center"/>
                </w:tcPr>
                <w:p w14:paraId="46F6D6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kern w:val="2"/>
                      <w:sz w:val="21"/>
                      <w:szCs w:val="21"/>
                      <w:lang w:val="en-US" w:eastAsia="zh-CN" w:bidi="ar-SA"/>
                    </w:rPr>
                    <w:t>齿轮式攻丝机</w:t>
                  </w:r>
                </w:p>
              </w:tc>
              <w:tc>
                <w:tcPr>
                  <w:tcW w:w="635" w:type="pct"/>
                  <w:noWrap w:val="0"/>
                  <w:vAlign w:val="center"/>
                </w:tcPr>
                <w:p w14:paraId="34AB450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1</w:t>
                  </w:r>
                </w:p>
              </w:tc>
              <w:tc>
                <w:tcPr>
                  <w:tcW w:w="697" w:type="pct"/>
                  <w:noWrap w:val="0"/>
                  <w:vAlign w:val="center"/>
                </w:tcPr>
                <w:p w14:paraId="199E081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85</w:t>
                  </w:r>
                </w:p>
              </w:tc>
              <w:tc>
                <w:tcPr>
                  <w:tcW w:w="1295" w:type="pct"/>
                  <w:noWrap w:val="0"/>
                  <w:vAlign w:val="center"/>
                </w:tcPr>
                <w:p w14:paraId="1EA1B1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1F90012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r>
            <w:tr w14:paraId="2868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22D630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33</w:t>
                  </w:r>
                </w:p>
              </w:tc>
              <w:tc>
                <w:tcPr>
                  <w:tcW w:w="1107" w:type="pct"/>
                  <w:noWrap w:val="0"/>
                  <w:vAlign w:val="center"/>
                </w:tcPr>
                <w:p w14:paraId="37F7C1D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5"/>
                      <w:sz w:val="21"/>
                      <w:szCs w:val="21"/>
                    </w:rPr>
                    <w:t>空压机</w:t>
                  </w:r>
                </w:p>
              </w:tc>
              <w:tc>
                <w:tcPr>
                  <w:tcW w:w="635" w:type="pct"/>
                  <w:noWrap w:val="0"/>
                  <w:vAlign w:val="center"/>
                </w:tcPr>
                <w:p w14:paraId="43E93B7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697" w:type="pct"/>
                  <w:noWrap w:val="0"/>
                  <w:vAlign w:val="center"/>
                </w:tcPr>
                <w:p w14:paraId="3FB10A5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85</w:t>
                  </w:r>
                </w:p>
              </w:tc>
              <w:tc>
                <w:tcPr>
                  <w:tcW w:w="1295" w:type="pct"/>
                  <w:noWrap w:val="0"/>
                  <w:vAlign w:val="center"/>
                </w:tcPr>
                <w:p w14:paraId="0C6DB01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3E67013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r>
            <w:tr w14:paraId="1188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2C387EB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34</w:t>
                  </w:r>
                </w:p>
              </w:tc>
              <w:tc>
                <w:tcPr>
                  <w:tcW w:w="1107" w:type="pct"/>
                  <w:noWrap w:val="0"/>
                  <w:vAlign w:val="center"/>
                </w:tcPr>
                <w:p w14:paraId="671C909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纯水设备</w:t>
                  </w:r>
                </w:p>
              </w:tc>
              <w:tc>
                <w:tcPr>
                  <w:tcW w:w="635" w:type="pct"/>
                  <w:noWrap w:val="0"/>
                  <w:vAlign w:val="center"/>
                </w:tcPr>
                <w:p w14:paraId="73C333A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7"/>
                      <w:sz w:val="21"/>
                      <w:szCs w:val="21"/>
                      <w:lang w:val="en-US" w:eastAsia="zh-CN"/>
                    </w:rPr>
                    <w:t>1</w:t>
                  </w:r>
                </w:p>
              </w:tc>
              <w:tc>
                <w:tcPr>
                  <w:tcW w:w="697" w:type="pct"/>
                  <w:noWrap w:val="0"/>
                  <w:vAlign w:val="center"/>
                </w:tcPr>
                <w:p w14:paraId="45019E0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85</w:t>
                  </w:r>
                </w:p>
              </w:tc>
              <w:tc>
                <w:tcPr>
                  <w:tcW w:w="1295" w:type="pct"/>
                  <w:noWrap w:val="0"/>
                  <w:vAlign w:val="center"/>
                </w:tcPr>
                <w:p w14:paraId="54F0DB2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选用低噪声设备，基础减振、厂房隔声</w:t>
                  </w:r>
                </w:p>
              </w:tc>
              <w:tc>
                <w:tcPr>
                  <w:tcW w:w="852" w:type="pct"/>
                  <w:noWrap w:val="0"/>
                  <w:vAlign w:val="center"/>
                </w:tcPr>
                <w:p w14:paraId="7F75A99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r>
            <w:tr w14:paraId="0ED2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12" w:type="pct"/>
                  <w:noWrap w:val="0"/>
                  <w:vAlign w:val="center"/>
                </w:tcPr>
                <w:p w14:paraId="395966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35</w:t>
                  </w:r>
                </w:p>
              </w:tc>
              <w:tc>
                <w:tcPr>
                  <w:tcW w:w="1107" w:type="pct"/>
                  <w:noWrap w:val="0"/>
                  <w:vAlign w:val="center"/>
                </w:tcPr>
                <w:p w14:paraId="7955B60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风机</w:t>
                  </w:r>
                </w:p>
              </w:tc>
              <w:tc>
                <w:tcPr>
                  <w:tcW w:w="635" w:type="pct"/>
                  <w:noWrap w:val="0"/>
                  <w:vAlign w:val="center"/>
                </w:tcPr>
                <w:p w14:paraId="219139F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7"/>
                      <w:sz w:val="21"/>
                      <w:szCs w:val="21"/>
                      <w:lang w:val="en-US" w:eastAsia="zh-CN"/>
                    </w:rPr>
                  </w:pPr>
                  <w:r>
                    <w:rPr>
                      <w:rFonts w:hint="eastAsia" w:ascii="Times New Roman" w:hAnsi="Times New Roman" w:cs="Times New Roman"/>
                      <w:spacing w:val="-7"/>
                      <w:sz w:val="21"/>
                      <w:szCs w:val="21"/>
                      <w:lang w:val="en-US" w:eastAsia="zh-CN"/>
                    </w:rPr>
                    <w:t>2</w:t>
                  </w:r>
                </w:p>
              </w:tc>
              <w:tc>
                <w:tcPr>
                  <w:tcW w:w="697" w:type="pct"/>
                  <w:noWrap w:val="0"/>
                  <w:vAlign w:val="center"/>
                </w:tcPr>
                <w:p w14:paraId="24DDAD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90</w:t>
                  </w:r>
                </w:p>
              </w:tc>
              <w:tc>
                <w:tcPr>
                  <w:tcW w:w="1295" w:type="pct"/>
                  <w:noWrap w:val="0"/>
                  <w:vAlign w:val="center"/>
                </w:tcPr>
                <w:p w14:paraId="46391E9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基础减振，安装消音器</w:t>
                  </w:r>
                </w:p>
              </w:tc>
              <w:tc>
                <w:tcPr>
                  <w:tcW w:w="852" w:type="pct"/>
                  <w:noWrap w:val="0"/>
                  <w:vAlign w:val="center"/>
                </w:tcPr>
                <w:p w14:paraId="069C147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70</w:t>
                  </w:r>
                </w:p>
              </w:tc>
            </w:tr>
          </w:tbl>
          <w:p w14:paraId="3A1E677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snapToGrid w:val="0"/>
                <w:color w:val="auto"/>
                <w:kern w:val="0"/>
                <w:sz w:val="24"/>
              </w:rPr>
            </w:pPr>
            <w:r>
              <w:rPr>
                <w:rFonts w:hint="default" w:ascii="Times New Roman" w:hAnsi="Times New Roman" w:eastAsia="宋体" w:cs="Times New Roman"/>
                <w:b/>
                <w:bCs w:val="0"/>
                <w:snapToGrid w:val="0"/>
                <w:color w:val="auto"/>
                <w:kern w:val="0"/>
                <w:sz w:val="24"/>
                <w:lang w:val="en-US" w:eastAsia="zh-CN"/>
              </w:rPr>
              <w:t>2、</w:t>
            </w:r>
            <w:r>
              <w:rPr>
                <w:rFonts w:hint="default" w:ascii="Times New Roman" w:hAnsi="Times New Roman" w:eastAsia="宋体" w:cs="Times New Roman"/>
                <w:b/>
                <w:bCs w:val="0"/>
                <w:snapToGrid w:val="0"/>
                <w:color w:val="auto"/>
                <w:kern w:val="0"/>
                <w:sz w:val="24"/>
              </w:rPr>
              <w:t>环境影响分析</w:t>
            </w:r>
          </w:p>
          <w:p w14:paraId="43A858E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eastAsia="宋体" w:cs="Times New Roman"/>
                <w:bCs/>
                <w:snapToGrid w:val="0"/>
                <w:color w:val="auto"/>
                <w:kern w:val="0"/>
                <w:sz w:val="24"/>
              </w:rPr>
              <w:fldChar w:fldCharType="begin"/>
            </w:r>
            <w:r>
              <w:rPr>
                <w:rFonts w:hint="default" w:ascii="Times New Roman" w:hAnsi="Times New Roman" w:eastAsia="宋体" w:cs="Times New Roman"/>
                <w:bCs/>
                <w:snapToGrid w:val="0"/>
                <w:color w:val="auto"/>
                <w:kern w:val="0"/>
                <w:sz w:val="24"/>
              </w:rPr>
              <w:instrText xml:space="preserve"> = 1 \* GB3 </w:instrText>
            </w:r>
            <w:r>
              <w:rPr>
                <w:rFonts w:hint="default" w:ascii="Times New Roman" w:hAnsi="Times New Roman" w:eastAsia="宋体" w:cs="Times New Roman"/>
                <w:bCs/>
                <w:snapToGrid w:val="0"/>
                <w:color w:val="auto"/>
                <w:kern w:val="0"/>
                <w:sz w:val="24"/>
              </w:rPr>
              <w:fldChar w:fldCharType="separate"/>
            </w:r>
            <w:r>
              <w:rPr>
                <w:rFonts w:hint="default" w:ascii="Times New Roman" w:hAnsi="Times New Roman" w:eastAsia="宋体" w:cs="Times New Roman"/>
                <w:bCs/>
                <w:snapToGrid w:val="0"/>
                <w:color w:val="auto"/>
                <w:kern w:val="0"/>
                <w:sz w:val="24"/>
              </w:rPr>
              <w:t>①</w:t>
            </w:r>
            <w:r>
              <w:rPr>
                <w:rFonts w:hint="default" w:ascii="Times New Roman" w:hAnsi="Times New Roman" w:eastAsia="宋体" w:cs="Times New Roman"/>
                <w:bCs/>
                <w:snapToGrid w:val="0"/>
                <w:color w:val="auto"/>
                <w:kern w:val="0"/>
                <w:sz w:val="24"/>
              </w:rPr>
              <w:fldChar w:fldCharType="end"/>
            </w:r>
            <w:r>
              <w:rPr>
                <w:rFonts w:hint="default" w:ascii="Times New Roman" w:hAnsi="Times New Roman" w:cs="Times New Roman"/>
                <w:color w:val="auto"/>
                <w:sz w:val="24"/>
              </w:rPr>
              <w:t>预测模式</w:t>
            </w:r>
          </w:p>
          <w:p w14:paraId="2764FB85">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根据《环境影响评价技术导则 声环境》（HJ2.4-2021）的要求，采用如下模式：</w:t>
            </w:r>
          </w:p>
          <w:p w14:paraId="6FCB099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 室内声源等效室外声源预测模式</w:t>
            </w:r>
          </w:p>
          <w:p w14:paraId="2FF9AD7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 计算室内声源靠近围护结构处产生的声压级，按下式：</w:t>
            </w:r>
          </w:p>
          <w:p w14:paraId="0CE0ACA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
                <w:iCs/>
                <w:color w:val="auto"/>
                <w:sz w:val="24"/>
              </w:rPr>
            </w:pPr>
            <w:r>
              <w:rPr>
                <w:rFonts w:hint="default" w:ascii="Times New Roman" w:hAnsi="Times New Roman" w:cs="Times New Roman" w:eastAsiaTheme="minorEastAsia"/>
                <w:color w:val="000000" w:themeColor="text1"/>
                <w:position w:val="-32"/>
                <w:sz w:val="24"/>
                <w14:textFill>
                  <w14:solidFill>
                    <w14:schemeClr w14:val="tx1"/>
                  </w14:solidFill>
                </w14:textFill>
              </w:rPr>
              <w:object>
                <v:shape id="_x0000_i1025" o:spt="75" alt="7B2EEF0CE3E4440fBD59588D13275A42# #嵌入式对象2" type="#_x0000_t75" style="height:30.05pt;width:169.0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14:paraId="36D1573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式中：Q—指向性因子；通常对无指向性声源，当声源放在房间中心时，Q=1，当放在一面墙的中心时，Q=2；当放在两面墙夹角处时，Q=4，当放在三面墙夹角处时，Q=8；</w:t>
            </w:r>
          </w:p>
          <w:p w14:paraId="508774D8">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LW—室内声源声功率级，dB（A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w:t>
            </w:r>
          </w:p>
          <w:p w14:paraId="51C9470D">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R—房间常数；</w:t>
            </w:r>
          </w:p>
          <w:p w14:paraId="1A28DA34">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object>
                <v:shape id="_x0000_i1026" o:spt="75" alt="D968155B1C8A4b78849284F7379C4C0E# #嵌入式对象5" type="#_x0000_t75" style="height:17.55pt;width:10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r>
              <w:rPr>
                <w:rFonts w:hint="default" w:ascii="Times New Roman" w:hAnsi="Times New Roman" w:cs="Times New Roman" w:eastAsiaTheme="minorEastAsia"/>
                <w:color w:val="000000" w:themeColor="text1"/>
                <w:sz w:val="24"/>
                <w14:textFill>
                  <w14:solidFill>
                    <w14:schemeClr w14:val="tx1"/>
                  </w14:solidFill>
                </w14:textFill>
              </w:rPr>
              <w:t>—声源到靠近围护结构某点处的距离，m。</w:t>
            </w:r>
          </w:p>
          <w:p w14:paraId="6A778A06">
            <w:pPr>
              <w:keepNext w:val="0"/>
              <w:keepLines w:val="0"/>
              <w:suppressLineNumbers w:val="0"/>
              <w:adjustRightInd w:val="0"/>
              <w:snapToGrid w:val="0"/>
              <w:spacing w:before="0" w:beforeAutospacing="0" w:after="0" w:afterAutospacing="0" w:line="360" w:lineRule="auto"/>
              <w:ind w:left="481" w:leftChars="229" w:right="0" w:firstLine="525" w:firstLineChars="25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position w:val="-26"/>
                <w14:textFill>
                  <w14:solidFill>
                    <w14:schemeClr w14:val="tx1"/>
                  </w14:solidFill>
                </w14:textFill>
              </w:rPr>
              <w:object>
                <v:shape id="_x0000_i1027" o:spt="75" type="#_x0000_t75" style="height:30.05pt;width:79.5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p>
          <w:p w14:paraId="34D6DBF2">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i/>
                <w:color w:val="000000" w:themeColor="text1"/>
                <w:sz w:val="24"/>
                <w14:textFill>
                  <w14:solidFill>
                    <w14:schemeClr w14:val="tx1"/>
                  </w14:solidFill>
                </w14:textFill>
              </w:rPr>
              <w:t>S</w:t>
            </w:r>
            <w:r>
              <w:rPr>
                <w:rFonts w:hint="default" w:ascii="Times New Roman" w:hAnsi="Times New Roman" w:cs="Times New Roman" w:eastAsiaTheme="minorEastAsia"/>
                <w:color w:val="000000" w:themeColor="text1"/>
                <w:sz w:val="24"/>
                <w14:textFill>
                  <w14:solidFill>
                    <w14:schemeClr w14:val="tx1"/>
                  </w14:solidFill>
                </w14:textFill>
              </w:rPr>
              <w:t>—生产车间内表面面积（包括墙壁、屋顶和地面</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w:t>
            </w:r>
          </w:p>
          <w:p w14:paraId="5498B470">
            <w:pPr>
              <w:keepNext w:val="0"/>
              <w:keepLines w:val="0"/>
              <w:suppressLineNumbers w:val="0"/>
              <w:adjustRightInd w:val="0"/>
              <w:snapToGrid w:val="0"/>
              <w:spacing w:before="0" w:beforeAutospacing="0" w:after="0" w:afterAutospacing="0" w:line="360" w:lineRule="auto"/>
              <w:ind w:left="481" w:leftChars="229" w:right="0" w:firstLine="600" w:firstLineChars="250"/>
              <w:rPr>
                <w:rFonts w:hint="default" w:ascii="Times New Roman" w:hAnsi="Times New Roman" w:cs="Times New Roman" w:eastAsiaTheme="minorEastAsia"/>
                <w:i/>
                <w:color w:val="000000" w:themeColor="text1"/>
                <w:sz w:val="24"/>
                <w14:textFill>
                  <w14:solidFill>
                    <w14:schemeClr w14:val="tx1"/>
                  </w14:solidFill>
                </w14:textFill>
              </w:rPr>
            </w:pPr>
            <w:r>
              <w:rPr>
                <w:rFonts w:hint="default" w:ascii="Times New Roman" w:hAnsi="Times New Roman" w:cs="Times New Roman" w:eastAsiaTheme="minorEastAsia"/>
                <w:i/>
                <w:color w:val="000000" w:themeColor="text1"/>
                <w:sz w:val="24"/>
                <w14:textFill>
                  <w14:solidFill>
                    <w14:schemeClr w14:val="tx1"/>
                  </w14:solidFill>
                </w14:textFill>
              </w:rPr>
              <w:t>a</w:t>
            </w:r>
            <w:r>
              <w:rPr>
                <w:rFonts w:hint="default" w:ascii="Times New Roman" w:hAnsi="Times New Roman" w:cs="Times New Roman" w:eastAsiaTheme="minorEastAsia"/>
                <w:color w:val="000000" w:themeColor="text1"/>
                <w:sz w:val="24"/>
                <w14:textFill>
                  <w14:solidFill>
                    <w14:schemeClr w14:val="tx1"/>
                  </w14:solidFill>
                </w14:textFill>
              </w:rPr>
              <w:t>—吸声系数，本次评价取0.15。</w:t>
            </w:r>
          </w:p>
          <w:p w14:paraId="1742EAB0">
            <w:pPr>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cs="Times New Roman"/>
                <w:color w:val="auto"/>
                <w:sz w:val="24"/>
              </w:rPr>
            </w:pPr>
            <w:r>
              <w:rPr>
                <w:rFonts w:hint="default" w:ascii="Times New Roman" w:hAnsi="Times New Roman" w:cs="Times New Roman"/>
                <w:color w:val="auto"/>
                <w:sz w:val="24"/>
              </w:rPr>
              <w:t>(b) 计算所有室内声源在围护结构处产生的叠加声压级</w:t>
            </w:r>
            <w:r>
              <w:rPr>
                <w:rFonts w:hint="default" w:ascii="Times New Roman" w:hAnsi="Times New Roman" w:cs="Times New Roman"/>
                <w:bCs/>
                <w:snapToGrid w:val="0"/>
                <w:color w:val="auto"/>
                <w:sz w:val="24"/>
              </w:rPr>
              <w:t>，按下式：</w:t>
            </w:r>
          </w:p>
          <w:p w14:paraId="7B8AC50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color w:val="auto"/>
                <w:position w:val="-16"/>
                <w:sz w:val="24"/>
              </w:rPr>
              <w:object>
                <v:shape id="_x0000_i1028" o:spt="75" type="#_x0000_t75" style="height:20pt;width:23pt;" o:ole="t" filled="f" o:preferrelative="t" stroked="f" coordsize="21600,21600">
                  <v:path/>
                  <v:fill on="f" focussize="0,0"/>
                  <v:stroke on="f"/>
                  <v:imagedata r:id="rId19" o:title=""/>
                  <o:lock v:ext="edit" aspectratio="t"/>
                  <w10:wrap type="none"/>
                  <w10:anchorlock/>
                </v:shape>
                <o:OLEObject Type="Embed" ProgID="Equation.KSEE3" ShapeID="_x0000_i1028" DrawAspect="Content" ObjectID="_1468075728" r:id="rId18">
                  <o:LockedField>false</o:LockedField>
                </o:OLEObject>
              </w:object>
            </w:r>
            <w:r>
              <w:rPr>
                <w:rFonts w:hint="default" w:ascii="Times New Roman" w:hAnsi="Times New Roman" w:cs="Times New Roman"/>
                <w:color w:val="auto"/>
                <w:sz w:val="24"/>
              </w:rPr>
              <w:t>(T)=10lg</w:t>
            </w:r>
            <w:r>
              <w:rPr>
                <w:rFonts w:hint="default" w:ascii="Times New Roman" w:hAnsi="Times New Roman" w:cs="Times New Roman"/>
                <w:color w:val="auto"/>
                <w:position w:val="-32"/>
                <w:sz w:val="24"/>
              </w:rPr>
              <w:object>
                <v:shape id="_x0000_i1029" o:spt="75" type="#_x0000_t75" style="height:38pt;width:64pt;" o:ole="t" filled="f" o:preferrelative="t" stroked="f" coordsize="21600,21600">
                  <v:path/>
                  <v:fill on="f" focussize="0,0"/>
                  <v:stroke on="f"/>
                  <v:imagedata r:id="rId21" o:title=""/>
                  <o:lock v:ext="edit" aspectratio="t"/>
                  <w10:wrap type="none"/>
                  <w10:anchorlock/>
                </v:shape>
                <o:OLEObject Type="Embed" ProgID="Equation.KSEE3" ShapeID="_x0000_i1029" DrawAspect="Content" ObjectID="_1468075729" r:id="rId20">
                  <o:LockedField>false</o:LockedField>
                </o:OLEObject>
              </w:object>
            </w:r>
          </w:p>
          <w:p w14:paraId="75B165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position w:val="-12"/>
                <w:sz w:val="24"/>
              </w:rPr>
              <w:object>
                <v:shape id="_x0000_i1030" o:spt="75" type="#_x0000_t75" style="height:18pt;width:38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r>
              <w:rPr>
                <w:rFonts w:hint="default" w:ascii="Times New Roman" w:hAnsi="Times New Roman" w:cs="Times New Roman"/>
                <w:color w:val="auto"/>
                <w:sz w:val="24"/>
              </w:rPr>
              <w:t>——靠近围护结构处室内N个声源i倍频带的叠加声压级，dB；</w:t>
            </w:r>
          </w:p>
          <w:p w14:paraId="761161D1">
            <w:pPr>
              <w:keepNext w:val="0"/>
              <w:keepLines w:val="0"/>
              <w:suppressLineNumbers w:val="0"/>
              <w:spacing w:before="0" w:beforeAutospacing="0" w:after="0" w:afterAutospacing="0" w:line="360" w:lineRule="auto"/>
              <w:ind w:left="0" w:right="0" w:firstLine="1200" w:firstLineChars="500"/>
              <w:outlineLvl w:val="0"/>
              <w:rPr>
                <w:rFonts w:hint="default" w:ascii="Times New Roman" w:hAnsi="Times New Roman" w:cs="Times New Roman"/>
                <w:color w:val="auto"/>
                <w:sz w:val="24"/>
              </w:rPr>
            </w:pPr>
            <w:bookmarkStart w:id="2" w:name="_Toc67497576"/>
            <w:r>
              <w:rPr>
                <w:rFonts w:hint="default" w:ascii="Times New Roman" w:hAnsi="Times New Roman" w:cs="Times New Roman"/>
                <w:i/>
                <w:iCs/>
                <w:color w:val="auto"/>
                <w:position w:val="-14"/>
                <w:sz w:val="24"/>
              </w:rPr>
              <w:object>
                <v:shape id="_x0000_i1031" o:spt="75" type="#_x0000_t75" style="height:19pt;width:21.15pt;" o:ole="t" filled="f" o:preferrelative="t" stroked="f" coordsize="21600,21600">
                  <v:path/>
                  <v:fill on="f" focussize="0,0"/>
                  <v:stroke on="f"/>
                  <v:imagedata r:id="rId25" o:title=""/>
                  <o:lock v:ext="edit" aspectratio="t"/>
                  <w10:wrap type="none"/>
                  <w10:anchorlock/>
                </v:shape>
                <o:OLEObject Type="Embed" ProgID="Equation.KSEE3" ShapeID="_x0000_i1031" DrawAspect="Content" ObjectID="_1468075731" r:id="rId24">
                  <o:LockedField>false</o:LockedField>
                </o:OLEObject>
              </w:object>
            </w:r>
            <w:r>
              <w:rPr>
                <w:rFonts w:hint="default" w:ascii="Times New Roman" w:hAnsi="Times New Roman" w:cs="Times New Roman"/>
                <w:color w:val="auto"/>
                <w:sz w:val="24"/>
              </w:rPr>
              <w:t>——室内j声源i倍频带的声压级，dB；</w:t>
            </w:r>
            <w:bookmarkEnd w:id="2"/>
          </w:p>
          <w:p w14:paraId="2A6E4E1C">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color w:val="auto"/>
                <w:sz w:val="24"/>
              </w:rPr>
            </w:pPr>
            <w:r>
              <w:rPr>
                <w:rFonts w:hint="default" w:ascii="Times New Roman" w:hAnsi="Times New Roman" w:cs="Times New Roman"/>
                <w:i/>
                <w:iCs/>
                <w:color w:val="auto"/>
                <w:sz w:val="24"/>
              </w:rPr>
              <w:t>N</w:t>
            </w:r>
            <w:r>
              <w:rPr>
                <w:rFonts w:hint="default" w:ascii="Times New Roman" w:hAnsi="Times New Roman" w:cs="Times New Roman"/>
                <w:color w:val="auto"/>
                <w:sz w:val="24"/>
              </w:rPr>
              <w:t>——室内声源总数。</w:t>
            </w:r>
          </w:p>
          <w:p w14:paraId="6F80808B">
            <w:pPr>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cs="Times New Roman"/>
                <w:color w:val="auto"/>
                <w:sz w:val="24"/>
              </w:rPr>
            </w:pPr>
            <w:r>
              <w:rPr>
                <w:rFonts w:hint="default" w:ascii="Times New Roman" w:hAnsi="Times New Roman" w:cs="Times New Roman"/>
                <w:color w:val="auto"/>
                <w:sz w:val="24"/>
              </w:rPr>
              <w:t>(c) 计算靠近室外</w:t>
            </w:r>
            <w:r>
              <w:rPr>
                <w:rFonts w:hint="eastAsia" w:ascii="Times New Roman" w:hAnsi="Times New Roman" w:cs="Times New Roman"/>
                <w:color w:val="auto"/>
                <w:sz w:val="24"/>
                <w:lang w:eastAsia="zh-CN"/>
              </w:rPr>
              <w:t>围</w:t>
            </w:r>
            <w:r>
              <w:rPr>
                <w:rFonts w:hint="default" w:ascii="Times New Roman" w:hAnsi="Times New Roman" w:cs="Times New Roman"/>
                <w:color w:val="auto"/>
                <w:sz w:val="24"/>
              </w:rPr>
              <w:t>护结构处的声压级，按下式</w:t>
            </w:r>
          </w:p>
          <w:p w14:paraId="37F1FBAE">
            <w:pPr>
              <w:keepNext w:val="0"/>
              <w:keepLines w:val="0"/>
              <w:suppressLineNumbers w:val="0"/>
              <w:tabs>
                <w:tab w:val="left" w:pos="4584"/>
              </w:tabs>
              <w:spacing w:before="0" w:beforeAutospacing="0" w:after="0" w:afterAutospacing="0" w:line="360" w:lineRule="auto"/>
              <w:ind w:left="0" w:right="0"/>
              <w:jc w:val="center"/>
              <w:rPr>
                <w:rFonts w:hint="default" w:ascii="Times New Roman" w:hAnsi="Times New Roman" w:cs="Times New Roman"/>
                <w:bCs/>
                <w:snapToGrid w:val="0"/>
                <w:color w:val="auto"/>
                <w:sz w:val="24"/>
              </w:rPr>
            </w:pPr>
            <w:r>
              <w:rPr>
                <w:rFonts w:hint="default" w:ascii="Times New Roman" w:hAnsi="Times New Roman" w:cs="Times New Roman"/>
                <w:bCs/>
                <w:snapToGrid w:val="0"/>
                <w:color w:val="auto"/>
                <w:position w:val="-12"/>
                <w:sz w:val="24"/>
              </w:rPr>
              <w:object>
                <v:shape id="_x0000_i1032" o:spt="75" type="#_x0000_t75" style="height:19pt;width:138pt;" o:ole="t" filled="f" o:preferrelative="t" stroked="f" coordsize="21600,21600">
                  <v:path/>
                  <v:fill on="f" focussize="0,0"/>
                  <v:stroke on="f"/>
                  <v:imagedata r:id="rId27" o:title=""/>
                  <o:lock v:ext="edit" aspectratio="t"/>
                  <w10:wrap type="none"/>
                  <w10:anchorlock/>
                </v:shape>
                <o:OLEObject Type="Embed" ProgID="Equation.KSEE3" ShapeID="_x0000_i1032" DrawAspect="Content" ObjectID="_1468075732" r:id="rId26">
                  <o:LockedField>false</o:LockedField>
                </o:OLEObject>
              </w:object>
            </w:r>
          </w:p>
          <w:p w14:paraId="21E4BCB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式中：</w:t>
            </w:r>
            <w:r>
              <w:rPr>
                <w:rFonts w:hint="default" w:ascii="Times New Roman" w:hAnsi="Times New Roman" w:cs="Times New Roman" w:eastAsiaTheme="minorEastAsia"/>
                <w:i/>
                <w:color w:val="000000" w:themeColor="text1"/>
                <w:sz w:val="24"/>
                <w14:textFill>
                  <w14:solidFill>
                    <w14:schemeClr w14:val="tx1"/>
                  </w14:solidFill>
                </w14:textFill>
              </w:rPr>
              <w:t>L</w:t>
            </w:r>
            <w:r>
              <w:rPr>
                <w:rFonts w:hint="default" w:ascii="Times New Roman" w:hAnsi="Times New Roman" w:cs="Times New Roman" w:eastAsiaTheme="minorEastAsia"/>
                <w:i/>
                <w:color w:val="000000" w:themeColor="text1"/>
                <w:sz w:val="24"/>
                <w:vertAlign w:val="subscript"/>
                <w14:textFill>
                  <w14:solidFill>
                    <w14:schemeClr w14:val="tx1"/>
                  </w14:solidFill>
                </w14:textFill>
              </w:rPr>
              <w:t>p2i（T</w:t>
            </w:r>
            <w:r>
              <w:rPr>
                <w:rFonts w:hint="default" w:ascii="Times New Roman" w:hAnsi="Times New Roman" w:cs="Times New Roman" w:eastAsiaTheme="minorEastAsia"/>
                <w:i/>
                <w:color w:val="000000" w:themeColor="text1"/>
                <w:sz w:val="24"/>
                <w:vertAlign w:val="subscript"/>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—靠近围护结构处室内N个声源的叠加声压级，dB（A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w:t>
            </w:r>
          </w:p>
          <w:p w14:paraId="783B51E3">
            <w:pPr>
              <w:keepNext w:val="0"/>
              <w:keepLines w:val="0"/>
              <w:suppressLineNumbers w:val="0"/>
              <w:adjustRightInd w:val="0"/>
              <w:snapToGrid w:val="0"/>
              <w:spacing w:before="0" w:beforeAutospacing="0" w:after="0" w:afterAutospacing="0" w:line="360" w:lineRule="auto"/>
              <w:ind w:left="1711" w:leftChars="586" w:right="0" w:hanging="480" w:hanging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i/>
                <w:color w:val="000000" w:themeColor="text1"/>
                <w:sz w:val="24"/>
                <w14:textFill>
                  <w14:solidFill>
                    <w14:schemeClr w14:val="tx1"/>
                  </w14:solidFill>
                </w14:textFill>
              </w:rPr>
              <w:t>TL</w:t>
            </w:r>
            <w:r>
              <w:rPr>
                <w:rFonts w:hint="default" w:ascii="Times New Roman" w:hAnsi="Times New Roman" w:cs="Times New Roman" w:eastAsiaTheme="minorEastAsia"/>
                <w:color w:val="000000" w:themeColor="text1"/>
                <w:sz w:val="24"/>
                <w14:textFill>
                  <w14:solidFill>
                    <w14:schemeClr w14:val="tx1"/>
                  </w14:solidFill>
                </w14:textFill>
              </w:rPr>
              <w:t>—围护结构处的隔声量，dB（A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，本次评价取15dB（A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w:t>
            </w:r>
          </w:p>
          <w:p w14:paraId="53CB1A8B">
            <w:pPr>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cs="Times New Roman"/>
                <w:color w:val="auto"/>
                <w:sz w:val="24"/>
              </w:rPr>
            </w:pPr>
            <w:r>
              <w:rPr>
                <w:rFonts w:hint="default" w:ascii="Times New Roman" w:hAnsi="Times New Roman" w:cs="Times New Roman"/>
                <w:color w:val="auto"/>
                <w:sz w:val="24"/>
              </w:rPr>
              <w:t>(d) 将室外声源的声压级和透过面积换算成等效的室外声源，计算中心位置位于透声面积处的等效声源的声功率级，按下式：</w:t>
            </w:r>
          </w:p>
          <w:p w14:paraId="6AE11940">
            <w:pPr>
              <w:keepNext w:val="0"/>
              <w:keepLines w:val="0"/>
              <w:suppressLineNumbers w:val="0"/>
              <w:tabs>
                <w:tab w:val="left" w:pos="4584"/>
              </w:tabs>
              <w:spacing w:before="0" w:beforeAutospacing="0" w:after="0" w:afterAutospacing="0" w:line="360" w:lineRule="auto"/>
              <w:ind w:left="0" w:right="0"/>
              <w:jc w:val="center"/>
              <w:rPr>
                <w:rFonts w:hint="default" w:ascii="Times New Roman" w:hAnsi="Times New Roman" w:cs="Times New Roman"/>
                <w:i/>
                <w:iCs/>
                <w:color w:val="auto"/>
                <w:sz w:val="24"/>
              </w:rPr>
            </w:pPr>
            <w:r>
              <w:rPr>
                <w:rFonts w:hint="default" w:ascii="Times New Roman" w:hAnsi="Times New Roman" w:cs="Times New Roman"/>
                <w:i/>
                <w:iCs/>
                <w:color w:val="auto"/>
                <w:position w:val="-12"/>
                <w:sz w:val="24"/>
              </w:rPr>
              <w:object>
                <v:shape id="_x0000_i1033" o:spt="75" type="#_x0000_t75" style="height:18pt;width:102pt;" o:ole="t" filled="f" o:preferrelative="t" stroked="f" coordsize="21600,21600">
                  <v:path/>
                  <v:fill on="f" focussize="0,0"/>
                  <v:stroke on="f"/>
                  <v:imagedata r:id="rId29" o:title=""/>
                  <o:lock v:ext="edit" aspectratio="t"/>
                  <w10:wrap type="none"/>
                  <w10:anchorlock/>
                </v:shape>
                <o:OLEObject Type="Embed" ProgID="Equation.KSEE3" ShapeID="_x0000_i1033" DrawAspect="Content" ObjectID="_1468075733" r:id="rId28">
                  <o:LockedField>false</o:LockedField>
                </o:OLEObject>
              </w:object>
            </w:r>
          </w:p>
          <w:p w14:paraId="08266E0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 厂界噪声贡献值计算</w:t>
            </w:r>
          </w:p>
          <w:p w14:paraId="3D736A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设第</w:t>
            </w:r>
            <w:r>
              <w:rPr>
                <w:rFonts w:hint="default" w:ascii="Times New Roman" w:hAnsi="Times New Roman" w:cs="Times New Roman"/>
                <w:i/>
                <w:color w:val="auto"/>
                <w:sz w:val="24"/>
              </w:rPr>
              <w:t>i</w:t>
            </w:r>
            <w:r>
              <w:rPr>
                <w:rFonts w:hint="default" w:ascii="Times New Roman" w:hAnsi="Times New Roman" w:cs="Times New Roman"/>
                <w:color w:val="auto"/>
                <w:sz w:val="24"/>
              </w:rPr>
              <w:t>个室外声源在预测点产生的A声级为</w:t>
            </w:r>
            <w:r>
              <w:rPr>
                <w:rFonts w:hint="default" w:ascii="Times New Roman" w:hAnsi="Times New Roman" w:cs="Times New Roman"/>
                <w:color w:val="auto"/>
                <w:position w:val="-12"/>
                <w:sz w:val="24"/>
              </w:rPr>
              <w:drawing>
                <wp:inline distT="0" distB="0" distL="114300" distR="114300">
                  <wp:extent cx="191770" cy="191770"/>
                  <wp:effectExtent l="0" t="0" r="1778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191770" cy="191770"/>
                          </a:xfrm>
                          <a:prstGeom prst="rect">
                            <a:avLst/>
                          </a:prstGeom>
                          <a:noFill/>
                          <a:ln>
                            <a:noFill/>
                          </a:ln>
                        </pic:spPr>
                      </pic:pic>
                    </a:graphicData>
                  </a:graphic>
                </wp:inline>
              </w:drawing>
            </w:r>
            <w:r>
              <w:rPr>
                <w:rFonts w:hint="default" w:ascii="Times New Roman" w:hAnsi="Times New Roman" w:cs="Times New Roman"/>
                <w:color w:val="auto"/>
                <w:sz w:val="24"/>
              </w:rPr>
              <w:t>，在T时间内该声源工作时间为</w:t>
            </w:r>
            <w:r>
              <w:rPr>
                <w:rFonts w:hint="default" w:ascii="Times New Roman" w:hAnsi="Times New Roman" w:cs="Times New Roman"/>
                <w:color w:val="auto"/>
                <w:position w:val="-12"/>
                <w:sz w:val="24"/>
              </w:rPr>
              <w:drawing>
                <wp:inline distT="0" distB="0" distL="114300" distR="114300">
                  <wp:extent cx="109855" cy="219710"/>
                  <wp:effectExtent l="0" t="0" r="4445" b="571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1"/>
                          <a:stretch>
                            <a:fillRect/>
                          </a:stretch>
                        </pic:blipFill>
                        <pic:spPr>
                          <a:xfrm>
                            <a:off x="0" y="0"/>
                            <a:ext cx="109855" cy="219710"/>
                          </a:xfrm>
                          <a:prstGeom prst="rect">
                            <a:avLst/>
                          </a:prstGeom>
                          <a:noFill/>
                          <a:ln>
                            <a:noFill/>
                          </a:ln>
                        </pic:spPr>
                      </pic:pic>
                    </a:graphicData>
                  </a:graphic>
                </wp:inline>
              </w:drawing>
            </w:r>
            <w:r>
              <w:rPr>
                <w:rFonts w:hint="default" w:ascii="Times New Roman" w:hAnsi="Times New Roman" w:cs="Times New Roman"/>
                <w:color w:val="auto"/>
                <w:sz w:val="24"/>
              </w:rPr>
              <w:t>；设第</w:t>
            </w:r>
            <w:r>
              <w:rPr>
                <w:rFonts w:hint="default" w:ascii="Times New Roman" w:hAnsi="Times New Roman" w:cs="Times New Roman"/>
                <w:color w:val="auto"/>
                <w:position w:val="-10"/>
                <w:sz w:val="24"/>
              </w:rPr>
              <w:drawing>
                <wp:inline distT="0" distB="0" distL="114300" distR="114300">
                  <wp:extent cx="109855" cy="164465"/>
                  <wp:effectExtent l="0" t="0" r="0" b="444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32"/>
                          <a:stretch>
                            <a:fillRect/>
                          </a:stretch>
                        </pic:blipFill>
                        <pic:spPr>
                          <a:xfrm>
                            <a:off x="0" y="0"/>
                            <a:ext cx="109855" cy="164465"/>
                          </a:xfrm>
                          <a:prstGeom prst="rect">
                            <a:avLst/>
                          </a:prstGeom>
                          <a:noFill/>
                          <a:ln>
                            <a:noFill/>
                          </a:ln>
                        </pic:spPr>
                      </pic:pic>
                    </a:graphicData>
                  </a:graphic>
                </wp:inline>
              </w:drawing>
            </w:r>
            <w:r>
              <w:rPr>
                <w:rFonts w:hint="default" w:ascii="Times New Roman" w:hAnsi="Times New Roman" w:cs="Times New Roman"/>
                <w:color w:val="auto"/>
                <w:sz w:val="24"/>
              </w:rPr>
              <w:t>个等效室外声源在预测点产生的A声级为</w:t>
            </w:r>
            <w:r>
              <w:rPr>
                <w:rFonts w:hint="default" w:ascii="Times New Roman" w:hAnsi="Times New Roman" w:cs="Times New Roman"/>
                <w:color w:val="auto"/>
                <w:position w:val="-14"/>
                <w:sz w:val="24"/>
              </w:rPr>
              <w:drawing>
                <wp:inline distT="0" distB="0" distL="114300" distR="114300">
                  <wp:extent cx="191770" cy="219710"/>
                  <wp:effectExtent l="0" t="0" r="17780" b="698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33"/>
                          <a:stretch>
                            <a:fillRect/>
                          </a:stretch>
                        </pic:blipFill>
                        <pic:spPr>
                          <a:xfrm>
                            <a:off x="0" y="0"/>
                            <a:ext cx="191770" cy="219710"/>
                          </a:xfrm>
                          <a:prstGeom prst="rect">
                            <a:avLst/>
                          </a:prstGeom>
                          <a:noFill/>
                          <a:ln>
                            <a:noFill/>
                          </a:ln>
                        </pic:spPr>
                      </pic:pic>
                    </a:graphicData>
                  </a:graphic>
                </wp:inline>
              </w:drawing>
            </w:r>
            <w:r>
              <w:rPr>
                <w:rFonts w:hint="default" w:ascii="Times New Roman" w:hAnsi="Times New Roman" w:cs="Times New Roman"/>
                <w:color w:val="auto"/>
                <w:sz w:val="24"/>
              </w:rPr>
              <w:t>，在T时间内该声源工作时间为</w:t>
            </w:r>
            <w:r>
              <w:rPr>
                <w:rFonts w:hint="default" w:ascii="Times New Roman" w:hAnsi="Times New Roman" w:cs="Times New Roman"/>
                <w:color w:val="auto"/>
                <w:position w:val="-14"/>
                <w:sz w:val="24"/>
              </w:rPr>
              <w:drawing>
                <wp:inline distT="0" distB="0" distL="114300" distR="114300">
                  <wp:extent cx="137160" cy="219710"/>
                  <wp:effectExtent l="0" t="0" r="0" b="5715"/>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34"/>
                          <a:stretch>
                            <a:fillRect/>
                          </a:stretch>
                        </pic:blipFill>
                        <pic:spPr>
                          <a:xfrm>
                            <a:off x="0" y="0"/>
                            <a:ext cx="137160" cy="219710"/>
                          </a:xfrm>
                          <a:prstGeom prst="rect">
                            <a:avLst/>
                          </a:prstGeom>
                          <a:noFill/>
                          <a:ln>
                            <a:noFill/>
                          </a:ln>
                        </pic:spPr>
                      </pic:pic>
                    </a:graphicData>
                  </a:graphic>
                </wp:inline>
              </w:drawing>
            </w:r>
            <w:r>
              <w:rPr>
                <w:rFonts w:hint="default" w:ascii="Times New Roman" w:hAnsi="Times New Roman" w:cs="Times New Roman"/>
                <w:color w:val="auto"/>
                <w:sz w:val="24"/>
              </w:rPr>
              <w:t>。则拟建工程声源对预测点产生的贡献值（</w:t>
            </w:r>
            <w:r>
              <w:rPr>
                <w:rFonts w:hint="default" w:ascii="Times New Roman" w:hAnsi="Times New Roman" w:cs="Times New Roman"/>
                <w:color w:val="auto"/>
                <w:position w:val="-14"/>
                <w:sz w:val="24"/>
              </w:rPr>
              <w:drawing>
                <wp:inline distT="0" distB="0" distL="114300" distR="114300">
                  <wp:extent cx="274320" cy="219710"/>
                  <wp:effectExtent l="0" t="0" r="11430" b="698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5"/>
                          <a:stretch>
                            <a:fillRect/>
                          </a:stretch>
                        </pic:blipFill>
                        <pic:spPr>
                          <a:xfrm>
                            <a:off x="0" y="0"/>
                            <a:ext cx="274320" cy="219710"/>
                          </a:xfrm>
                          <a:prstGeom prst="rect">
                            <a:avLst/>
                          </a:prstGeom>
                          <a:noFill/>
                          <a:ln>
                            <a:noFill/>
                          </a:ln>
                        </pic:spPr>
                      </pic:pic>
                    </a:graphicData>
                  </a:graphic>
                </wp:inline>
              </w:drawing>
            </w:r>
            <w:r>
              <w:rPr>
                <w:rFonts w:hint="default" w:ascii="Times New Roman" w:hAnsi="Times New Roman" w:cs="Times New Roman"/>
                <w:color w:val="auto"/>
                <w:sz w:val="24"/>
              </w:rPr>
              <w:t>）为：</w:t>
            </w:r>
          </w:p>
          <w:p w14:paraId="05919E8E">
            <w:pPr>
              <w:keepNext w:val="0"/>
              <w:keepLines w:val="0"/>
              <w:suppressLineNumbers w:val="0"/>
              <w:tabs>
                <w:tab w:val="left" w:pos="4584"/>
              </w:tabs>
              <w:spacing w:before="0" w:beforeAutospacing="0" w:after="0" w:afterAutospacing="0" w:line="360" w:lineRule="auto"/>
              <w:ind w:left="0" w:right="0"/>
              <w:jc w:val="center"/>
              <w:rPr>
                <w:rFonts w:hint="default" w:ascii="Times New Roman" w:hAnsi="Times New Roman" w:cs="Times New Roman"/>
                <w:bCs/>
                <w:i/>
                <w:iCs/>
                <w:snapToGrid w:val="0"/>
                <w:color w:val="auto"/>
                <w:sz w:val="24"/>
              </w:rPr>
            </w:pPr>
            <w:r>
              <w:rPr>
                <w:rFonts w:hint="default" w:ascii="Times New Roman" w:hAnsi="Times New Roman" w:cs="Times New Roman"/>
                <w:bCs/>
                <w:i/>
                <w:iCs/>
                <w:snapToGrid w:val="0"/>
                <w:color w:val="auto"/>
                <w:position w:val="-14"/>
                <w:sz w:val="24"/>
              </w:rPr>
              <w:object>
                <v:shape id="_x0000_i1034" o:spt="75" type="#_x0000_t75" style="height:19pt;width:21pt;" o:ole="t" filled="f" o:preferrelative="t" stroked="f" coordsize="21600,21600">
                  <v:path/>
                  <v:fill on="f" focussize="0,0"/>
                  <v:stroke on="f"/>
                  <v:imagedata r:id="rId37" o:title=""/>
                  <o:lock v:ext="edit" aspectratio="t"/>
                  <w10:wrap type="none"/>
                  <w10:anchorlock/>
                </v:shape>
                <o:OLEObject Type="Embed" ProgID="Equation.KSEE3" ShapeID="_x0000_i1034" DrawAspect="Content" ObjectID="_1468075734" r:id="rId36">
                  <o:LockedField>false</o:LockedField>
                </o:OLEObject>
              </w:object>
            </w:r>
            <w:r>
              <w:rPr>
                <w:rFonts w:hint="default" w:ascii="Times New Roman" w:hAnsi="Times New Roman" w:cs="Times New Roman"/>
                <w:bCs/>
                <w:i/>
                <w:iCs/>
                <w:snapToGrid w:val="0"/>
                <w:color w:val="auto"/>
                <w:sz w:val="24"/>
              </w:rPr>
              <w:t>=10lg</w:t>
            </w:r>
            <w:r>
              <w:rPr>
                <w:rFonts w:hint="default" w:ascii="Times New Roman" w:hAnsi="Times New Roman" w:cs="Times New Roman"/>
                <w:bCs/>
                <w:i/>
                <w:iCs/>
                <w:snapToGrid w:val="0"/>
                <w:color w:val="auto"/>
                <w:position w:val="-34"/>
                <w:sz w:val="24"/>
              </w:rPr>
              <w:object>
                <v:shape id="_x0000_i1035" o:spt="75" type="#_x0000_t75" style="height:38.05pt;width:141.65pt;" o:ole="t" filled="f" o:preferrelative="t" stroked="f" coordsize="21600,21600">
                  <v:path/>
                  <v:fill on="f" focussize="0,0"/>
                  <v:stroke on="f"/>
                  <v:imagedata r:id="rId39" o:title=""/>
                  <o:lock v:ext="edit" aspectratio="t"/>
                  <w10:wrap type="none"/>
                  <w10:anchorlock/>
                </v:shape>
                <o:OLEObject Type="Embed" ProgID="Equation.KSEE3" ShapeID="_x0000_i1035" DrawAspect="Content" ObjectID="_1468075735" r:id="rId38">
                  <o:LockedField>false</o:LockedField>
                </o:OLEObject>
              </w:object>
            </w:r>
          </w:p>
          <w:p w14:paraId="73805B4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position w:val="-16"/>
                <w:sz w:val="24"/>
              </w:rPr>
              <w:object>
                <v:shape id="_x0000_i1036" o:spt="75" type="#_x0000_t75" style="height:20pt;width:24pt;" o:ole="t" filled="f" o:preferrelative="t" stroked="f" coordsize="21600,21600">
                  <v:path/>
                  <v:fill on="f" focussize="0,0"/>
                  <v:stroke on="f"/>
                  <v:imagedata r:id="rId41" o:title=""/>
                  <o:lock v:ext="edit" aspectratio="t"/>
                  <w10:wrap type="none"/>
                  <w10:anchorlock/>
                </v:shape>
                <o:OLEObject Type="Embed" ProgID="Equation.KSEE3" ShapeID="_x0000_i1036" DrawAspect="Content" ObjectID="_1468075736" r:id="rId40">
                  <o:LockedField>false</o:LockedField>
                </o:OLEObject>
              </w:object>
            </w:r>
            <w:r>
              <w:rPr>
                <w:rFonts w:hint="default" w:ascii="Times New Roman" w:hAnsi="Times New Roman" w:cs="Times New Roman"/>
                <w:color w:val="auto"/>
                <w:sz w:val="24"/>
              </w:rPr>
              <w:t>—</w:t>
            </w:r>
            <w:r>
              <w:rPr>
                <w:rFonts w:hint="default" w:ascii="Times New Roman" w:hAnsi="Times New Roman" w:cs="Times New Roman"/>
                <w:bCs/>
                <w:snapToGrid w:val="0"/>
                <w:color w:val="auto"/>
                <w:sz w:val="24"/>
              </w:rPr>
              <w:t>建设项目声源在预测点产生的等效声源贡献值的叠加值</w:t>
            </w:r>
            <w:r>
              <w:rPr>
                <w:rFonts w:hint="default" w:ascii="Times New Roman" w:hAnsi="Times New Roman" w:cs="Times New Roman"/>
                <w:color w:val="auto"/>
                <w:sz w:val="24"/>
              </w:rPr>
              <w:t>，dB(A)；</w:t>
            </w:r>
          </w:p>
          <w:p w14:paraId="6828AA27">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——在T时间内的i声源工作时间，s；</w:t>
            </w:r>
          </w:p>
          <w:p w14:paraId="3B08523B">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——在T时间内的j声源工作时间，s；</w:t>
            </w:r>
          </w:p>
          <w:p w14:paraId="2713CACD">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T——用于计算等效声级的时间，s；</w:t>
            </w:r>
          </w:p>
          <w:p w14:paraId="299623DB">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N——室外声源个数；</w:t>
            </w:r>
          </w:p>
          <w:p w14:paraId="7609014B">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M——等效室外声源个数。</w:t>
            </w:r>
          </w:p>
          <w:p w14:paraId="3DC6B5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 xml:space="preserve"> 预测结果及评价</w:t>
            </w:r>
          </w:p>
          <w:p w14:paraId="4F6834B0">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snapToGrid w:val="0"/>
                <w:color w:val="auto"/>
                <w:kern w:val="2"/>
                <w:sz w:val="24"/>
                <w:szCs w:val="24"/>
              </w:rPr>
            </w:pPr>
            <w:r>
              <w:rPr>
                <w:rFonts w:hint="default" w:ascii="Times New Roman" w:hAnsi="Times New Roman" w:cs="Times New Roman"/>
                <w:color w:val="auto"/>
                <w:sz w:val="24"/>
              </w:rPr>
              <w:t>项目厂界噪声预测值为噪声贡献值</w:t>
            </w:r>
            <w:r>
              <w:rPr>
                <w:rFonts w:hint="default" w:ascii="Times New Roman" w:hAnsi="Times New Roman" w:cs="Times New Roman"/>
                <w:snapToGrid w:val="0"/>
                <w:color w:val="auto"/>
                <w:kern w:val="2"/>
                <w:sz w:val="24"/>
                <w:szCs w:val="24"/>
              </w:rPr>
              <w:t>。根据项目的设备声级、所在位置，利用噪声预测模式和方法，对厂界噪声进行预测计算，得到项目建成后各预测点的昼夜噪声级，噪声影响预测结果见</w:t>
            </w:r>
            <w:r>
              <w:rPr>
                <w:rFonts w:hint="default" w:ascii="Times New Roman" w:hAnsi="Times New Roman" w:cs="Times New Roman"/>
                <w:snapToGrid w:val="0"/>
                <w:color w:val="auto"/>
                <w:kern w:val="2"/>
                <w:sz w:val="24"/>
                <w:szCs w:val="24"/>
                <w:lang w:val="en-US" w:eastAsia="zh-CN"/>
              </w:rPr>
              <w:t>下表</w:t>
            </w:r>
            <w:r>
              <w:rPr>
                <w:rFonts w:hint="default" w:ascii="Times New Roman" w:hAnsi="Times New Roman" w:cs="Times New Roman"/>
                <w:snapToGrid w:val="0"/>
                <w:color w:val="auto"/>
                <w:kern w:val="2"/>
                <w:sz w:val="24"/>
                <w:szCs w:val="24"/>
              </w:rPr>
              <w:t>。</w:t>
            </w:r>
          </w:p>
          <w:p w14:paraId="3897F1C5">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表4-10</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项目噪声影响预测结果表  单位：dB（A）</w:t>
            </w:r>
          </w:p>
          <w:tbl>
            <w:tblPr>
              <w:tblStyle w:val="35"/>
              <w:tblW w:w="45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317"/>
              <w:gridCol w:w="1283"/>
              <w:gridCol w:w="1388"/>
              <w:gridCol w:w="1385"/>
              <w:gridCol w:w="1392"/>
            </w:tblGrid>
            <w:tr w14:paraId="7D55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92" w:type="pct"/>
                  <w:noWrap w:val="0"/>
                  <w:vAlign w:val="center"/>
                </w:tcPr>
                <w:p w14:paraId="1B96AF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877" w:type="pct"/>
                  <w:noWrap w:val="0"/>
                  <w:vAlign w:val="center"/>
                </w:tcPr>
                <w:p w14:paraId="01830D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预测点位</w:t>
                  </w:r>
                </w:p>
              </w:tc>
              <w:tc>
                <w:tcPr>
                  <w:tcW w:w="854" w:type="pct"/>
                  <w:noWrap w:val="0"/>
                  <w:vAlign w:val="center"/>
                </w:tcPr>
                <w:p w14:paraId="1D38DF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时段</w:t>
                  </w:r>
                </w:p>
              </w:tc>
              <w:tc>
                <w:tcPr>
                  <w:tcW w:w="924" w:type="pct"/>
                  <w:noWrap w:val="0"/>
                  <w:vAlign w:val="center"/>
                </w:tcPr>
                <w:p w14:paraId="1340B4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贡献值</w:t>
                  </w:r>
                </w:p>
              </w:tc>
              <w:tc>
                <w:tcPr>
                  <w:tcW w:w="922" w:type="pct"/>
                  <w:noWrap w:val="0"/>
                  <w:vAlign w:val="center"/>
                </w:tcPr>
                <w:p w14:paraId="6F63D8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标准值</w:t>
                  </w:r>
                </w:p>
              </w:tc>
              <w:tc>
                <w:tcPr>
                  <w:tcW w:w="927" w:type="pct"/>
                  <w:noWrap w:val="0"/>
                  <w:vAlign w:val="center"/>
                </w:tcPr>
                <w:p w14:paraId="640D90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达标情况</w:t>
                  </w:r>
                </w:p>
              </w:tc>
            </w:tr>
            <w:tr w14:paraId="0B72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restart"/>
                  <w:noWrap w:val="0"/>
                  <w:vAlign w:val="center"/>
                </w:tcPr>
                <w:p w14:paraId="4F81F5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877" w:type="pct"/>
                  <w:vMerge w:val="restart"/>
                  <w:noWrap w:val="0"/>
                  <w:vAlign w:val="center"/>
                </w:tcPr>
                <w:p w14:paraId="048063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东厂界</w:t>
                  </w:r>
                </w:p>
              </w:tc>
              <w:tc>
                <w:tcPr>
                  <w:tcW w:w="854" w:type="pct"/>
                  <w:noWrap w:val="0"/>
                  <w:vAlign w:val="center"/>
                </w:tcPr>
                <w:p w14:paraId="12114D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w:t>
                  </w:r>
                </w:p>
              </w:tc>
              <w:tc>
                <w:tcPr>
                  <w:tcW w:w="924" w:type="pct"/>
                  <w:noWrap w:val="0"/>
                  <w:vAlign w:val="center"/>
                </w:tcPr>
                <w:p w14:paraId="33A835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52.3</w:t>
                  </w:r>
                </w:p>
              </w:tc>
              <w:tc>
                <w:tcPr>
                  <w:tcW w:w="922" w:type="pct"/>
                  <w:vMerge w:val="restart"/>
                  <w:noWrap w:val="0"/>
                  <w:vAlign w:val="center"/>
                </w:tcPr>
                <w:p w14:paraId="47C115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昼间：65</w:t>
                  </w:r>
                </w:p>
                <w:p w14:paraId="161AD0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夜间：55</w:t>
                  </w:r>
                </w:p>
              </w:tc>
              <w:tc>
                <w:tcPr>
                  <w:tcW w:w="927" w:type="pct"/>
                  <w:noWrap w:val="0"/>
                  <w:vAlign w:val="center"/>
                </w:tcPr>
                <w:p w14:paraId="50521C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r w14:paraId="763B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continue"/>
                  <w:noWrap w:val="0"/>
                  <w:vAlign w:val="center"/>
                </w:tcPr>
                <w:p w14:paraId="6EB22A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877" w:type="pct"/>
                  <w:vMerge w:val="continue"/>
                  <w:noWrap w:val="0"/>
                  <w:vAlign w:val="center"/>
                </w:tcPr>
                <w:p w14:paraId="6E4592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854" w:type="pct"/>
                  <w:noWrap w:val="0"/>
                  <w:vAlign w:val="center"/>
                </w:tcPr>
                <w:p w14:paraId="314889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夜间</w:t>
                  </w:r>
                </w:p>
              </w:tc>
              <w:tc>
                <w:tcPr>
                  <w:tcW w:w="924" w:type="pct"/>
                  <w:noWrap w:val="0"/>
                  <w:vAlign w:val="center"/>
                </w:tcPr>
                <w:p w14:paraId="30D4F5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52.3</w:t>
                  </w:r>
                </w:p>
              </w:tc>
              <w:tc>
                <w:tcPr>
                  <w:tcW w:w="922" w:type="pct"/>
                  <w:vMerge w:val="continue"/>
                  <w:noWrap w:val="0"/>
                  <w:vAlign w:val="center"/>
                </w:tcPr>
                <w:p w14:paraId="6E691C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927" w:type="pct"/>
                  <w:noWrap w:val="0"/>
                  <w:vAlign w:val="center"/>
                </w:tcPr>
                <w:p w14:paraId="40527A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r w14:paraId="3EFA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restart"/>
                  <w:noWrap w:val="0"/>
                  <w:vAlign w:val="center"/>
                </w:tcPr>
                <w:p w14:paraId="67CA21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2</w:t>
                  </w:r>
                </w:p>
              </w:tc>
              <w:tc>
                <w:tcPr>
                  <w:tcW w:w="877" w:type="pct"/>
                  <w:vMerge w:val="restart"/>
                  <w:noWrap w:val="0"/>
                  <w:vAlign w:val="center"/>
                </w:tcPr>
                <w:p w14:paraId="145E3A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南厂界</w:t>
                  </w:r>
                </w:p>
              </w:tc>
              <w:tc>
                <w:tcPr>
                  <w:tcW w:w="854" w:type="pct"/>
                  <w:noWrap w:val="0"/>
                  <w:vAlign w:val="center"/>
                </w:tcPr>
                <w:p w14:paraId="6608FF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w:t>
                  </w:r>
                </w:p>
              </w:tc>
              <w:tc>
                <w:tcPr>
                  <w:tcW w:w="924" w:type="pct"/>
                  <w:noWrap w:val="0"/>
                  <w:vAlign w:val="center"/>
                </w:tcPr>
                <w:p w14:paraId="09FD9F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53.5</w:t>
                  </w:r>
                </w:p>
              </w:tc>
              <w:tc>
                <w:tcPr>
                  <w:tcW w:w="922" w:type="pct"/>
                  <w:vMerge w:val="continue"/>
                  <w:noWrap w:val="0"/>
                  <w:vAlign w:val="center"/>
                </w:tcPr>
                <w:p w14:paraId="27E86E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927" w:type="pct"/>
                  <w:noWrap w:val="0"/>
                  <w:vAlign w:val="center"/>
                </w:tcPr>
                <w:p w14:paraId="6330DE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r w14:paraId="3237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continue"/>
                  <w:noWrap w:val="0"/>
                  <w:vAlign w:val="center"/>
                </w:tcPr>
                <w:p w14:paraId="09429A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877" w:type="pct"/>
                  <w:vMerge w:val="continue"/>
                  <w:noWrap w:val="0"/>
                  <w:vAlign w:val="center"/>
                </w:tcPr>
                <w:p w14:paraId="27ADE6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854" w:type="pct"/>
                  <w:noWrap w:val="0"/>
                  <w:vAlign w:val="center"/>
                </w:tcPr>
                <w:p w14:paraId="5F33B0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夜间</w:t>
                  </w:r>
                </w:p>
              </w:tc>
              <w:tc>
                <w:tcPr>
                  <w:tcW w:w="924" w:type="pct"/>
                  <w:noWrap w:val="0"/>
                  <w:vAlign w:val="center"/>
                </w:tcPr>
                <w:p w14:paraId="56B48B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5</w:t>
                  </w:r>
                  <w:r>
                    <w:rPr>
                      <w:rFonts w:hint="default" w:ascii="Times New Roman" w:hAnsi="Times New Roman" w:eastAsia="宋体" w:cs="Times New Roman"/>
                      <w:color w:val="000000"/>
                      <w:sz w:val="21"/>
                      <w:szCs w:val="21"/>
                      <w:lang w:val="en-US" w:eastAsia="zh-CN"/>
                    </w:rPr>
                    <w:t>3.5</w:t>
                  </w:r>
                </w:p>
              </w:tc>
              <w:tc>
                <w:tcPr>
                  <w:tcW w:w="922" w:type="pct"/>
                  <w:vMerge w:val="continue"/>
                  <w:noWrap w:val="0"/>
                  <w:vAlign w:val="center"/>
                </w:tcPr>
                <w:p w14:paraId="7D5445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927" w:type="pct"/>
                  <w:noWrap w:val="0"/>
                  <w:vAlign w:val="center"/>
                </w:tcPr>
                <w:p w14:paraId="562768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r w14:paraId="60DF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restart"/>
                  <w:noWrap w:val="0"/>
                  <w:vAlign w:val="center"/>
                </w:tcPr>
                <w:p w14:paraId="5FC386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877" w:type="pct"/>
                  <w:vMerge w:val="restart"/>
                  <w:noWrap w:val="0"/>
                  <w:vAlign w:val="center"/>
                </w:tcPr>
                <w:p w14:paraId="542BDF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西厂界</w:t>
                  </w:r>
                </w:p>
              </w:tc>
              <w:tc>
                <w:tcPr>
                  <w:tcW w:w="854" w:type="pct"/>
                  <w:noWrap w:val="0"/>
                  <w:vAlign w:val="center"/>
                </w:tcPr>
                <w:p w14:paraId="662206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w:t>
                  </w:r>
                </w:p>
              </w:tc>
              <w:tc>
                <w:tcPr>
                  <w:tcW w:w="924" w:type="pct"/>
                  <w:noWrap w:val="0"/>
                  <w:vAlign w:val="center"/>
                </w:tcPr>
                <w:p w14:paraId="686935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51.8</w:t>
                  </w:r>
                </w:p>
              </w:tc>
              <w:tc>
                <w:tcPr>
                  <w:tcW w:w="922" w:type="pct"/>
                  <w:vMerge w:val="continue"/>
                  <w:noWrap w:val="0"/>
                  <w:vAlign w:val="center"/>
                </w:tcPr>
                <w:p w14:paraId="03B411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927" w:type="pct"/>
                  <w:noWrap w:val="0"/>
                  <w:vAlign w:val="center"/>
                </w:tcPr>
                <w:p w14:paraId="75C92E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r w14:paraId="27E2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92" w:type="pct"/>
                  <w:vMerge w:val="continue"/>
                  <w:noWrap w:val="0"/>
                  <w:vAlign w:val="center"/>
                </w:tcPr>
                <w:p w14:paraId="1155EE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877" w:type="pct"/>
                  <w:vMerge w:val="continue"/>
                  <w:noWrap w:val="0"/>
                  <w:vAlign w:val="center"/>
                </w:tcPr>
                <w:p w14:paraId="456384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854" w:type="pct"/>
                  <w:noWrap w:val="0"/>
                  <w:vAlign w:val="center"/>
                </w:tcPr>
                <w:p w14:paraId="2A3340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夜间</w:t>
                  </w:r>
                </w:p>
              </w:tc>
              <w:tc>
                <w:tcPr>
                  <w:tcW w:w="924" w:type="pct"/>
                  <w:noWrap w:val="0"/>
                  <w:vAlign w:val="center"/>
                </w:tcPr>
                <w:p w14:paraId="44BFAF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51.8</w:t>
                  </w:r>
                </w:p>
              </w:tc>
              <w:tc>
                <w:tcPr>
                  <w:tcW w:w="922" w:type="pct"/>
                  <w:vMerge w:val="continue"/>
                  <w:noWrap w:val="0"/>
                  <w:vAlign w:val="center"/>
                </w:tcPr>
                <w:p w14:paraId="15A1C9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927" w:type="pct"/>
                  <w:noWrap w:val="0"/>
                  <w:vAlign w:val="center"/>
                </w:tcPr>
                <w:p w14:paraId="474F2D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r w14:paraId="65F6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restart"/>
                  <w:noWrap w:val="0"/>
                  <w:vAlign w:val="center"/>
                </w:tcPr>
                <w:p w14:paraId="0566D1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877" w:type="pct"/>
                  <w:vMerge w:val="restart"/>
                  <w:noWrap w:val="0"/>
                  <w:vAlign w:val="center"/>
                </w:tcPr>
                <w:p w14:paraId="5262F2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北厂界</w:t>
                  </w:r>
                </w:p>
              </w:tc>
              <w:tc>
                <w:tcPr>
                  <w:tcW w:w="854" w:type="pct"/>
                  <w:noWrap w:val="0"/>
                  <w:vAlign w:val="center"/>
                </w:tcPr>
                <w:p w14:paraId="58270C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w:t>
                  </w:r>
                </w:p>
              </w:tc>
              <w:tc>
                <w:tcPr>
                  <w:tcW w:w="924" w:type="pct"/>
                  <w:noWrap w:val="0"/>
                  <w:vAlign w:val="center"/>
                </w:tcPr>
                <w:p w14:paraId="18566A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53.7</w:t>
                  </w:r>
                </w:p>
              </w:tc>
              <w:tc>
                <w:tcPr>
                  <w:tcW w:w="922" w:type="pct"/>
                  <w:vMerge w:val="continue"/>
                  <w:noWrap w:val="0"/>
                  <w:vAlign w:val="center"/>
                </w:tcPr>
                <w:p w14:paraId="3B24F3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927" w:type="pct"/>
                  <w:noWrap w:val="0"/>
                  <w:vAlign w:val="center"/>
                </w:tcPr>
                <w:p w14:paraId="0CFE04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r w14:paraId="6311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2" w:type="pct"/>
                  <w:vMerge w:val="continue"/>
                  <w:noWrap w:val="0"/>
                  <w:vAlign w:val="center"/>
                </w:tcPr>
                <w:p w14:paraId="1A641A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877" w:type="pct"/>
                  <w:vMerge w:val="continue"/>
                  <w:noWrap w:val="0"/>
                  <w:vAlign w:val="center"/>
                </w:tcPr>
                <w:p w14:paraId="1997B3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854" w:type="pct"/>
                  <w:noWrap w:val="0"/>
                  <w:vAlign w:val="center"/>
                </w:tcPr>
                <w:p w14:paraId="080EC7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夜间</w:t>
                  </w:r>
                </w:p>
              </w:tc>
              <w:tc>
                <w:tcPr>
                  <w:tcW w:w="924" w:type="pct"/>
                  <w:noWrap w:val="0"/>
                  <w:vAlign w:val="center"/>
                </w:tcPr>
                <w:p w14:paraId="128663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53.7</w:t>
                  </w:r>
                </w:p>
              </w:tc>
              <w:tc>
                <w:tcPr>
                  <w:tcW w:w="922" w:type="pct"/>
                  <w:vMerge w:val="continue"/>
                  <w:noWrap w:val="0"/>
                  <w:vAlign w:val="center"/>
                </w:tcPr>
                <w:p w14:paraId="5DBEC9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927" w:type="pct"/>
                  <w:noWrap w:val="0"/>
                  <w:vAlign w:val="center"/>
                </w:tcPr>
                <w:p w14:paraId="0CE575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达标</w:t>
                  </w:r>
                </w:p>
              </w:tc>
            </w:tr>
          </w:tbl>
          <w:p w14:paraId="3A67E6B7">
            <w:pPr>
              <w:keepNext w:val="0"/>
              <w:keepLines w:val="0"/>
              <w:widowControl/>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
                <w:sz w:val="24"/>
                <w:szCs w:val="24"/>
              </w:rPr>
              <w:t>由上述预测结果可知，本项目厂界噪声预测值均能满足《工业企业厂界环境噪声排放标准》（GB12348-2008）中的</w:t>
            </w:r>
            <w:r>
              <w:rPr>
                <w:rFonts w:hint="eastAsia" w:cs="Times New Roman"/>
                <w:snapToGrid w:val="0"/>
                <w:color w:val="auto"/>
                <w:kern w:val="2"/>
                <w:sz w:val="24"/>
                <w:szCs w:val="24"/>
                <w:lang w:val="en-US" w:eastAsia="zh-CN"/>
              </w:rPr>
              <w:t>3</w:t>
            </w:r>
            <w:r>
              <w:rPr>
                <w:rFonts w:hint="default" w:ascii="Times New Roman" w:hAnsi="Times New Roman" w:cs="Times New Roman"/>
                <w:snapToGrid w:val="0"/>
                <w:color w:val="auto"/>
                <w:kern w:val="2"/>
                <w:sz w:val="24"/>
                <w:szCs w:val="24"/>
              </w:rPr>
              <w:t>类标准要求</w:t>
            </w:r>
            <w:r>
              <w:rPr>
                <w:rFonts w:hint="default" w:ascii="Times New Roman" w:hAnsi="Times New Roman" w:cs="Times New Roman"/>
                <w:snapToGrid w:val="0"/>
                <w:color w:val="auto"/>
                <w:kern w:val="2"/>
                <w:sz w:val="24"/>
                <w:szCs w:val="24"/>
                <w:lang w:eastAsia="zh-CN"/>
              </w:rPr>
              <w:t>，</w:t>
            </w:r>
            <w:r>
              <w:rPr>
                <w:rFonts w:hint="default" w:ascii="Times New Roman" w:hAnsi="Times New Roman" w:cs="Times New Roman"/>
                <w:snapToGrid w:val="0"/>
                <w:color w:val="auto"/>
                <w:kern w:val="2"/>
                <w:sz w:val="24"/>
                <w:szCs w:val="24"/>
              </w:rPr>
              <w:t>对周围声环境影响较小。</w:t>
            </w:r>
          </w:p>
          <w:p w14:paraId="2EDB5D10">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噪声治理措施</w:t>
            </w:r>
          </w:p>
          <w:p w14:paraId="4EADD103">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为进一步减少噪声对厂房外周围环境的影响，建议采取以下具体的降噪措施：</w:t>
            </w:r>
          </w:p>
          <w:p w14:paraId="629EE149">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①选用低</w:t>
            </w:r>
            <w:r>
              <w:rPr>
                <w:rFonts w:hint="default" w:ascii="Times New Roman" w:hAnsi="Times New Roman" w:cs="Times New Roman"/>
                <w:color w:val="000000" w:themeColor="text1"/>
                <w:sz w:val="24"/>
                <w:lang w:eastAsia="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设备，从声源上降低噪声值；</w:t>
            </w:r>
          </w:p>
          <w:p w14:paraId="2EFF522F">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②提高各设备的安装精度，做好平衡调试；安装时采用基础减振措施，在设备和基础之间加装减振器，从而有效地降低振动强度；</w:t>
            </w:r>
          </w:p>
          <w:p w14:paraId="7A0B9EAC">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③建立设备定期维护，保养的管理制度，以防止设备故障形成的非正常生产噪声，同时加强职工环保意识教育，提倡文明生产，防止人为噪声，最大限度减少流动噪声源。</w:t>
            </w:r>
          </w:p>
          <w:p w14:paraId="78D73727">
            <w:pPr>
              <w:keepNext/>
              <w:keepLines/>
              <w:suppressLineNumbers w:val="0"/>
              <w:spacing w:before="0" w:beforeAutospacing="0" w:after="0" w:afterAutospacing="0" w:line="360" w:lineRule="auto"/>
              <w:ind w:left="0" w:right="0" w:firstLine="482" w:firstLineChars="200"/>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rPr>
              <w:t>监测计划</w:t>
            </w:r>
          </w:p>
          <w:p w14:paraId="72FB6533">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项目运营期</w:t>
            </w:r>
            <w:r>
              <w:rPr>
                <w:rFonts w:hint="default" w:ascii="Times New Roman" w:hAnsi="Times New Roman" w:eastAsia="宋体" w:cs="Times New Roman"/>
                <w:color w:val="000000" w:themeColor="text1"/>
                <w:sz w:val="24"/>
                <w:lang w:val="en-US" w:eastAsia="zh-CN"/>
                <w14:textFill>
                  <w14:solidFill>
                    <w14:schemeClr w14:val="tx1"/>
                  </w14:solidFill>
                </w14:textFill>
              </w:rPr>
              <w:t>监测</w:t>
            </w:r>
            <w:r>
              <w:rPr>
                <w:rFonts w:hint="default" w:ascii="Times New Roman" w:hAnsi="Times New Roman" w:eastAsia="宋体" w:cs="Times New Roman"/>
                <w:color w:val="000000"/>
                <w:kern w:val="0"/>
                <w:sz w:val="24"/>
                <w:szCs w:val="24"/>
                <w:lang w:val="en-US" w:eastAsia="zh-CN" w:bidi="ar"/>
              </w:rPr>
              <w:t>计划具体如下：</w:t>
            </w:r>
          </w:p>
          <w:p w14:paraId="6D44C211">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firstLine="2108" w:firstLineChars="10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 xml:space="preserve">表4-11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项目噪声例行监测计划</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673"/>
              <w:gridCol w:w="1323"/>
              <w:gridCol w:w="721"/>
              <w:gridCol w:w="837"/>
              <w:gridCol w:w="2804"/>
              <w:gridCol w:w="913"/>
            </w:tblGrid>
            <w:tr w14:paraId="2EDB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8" w:type="dxa"/>
                  <w:tcBorders>
                    <w:tl2br w:val="nil"/>
                    <w:tr2bl w:val="nil"/>
                  </w:tcBorders>
                  <w:vAlign w:val="center"/>
                </w:tcPr>
                <w:p w14:paraId="66B7D5E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污染物种类</w:t>
                  </w:r>
                </w:p>
              </w:tc>
              <w:tc>
                <w:tcPr>
                  <w:tcW w:w="673" w:type="dxa"/>
                  <w:tcBorders>
                    <w:tl2br w:val="nil"/>
                    <w:tr2bl w:val="nil"/>
                  </w:tcBorders>
                  <w:vAlign w:val="center"/>
                </w:tcPr>
                <w:p w14:paraId="782FEB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监测项目</w:t>
                  </w:r>
                </w:p>
              </w:tc>
              <w:tc>
                <w:tcPr>
                  <w:tcW w:w="1323" w:type="dxa"/>
                  <w:tcBorders>
                    <w:tl2br w:val="nil"/>
                    <w:tr2bl w:val="nil"/>
                  </w:tcBorders>
                  <w:vAlign w:val="center"/>
                </w:tcPr>
                <w:p w14:paraId="0D14C4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监测点位置</w:t>
                  </w:r>
                </w:p>
              </w:tc>
              <w:tc>
                <w:tcPr>
                  <w:tcW w:w="721" w:type="dxa"/>
                  <w:tcBorders>
                    <w:tl2br w:val="nil"/>
                    <w:tr2bl w:val="nil"/>
                  </w:tcBorders>
                  <w:vAlign w:val="center"/>
                </w:tcPr>
                <w:p w14:paraId="68BCF1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监测点数</w:t>
                  </w:r>
                </w:p>
              </w:tc>
              <w:tc>
                <w:tcPr>
                  <w:tcW w:w="837" w:type="dxa"/>
                  <w:tcBorders>
                    <w:tl2br w:val="nil"/>
                    <w:tr2bl w:val="nil"/>
                  </w:tcBorders>
                  <w:vAlign w:val="center"/>
                </w:tcPr>
                <w:p w14:paraId="2760AD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监测频率</w:t>
                  </w:r>
                </w:p>
              </w:tc>
              <w:tc>
                <w:tcPr>
                  <w:tcW w:w="2804" w:type="dxa"/>
                  <w:tcBorders>
                    <w:tl2br w:val="nil"/>
                    <w:tr2bl w:val="nil"/>
                  </w:tcBorders>
                  <w:vAlign w:val="center"/>
                </w:tcPr>
                <w:p w14:paraId="1A79FE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执行标准</w:t>
                  </w:r>
                </w:p>
              </w:tc>
              <w:tc>
                <w:tcPr>
                  <w:tcW w:w="913" w:type="dxa"/>
                  <w:tcBorders>
                    <w:tl2br w:val="nil"/>
                    <w:tr2bl w:val="nil"/>
                  </w:tcBorders>
                  <w:vAlign w:val="center"/>
                </w:tcPr>
                <w:p w14:paraId="31F044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14:textFill>
                        <w14:solidFill>
                          <w14:schemeClr w14:val="tx1"/>
                        </w14:solidFill>
                      </w14:textFill>
                    </w:rPr>
                  </w:pP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备注</w:t>
                  </w:r>
                </w:p>
              </w:tc>
            </w:tr>
            <w:tr w14:paraId="5466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8" w:type="dxa"/>
                  <w:tcBorders>
                    <w:tl2br w:val="nil"/>
                    <w:tr2bl w:val="nil"/>
                  </w:tcBorders>
                  <w:vAlign w:val="center"/>
                </w:tcPr>
                <w:p w14:paraId="0ED743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厂界噪声</w:t>
                  </w:r>
                </w:p>
              </w:tc>
              <w:tc>
                <w:tcPr>
                  <w:tcW w:w="673" w:type="dxa"/>
                  <w:tcBorders>
                    <w:tl2br w:val="nil"/>
                    <w:tr2bl w:val="nil"/>
                  </w:tcBorders>
                  <w:vAlign w:val="center"/>
                </w:tcPr>
                <w:p w14:paraId="097843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Leq</w:t>
                  </w:r>
                  <w:r>
                    <w:rPr>
                      <w:rFonts w:hint="default" w:ascii="Times New Roman" w:hAnsi="Times New Roman" w:cs="Times New Roman" w:eastAsiaTheme="minorEastAsia"/>
                      <w:color w:val="000000" w:themeColor="text1"/>
                      <w:szCs w:val="21"/>
                      <w:lang w:eastAsia="zh-CN"/>
                      <w14:textFill>
                        <w14:solidFill>
                          <w14:schemeClr w14:val="tx1"/>
                        </w14:solidFill>
                      </w14:textFill>
                    </w:rPr>
                    <w:t>（</w:t>
                  </w:r>
                  <w:r>
                    <w:rPr>
                      <w:rFonts w:hint="default" w:ascii="Times New Roman" w:hAnsi="Times New Roman" w:cs="Times New Roman" w:eastAsiaTheme="minorEastAsia"/>
                      <w:color w:val="000000" w:themeColor="text1"/>
                      <w:szCs w:val="21"/>
                      <w14:textFill>
                        <w14:solidFill>
                          <w14:schemeClr w14:val="tx1"/>
                        </w14:solidFill>
                      </w14:textFill>
                    </w:rPr>
                    <w:t>A</w:t>
                  </w:r>
                  <w:r>
                    <w:rPr>
                      <w:rFonts w:hint="default" w:ascii="Times New Roman" w:hAnsi="Times New Roman" w:cs="Times New Roman" w:eastAsiaTheme="minorEastAsia"/>
                      <w:color w:val="000000" w:themeColor="text1"/>
                      <w:szCs w:val="21"/>
                      <w:lang w:eastAsia="zh-CN"/>
                      <w14:textFill>
                        <w14:solidFill>
                          <w14:schemeClr w14:val="tx1"/>
                        </w14:solidFill>
                      </w14:textFill>
                    </w:rPr>
                    <w:t>）</w:t>
                  </w:r>
                </w:p>
              </w:tc>
              <w:tc>
                <w:tcPr>
                  <w:tcW w:w="1323" w:type="dxa"/>
                  <w:tcBorders>
                    <w:tl2br w:val="nil"/>
                    <w:tr2bl w:val="nil"/>
                  </w:tcBorders>
                  <w:vAlign w:val="center"/>
                </w:tcPr>
                <w:p w14:paraId="4FE43491">
                  <w:pPr>
                    <w:keepNext w:val="0"/>
                    <w:keepLines w:val="0"/>
                    <w:suppressLineNumbers w:val="0"/>
                    <w:adjustRightInd w:val="0"/>
                    <w:snapToGrid w:val="0"/>
                    <w:spacing w:before="0" w:beforeAutospacing="0" w:after="0" w:afterAutospacing="0"/>
                    <w:ind w:left="-68" w:leftChars="-58" w:right="-65" w:rightChars="-31" w:hanging="54" w:hangingChars="26"/>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工业场地厂界四周外各设置 1 个监测点位</w:t>
                  </w:r>
                </w:p>
              </w:tc>
              <w:tc>
                <w:tcPr>
                  <w:tcW w:w="721" w:type="dxa"/>
                  <w:tcBorders>
                    <w:tl2br w:val="nil"/>
                    <w:tr2bl w:val="nil"/>
                  </w:tcBorders>
                  <w:vAlign w:val="center"/>
                </w:tcPr>
                <w:p w14:paraId="540418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Cs w:val="21"/>
                      <w14:textFill>
                        <w14:solidFill>
                          <w14:schemeClr w14:val="tx1"/>
                        </w14:solidFill>
                      </w14:textFill>
                    </w:rPr>
                    <w:t>个</w:t>
                  </w:r>
                </w:p>
              </w:tc>
              <w:tc>
                <w:tcPr>
                  <w:tcW w:w="837" w:type="dxa"/>
                  <w:tcBorders>
                    <w:tl2br w:val="nil"/>
                    <w:tr2bl w:val="nil"/>
                  </w:tcBorders>
                  <w:vAlign w:val="center"/>
                </w:tcPr>
                <w:p w14:paraId="75211E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每季度1次</w:t>
                  </w:r>
                </w:p>
              </w:tc>
              <w:tc>
                <w:tcPr>
                  <w:tcW w:w="2804" w:type="dxa"/>
                  <w:tcBorders>
                    <w:tl2br w:val="nil"/>
                    <w:tr2bl w:val="nil"/>
                  </w:tcBorders>
                  <w:vAlign w:val="center"/>
                </w:tcPr>
                <w:p w14:paraId="250927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《工业企业厂界环境噪声排放标准》（GB12348-2008）</w:t>
                  </w:r>
                  <w:r>
                    <w:rPr>
                      <w:rFonts w:hint="eastAsia" w:cs="Times New Roman" w:eastAsiaTheme="minorEastAsia"/>
                      <w:color w:val="000000" w:themeColor="text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Cs w:val="21"/>
                      <w:lang w:val="en-US" w:eastAsia="zh-CN"/>
                      <w14:textFill>
                        <w14:solidFill>
                          <w14:schemeClr w14:val="tx1"/>
                        </w14:solidFill>
                      </w14:textFill>
                    </w:rPr>
                    <w:t>类标准</w:t>
                  </w:r>
                </w:p>
              </w:tc>
              <w:tc>
                <w:tcPr>
                  <w:tcW w:w="913" w:type="dxa"/>
                  <w:tcBorders>
                    <w:tl2br w:val="nil"/>
                    <w:tr2bl w:val="nil"/>
                  </w:tcBorders>
                  <w:vAlign w:val="center"/>
                </w:tcPr>
                <w:p w14:paraId="4E6BC4B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w:t>
                  </w:r>
                </w:p>
              </w:tc>
            </w:tr>
          </w:tbl>
          <w:p w14:paraId="148137A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四</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运营期</w:t>
            </w:r>
            <w:r>
              <w:rPr>
                <w:rFonts w:hint="default" w:ascii="Times New Roman" w:hAnsi="Times New Roman" w:eastAsia="宋体" w:cs="Times New Roman"/>
                <w:b/>
                <w:sz w:val="24"/>
                <w:highlight w:val="none"/>
                <w:lang w:val="en-US" w:eastAsia="zh-CN"/>
              </w:rPr>
              <w:t>固体废物</w:t>
            </w:r>
            <w:r>
              <w:rPr>
                <w:rFonts w:hint="default" w:ascii="Times New Roman" w:hAnsi="Times New Roman" w:cs="Times New Roman"/>
                <w:b/>
                <w:sz w:val="24"/>
                <w:highlight w:val="none"/>
              </w:rPr>
              <w:t>环境影响分析</w:t>
            </w:r>
          </w:p>
          <w:p w14:paraId="6F872A2D">
            <w:pPr>
              <w:keepNext/>
              <w:keepLines/>
              <w:suppressLineNumbers w:val="0"/>
              <w:spacing w:before="0" w:beforeAutospacing="0" w:after="0" w:afterAutospacing="0" w:line="360" w:lineRule="auto"/>
              <w:ind w:left="0" w:right="0" w:firstLine="482" w:firstLineChars="200"/>
              <w:outlineLvl w:val="3"/>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w:t>
            </w:r>
            <w:r>
              <w:rPr>
                <w:rFonts w:hint="default" w:ascii="Times New Roman" w:hAnsi="Times New Roman" w:eastAsia="宋体" w:cs="Times New Roman"/>
                <w:b/>
                <w:bCs/>
                <w:color w:val="auto"/>
                <w:sz w:val="24"/>
                <w:szCs w:val="24"/>
                <w:highlight w:val="none"/>
                <w:lang w:eastAsia="zh-CN"/>
              </w:rPr>
              <w:t>固体废物产生及处置</w:t>
            </w:r>
          </w:p>
          <w:p w14:paraId="1A4892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FF0000"/>
                <w:sz w:val="24"/>
                <w:lang w:val="en-US"/>
              </w:rPr>
            </w:pPr>
            <w:r>
              <w:rPr>
                <w:rFonts w:hint="default" w:ascii="Times New Roman" w:hAnsi="Times New Roman" w:cs="Times New Roman"/>
                <w:color w:val="auto"/>
                <w:sz w:val="24"/>
              </w:rPr>
              <w:t>生产固废分为一般固废和危废，一般固体废物主要是</w:t>
            </w:r>
            <w:r>
              <w:rPr>
                <w:rFonts w:hint="eastAsia" w:cs="Times New Roman"/>
                <w:color w:val="auto"/>
                <w:sz w:val="24"/>
                <w:lang w:val="en-US" w:eastAsia="zh-CN"/>
              </w:rPr>
              <w:t>注塑过程产生的塑料残次品（S1）</w:t>
            </w:r>
            <w:r>
              <w:rPr>
                <w:rFonts w:hint="default" w:ascii="Times New Roman" w:hAnsi="Times New Roman" w:cs="Times New Roman"/>
                <w:color w:val="auto"/>
                <w:sz w:val="24"/>
              </w:rPr>
              <w:t>、</w:t>
            </w:r>
            <w:r>
              <w:rPr>
                <w:rFonts w:hint="eastAsia" w:cs="Times New Roman"/>
                <w:color w:val="auto"/>
                <w:sz w:val="24"/>
                <w:lang w:val="en-US" w:eastAsia="zh-CN"/>
              </w:rPr>
              <w:t>钢材冲压成型过程中的废边角料（S2）、绕线工段产生的</w:t>
            </w:r>
            <w:r>
              <w:rPr>
                <w:rFonts w:hint="eastAsia" w:ascii="Times New Roman" w:hAnsi="Times New Roman" w:eastAsia="宋体" w:cs="Times New Roman"/>
                <w:color w:val="auto"/>
                <w:sz w:val="24"/>
                <w:lang w:val="en-US" w:eastAsia="zh-CN"/>
              </w:rPr>
              <w:t>废漆包线（S3）、</w:t>
            </w:r>
            <w:r>
              <w:rPr>
                <w:rFonts w:hint="eastAsia" w:cs="Times New Roman"/>
                <w:color w:val="auto"/>
                <w:sz w:val="24"/>
                <w:lang w:val="en-US" w:eastAsia="zh-CN"/>
              </w:rPr>
              <w:t>产品包装过程中产生的废包装材料（S5）、废气处理</w:t>
            </w:r>
            <w:r>
              <w:rPr>
                <w:rFonts w:hint="default" w:ascii="Times New Roman" w:hAnsi="Times New Roman" w:cs="Times New Roman"/>
                <w:color w:val="auto"/>
                <w:sz w:val="24"/>
              </w:rPr>
              <w:t>布袋除尘器产生的除尘灰</w:t>
            </w:r>
            <w:r>
              <w:rPr>
                <w:rFonts w:hint="eastAsia" w:cs="Times New Roman"/>
                <w:color w:val="auto"/>
                <w:sz w:val="24"/>
                <w:lang w:eastAsia="zh-CN"/>
              </w:rPr>
              <w:t>（</w:t>
            </w:r>
            <w:r>
              <w:rPr>
                <w:rFonts w:hint="eastAsia" w:cs="Times New Roman"/>
                <w:color w:val="auto"/>
                <w:sz w:val="24"/>
                <w:lang w:val="en-US" w:eastAsia="zh-CN"/>
              </w:rPr>
              <w:t>S7</w:t>
            </w:r>
            <w:r>
              <w:rPr>
                <w:rFonts w:hint="eastAsia" w:cs="Times New Roman"/>
                <w:color w:val="auto"/>
                <w:sz w:val="24"/>
                <w:lang w:eastAsia="zh-CN"/>
              </w:rPr>
              <w:t>）</w:t>
            </w:r>
            <w:r>
              <w:rPr>
                <w:rFonts w:hint="eastAsia" w:cs="Times New Roman"/>
                <w:color w:val="auto"/>
                <w:sz w:val="24"/>
                <w:lang w:val="en-US" w:eastAsia="zh-CN"/>
              </w:rPr>
              <w:t>、纯水制备设备更换的废活性炭（S8</w:t>
            </w:r>
            <w:r>
              <w:rPr>
                <w:rFonts w:hint="eastAsia" w:cs="Times New Roman"/>
                <w:color w:val="FF0000"/>
                <w:sz w:val="24"/>
                <w:lang w:val="en-US" w:eastAsia="zh-CN"/>
              </w:rPr>
              <w:t>）以及制氮机组更换的废滤筒（含滤布）、碳分子筛（S10）。</w:t>
            </w:r>
          </w:p>
          <w:p w14:paraId="570A54D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cs="Times New Roman"/>
                <w:color w:val="auto"/>
                <w:sz w:val="24"/>
                <w:lang w:val="en-US" w:eastAsia="zh-CN"/>
              </w:rPr>
              <w:t>塑料残次品（S1）</w:t>
            </w:r>
          </w:p>
          <w:p w14:paraId="06D88E6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注塑过程会产生一定的塑料残次品，产生量按原料用量的2%计，则塑料残次品的产生量为2.78t/a。统一收集后送粉碎机粉碎，混入原料回收利用。</w:t>
            </w:r>
          </w:p>
          <w:p w14:paraId="7D480DB0">
            <w:pPr>
              <w:keepNext w:val="0"/>
              <w:keepLines w:val="0"/>
              <w:numPr>
                <w:ilvl w:val="0"/>
                <w:numId w:val="0"/>
              </w:numPr>
              <w:suppressLineNumbers w:val="0"/>
              <w:spacing w:before="0" w:beforeAutospacing="0" w:after="0" w:afterAutospacing="0" w:line="360" w:lineRule="auto"/>
              <w:ind w:left="420" w:leftChars="200" w:right="0" w:rightChars="0"/>
              <w:jc w:val="left"/>
              <w:rPr>
                <w:rFonts w:hint="eastAsia" w:cs="Times New Roman"/>
                <w:color w:val="auto"/>
                <w:sz w:val="24"/>
                <w:lang w:val="en-US" w:eastAsia="zh-CN"/>
              </w:rPr>
            </w:pPr>
            <w:r>
              <w:rPr>
                <w:rFonts w:hint="eastAsia" w:cs="Times New Roman"/>
                <w:color w:val="auto"/>
                <w:sz w:val="24"/>
                <w:lang w:val="en-US" w:eastAsia="zh-CN"/>
              </w:rPr>
              <w:t>（2）废边角料（S2）</w:t>
            </w:r>
          </w:p>
          <w:p w14:paraId="4BF2C0F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钢材冲压成型过程中会产生一定的废边角料，类比其他项目，废边角料的产生量约为5.3t/a，统一收集，外售废品回收部门综合利用。</w:t>
            </w:r>
          </w:p>
          <w:p w14:paraId="267F3A33">
            <w:pPr>
              <w:keepNext w:val="0"/>
              <w:keepLines w:val="0"/>
              <w:numPr>
                <w:ilvl w:val="0"/>
                <w:numId w:val="0"/>
              </w:numPr>
              <w:suppressLineNumbers w:val="0"/>
              <w:spacing w:before="0" w:beforeAutospacing="0" w:after="0" w:afterAutospacing="0" w:line="360" w:lineRule="auto"/>
              <w:ind w:left="420" w:leftChars="200" w:right="0" w:rightChars="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（3）废漆包线（S3）</w:t>
            </w:r>
          </w:p>
          <w:p w14:paraId="2C3C96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项目绕线工段会产生一定的废漆包线，类比其他项目，废漆包线的产生量约为使用量的1%，则本项目产生的废漆包线为0.25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，统一收集后交由漆包线生产厂家回收利用。</w:t>
            </w:r>
          </w:p>
          <w:p w14:paraId="05F68BDC">
            <w:pPr>
              <w:keepNext w:val="0"/>
              <w:keepLines w:val="0"/>
              <w:numPr>
                <w:ilvl w:val="0"/>
                <w:numId w:val="0"/>
              </w:numPr>
              <w:suppressLineNumbers w:val="0"/>
              <w:spacing w:before="0" w:beforeAutospacing="0" w:after="0" w:afterAutospacing="0" w:line="360" w:lineRule="auto"/>
              <w:ind w:left="420" w:leftChars="200" w:right="0" w:rightChars="0"/>
              <w:jc w:val="left"/>
              <w:rPr>
                <w:rFonts w:hint="eastAsia" w:cs="Times New Roman"/>
                <w:color w:val="auto"/>
                <w:sz w:val="24"/>
                <w:lang w:val="en-US" w:eastAsia="zh-CN"/>
              </w:rPr>
            </w:pPr>
            <w:r>
              <w:rPr>
                <w:rFonts w:hint="eastAsia" w:cs="Times New Roman"/>
                <w:color w:val="auto"/>
                <w:sz w:val="24"/>
                <w:lang w:val="en-US" w:eastAsia="zh-CN"/>
              </w:rPr>
              <w:t>（4）废包装材料（S5）</w:t>
            </w:r>
          </w:p>
          <w:p w14:paraId="6571ACF8">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产品包装过程会产生一定的废包装材料，主要为塑料袋或纸箱等，产生量约为1t/a，分类收集，可资源利用的外售至废品回收部门，不可回收的集中收集交由环卫部门清运处置。</w:t>
            </w:r>
          </w:p>
          <w:p w14:paraId="71FD58C6">
            <w:pPr>
              <w:keepNext w:val="0"/>
              <w:keepLines w:val="0"/>
              <w:numPr>
                <w:ilvl w:val="0"/>
                <w:numId w:val="0"/>
              </w:numPr>
              <w:suppressLineNumbers w:val="0"/>
              <w:spacing w:before="0" w:beforeAutospacing="0" w:after="0" w:afterAutospacing="0" w:line="360" w:lineRule="auto"/>
              <w:ind w:left="420" w:leftChars="200" w:right="0" w:rightChars="0"/>
              <w:jc w:val="left"/>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5</w:t>
            </w:r>
            <w:r>
              <w:rPr>
                <w:rFonts w:hint="eastAsia" w:cs="Times New Roman"/>
                <w:color w:val="auto"/>
                <w:sz w:val="24"/>
                <w:lang w:eastAsia="zh-CN"/>
              </w:rPr>
              <w:t>）</w:t>
            </w:r>
            <w:r>
              <w:rPr>
                <w:rFonts w:hint="default" w:ascii="Times New Roman" w:hAnsi="Times New Roman" w:cs="Times New Roman"/>
                <w:color w:val="auto"/>
                <w:sz w:val="24"/>
              </w:rPr>
              <w:t>除尘灰</w:t>
            </w:r>
            <w:r>
              <w:rPr>
                <w:rFonts w:hint="eastAsia" w:cs="Times New Roman"/>
                <w:color w:val="auto"/>
                <w:sz w:val="24"/>
                <w:lang w:eastAsia="zh-CN"/>
              </w:rPr>
              <w:t>（</w:t>
            </w:r>
            <w:r>
              <w:rPr>
                <w:rFonts w:hint="eastAsia" w:cs="Times New Roman"/>
                <w:color w:val="auto"/>
                <w:sz w:val="24"/>
                <w:lang w:val="en-US" w:eastAsia="zh-CN"/>
              </w:rPr>
              <w:t>S7</w:t>
            </w:r>
            <w:r>
              <w:rPr>
                <w:rFonts w:hint="eastAsia" w:cs="Times New Roman"/>
                <w:color w:val="auto"/>
                <w:sz w:val="24"/>
                <w:lang w:eastAsia="zh-CN"/>
              </w:rPr>
              <w:t>）</w:t>
            </w:r>
          </w:p>
          <w:p w14:paraId="7DF0C10A">
            <w:pPr>
              <w:keepNext w:val="0"/>
              <w:keepLines w:val="0"/>
              <w:suppressLineNumbers w:val="0"/>
              <w:spacing w:before="0" w:beforeAutospacing="0" w:after="0" w:afterAutospacing="0" w:line="360" w:lineRule="auto"/>
              <w:ind w:left="0" w:right="0" w:firstLine="480" w:firstLineChars="200"/>
              <w:jc w:val="left"/>
              <w:rPr>
                <w:rFonts w:hint="eastAsia" w:cs="Times New Roman"/>
                <w:color w:val="auto"/>
                <w:sz w:val="24"/>
                <w:lang w:val="en-US" w:eastAsia="zh-CN"/>
              </w:rPr>
            </w:pPr>
            <w:r>
              <w:rPr>
                <w:rFonts w:hint="default" w:ascii="Times New Roman" w:hAnsi="Times New Roman" w:cs="Times New Roman"/>
                <w:color w:val="auto"/>
                <w:sz w:val="24"/>
              </w:rPr>
              <w:t>项目</w:t>
            </w:r>
            <w:r>
              <w:rPr>
                <w:rFonts w:hint="eastAsia" w:cs="Times New Roman"/>
                <w:color w:val="auto"/>
                <w:sz w:val="24"/>
                <w:lang w:val="en-US" w:eastAsia="zh-CN"/>
              </w:rPr>
              <w:t>焊接</w:t>
            </w:r>
            <w:r>
              <w:rPr>
                <w:rFonts w:hint="default" w:ascii="Times New Roman" w:hAnsi="Times New Roman" w:cs="Times New Roman"/>
                <w:color w:val="auto"/>
                <w:sz w:val="24"/>
              </w:rPr>
              <w:t>工序均设有布袋除尘器对粉尘进行收集处理</w:t>
            </w:r>
            <w:r>
              <w:rPr>
                <w:rFonts w:hint="eastAsia" w:cs="Times New Roman"/>
                <w:color w:val="auto"/>
                <w:sz w:val="24"/>
                <w:lang w:eastAsia="zh-CN"/>
              </w:rPr>
              <w:t>，</w:t>
            </w:r>
            <w:r>
              <w:rPr>
                <w:rFonts w:hint="eastAsia" w:cs="Times New Roman"/>
                <w:color w:val="auto"/>
                <w:sz w:val="24"/>
                <w:lang w:val="en-US" w:eastAsia="zh-CN"/>
              </w:rPr>
              <w:t>除尘灰产生量为0.001t/a。统一收集后交由固废处置单位处置。</w:t>
            </w:r>
          </w:p>
          <w:p w14:paraId="1473D635">
            <w:pPr>
              <w:keepNext w:val="0"/>
              <w:keepLines w:val="0"/>
              <w:numPr>
                <w:ilvl w:val="0"/>
                <w:numId w:val="10"/>
              </w:numPr>
              <w:suppressLineNumbers w:val="0"/>
              <w:spacing w:before="0" w:beforeAutospacing="0" w:after="0" w:afterAutospacing="0" w:line="360" w:lineRule="auto"/>
              <w:ind w:left="0" w:leftChars="0" w:right="0" w:rightChars="0" w:firstLine="480" w:firstLineChars="200"/>
              <w:jc w:val="left"/>
              <w:rPr>
                <w:rFonts w:hint="eastAsia" w:cs="Times New Roman"/>
                <w:color w:val="auto"/>
                <w:sz w:val="24"/>
                <w:lang w:val="en-US" w:eastAsia="zh-CN"/>
              </w:rPr>
            </w:pPr>
            <w:r>
              <w:rPr>
                <w:rFonts w:hint="eastAsia" w:cs="Times New Roman"/>
                <w:color w:val="auto"/>
                <w:sz w:val="24"/>
                <w:lang w:val="en-US" w:eastAsia="zh-CN"/>
              </w:rPr>
              <w:t>纯水制备设备更换的废活性炭（S8）</w:t>
            </w:r>
          </w:p>
          <w:p w14:paraId="24126025">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项目纯水制备设备需定期更换活性炭，约半年更换一次，废活性炭的产生量为0.2t/a，交由纯水制备设备厂家回收处置。</w:t>
            </w:r>
          </w:p>
          <w:p w14:paraId="4F304DBA">
            <w:pPr>
              <w:keepNext w:val="0"/>
              <w:keepLines w:val="0"/>
              <w:numPr>
                <w:ilvl w:val="0"/>
                <w:numId w:val="10"/>
              </w:numPr>
              <w:suppressLineNumbers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制氮机组产生的废滤筒（含滤布）、碳分子筛</w:t>
            </w:r>
            <w:r>
              <w:rPr>
                <w:rFonts w:hint="eastAsia" w:cs="Times New Roman"/>
                <w:color w:val="FF0000"/>
                <w:sz w:val="24"/>
                <w:lang w:val="en-US" w:eastAsia="zh-CN"/>
              </w:rPr>
              <w:t>（S10）</w:t>
            </w:r>
          </w:p>
          <w:p w14:paraId="40830C32">
            <w:pPr>
              <w:keepNext w:val="0"/>
              <w:keepLines w:val="0"/>
              <w:pageBreakBefore w:val="0"/>
              <w:widowControl w:val="0"/>
              <w:suppressLineNumbers w:val="0"/>
              <w:tabs>
                <w:tab w:val="left" w:pos="3714"/>
              </w:tabs>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bCs/>
                <w:color w:val="FF0000"/>
                <w:sz w:val="24"/>
                <w:highlight w:val="none"/>
                <w:lang w:eastAsia="zh-CN"/>
              </w:rPr>
            </w:pPr>
            <w:r>
              <w:rPr>
                <w:rFonts w:hint="eastAsia" w:ascii="Times New Roman" w:hAnsi="Times New Roman"/>
                <w:bCs/>
                <w:color w:val="FF0000"/>
                <w:sz w:val="24"/>
                <w:highlight w:val="none"/>
                <w:lang w:val="en-US" w:eastAsia="zh-CN"/>
              </w:rPr>
              <w:t>制氮工艺</w:t>
            </w:r>
            <w:r>
              <w:rPr>
                <w:rFonts w:hint="eastAsia" w:ascii="Times New Roman" w:hAnsi="Times New Roman"/>
                <w:bCs/>
                <w:color w:val="FF0000"/>
                <w:sz w:val="24"/>
                <w:highlight w:val="none"/>
                <w:lang w:eastAsia="zh-CN"/>
              </w:rPr>
              <w:t>过程中过滤主要用于吸附拦截的物质为空气中的杂质、水分等，本项目使用的</w:t>
            </w:r>
            <w:r>
              <w:rPr>
                <w:rFonts w:hint="eastAsia" w:ascii="Times New Roman" w:hAnsi="Times New Roman"/>
                <w:bCs/>
                <w:color w:val="FF0000"/>
                <w:sz w:val="24"/>
                <w:highlight w:val="none"/>
                <w:lang w:val="en-US" w:eastAsia="zh-CN"/>
              </w:rPr>
              <w:t>直接式</w:t>
            </w:r>
            <w:r>
              <w:rPr>
                <w:rFonts w:hint="eastAsia" w:ascii="Times New Roman" w:hAnsi="Times New Roman"/>
                <w:bCs/>
                <w:color w:val="FF0000"/>
                <w:sz w:val="24"/>
                <w:highlight w:val="none"/>
                <w:lang w:eastAsia="zh-CN"/>
              </w:rPr>
              <w:t>过滤器，可自动定时反吹，达到自洁，副产物为空气过滤器滤筒(含滤布)，大约</w:t>
            </w:r>
            <w:r>
              <w:rPr>
                <w:rFonts w:hint="eastAsia"/>
                <w:bCs/>
                <w:color w:val="FF0000"/>
                <w:sz w:val="24"/>
                <w:highlight w:val="none"/>
                <w:lang w:val="en-US" w:eastAsia="zh-CN"/>
              </w:rPr>
              <w:t>2</w:t>
            </w:r>
            <w:r>
              <w:rPr>
                <w:rFonts w:hint="eastAsia" w:ascii="Times New Roman" w:hAnsi="Times New Roman"/>
                <w:bCs/>
                <w:color w:val="FF0000"/>
                <w:sz w:val="24"/>
                <w:highlight w:val="none"/>
                <w:lang w:eastAsia="zh-CN"/>
              </w:rPr>
              <w:t>年更换一次，更换量为0.06t，平均0.03t/a。</w:t>
            </w:r>
            <w:r>
              <w:rPr>
                <w:rFonts w:hint="eastAsia"/>
                <w:bCs/>
                <w:color w:val="FF0000"/>
                <w:sz w:val="24"/>
                <w:highlight w:val="none"/>
                <w:lang w:val="en-US" w:eastAsia="zh-CN"/>
              </w:rPr>
              <w:t>纯化过程吸附材料碳分子筛，大约5年更换一次，更换量为0.75</w:t>
            </w:r>
            <w:r>
              <w:rPr>
                <w:rFonts w:hint="eastAsia" w:ascii="Times New Roman" w:hAnsi="Times New Roman"/>
                <w:bCs/>
                <w:color w:val="FF0000"/>
                <w:sz w:val="24"/>
                <w:highlight w:val="none"/>
                <w:lang w:eastAsia="zh-CN"/>
              </w:rPr>
              <w:t>t，平均0.</w:t>
            </w:r>
            <w:r>
              <w:rPr>
                <w:rFonts w:hint="eastAsia"/>
                <w:bCs/>
                <w:color w:val="FF0000"/>
                <w:sz w:val="24"/>
                <w:highlight w:val="none"/>
                <w:lang w:val="en-US" w:eastAsia="zh-CN"/>
              </w:rPr>
              <w:t>25</w:t>
            </w:r>
            <w:r>
              <w:rPr>
                <w:rFonts w:hint="eastAsia" w:ascii="Times New Roman" w:hAnsi="Times New Roman"/>
                <w:bCs/>
                <w:color w:val="FF0000"/>
                <w:sz w:val="24"/>
                <w:highlight w:val="none"/>
                <w:lang w:eastAsia="zh-CN"/>
              </w:rPr>
              <w:t>t/a。</w:t>
            </w:r>
          </w:p>
          <w:p w14:paraId="018D9E5E">
            <w:pPr>
              <w:keepNext w:val="0"/>
              <w:keepLines w:val="0"/>
              <w:pageBreakBefore w:val="0"/>
              <w:widowControl w:val="0"/>
              <w:suppressLineNumbers w:val="0"/>
              <w:tabs>
                <w:tab w:val="left" w:pos="3714"/>
              </w:tabs>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bCs/>
                <w:color w:val="FF0000"/>
                <w:sz w:val="24"/>
                <w:highlight w:val="none"/>
                <w:lang w:eastAsia="zh-CN"/>
              </w:rPr>
            </w:pPr>
            <w:r>
              <w:rPr>
                <w:rFonts w:hint="eastAsia" w:ascii="Times New Roman" w:hAnsi="Times New Roman"/>
                <w:bCs/>
                <w:color w:val="FF0000"/>
                <w:sz w:val="24"/>
                <w:highlight w:val="none"/>
                <w:lang w:eastAsia="zh-CN"/>
              </w:rPr>
              <w:t>更换下来的空气过滤筒及滤布为一般性固废，附着的颗粒物为空气中杂质，更换下来的废分子筛吸附剂附着的均为空气中杂质、水分以及其他产品不需要的空气中成份等，不含有毒有害物质，</w:t>
            </w:r>
            <w:r>
              <w:rPr>
                <w:rFonts w:hint="eastAsia" w:ascii="Times New Roman" w:hAnsi="Times New Roman"/>
                <w:bCs/>
                <w:color w:val="FF0000"/>
                <w:sz w:val="24"/>
                <w:highlight w:val="none"/>
                <w:lang w:val="en-US" w:eastAsia="zh-CN"/>
              </w:rPr>
              <w:t>集中收集后，</w:t>
            </w:r>
            <w:r>
              <w:rPr>
                <w:rFonts w:hint="eastAsia" w:ascii="Times New Roman" w:hAnsi="Times New Roman"/>
                <w:bCs/>
                <w:color w:val="FF0000"/>
                <w:sz w:val="24"/>
                <w:highlight w:val="none"/>
                <w:lang w:eastAsia="zh-CN"/>
              </w:rPr>
              <w:t>定期交业内回收单位回收利用。</w:t>
            </w:r>
          </w:p>
          <w:p w14:paraId="65A401EF">
            <w:pPr>
              <w:keepNext w:val="0"/>
              <w:keepLines w:val="0"/>
              <w:numPr>
                <w:ilvl w:val="0"/>
                <w:numId w:val="0"/>
              </w:numPr>
              <w:suppressLineNumbers w:val="0"/>
              <w:spacing w:before="0" w:beforeAutospacing="0" w:after="0" w:afterAutospacing="0" w:line="360" w:lineRule="auto"/>
              <w:ind w:left="420" w:leftChars="200" w:right="0" w:rightChars="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2、危险</w:t>
            </w:r>
            <w:r>
              <w:rPr>
                <w:rFonts w:hint="default" w:ascii="Times New Roman" w:hAnsi="Times New Roman" w:eastAsia="宋体" w:cs="Times New Roman"/>
                <w:b/>
                <w:bCs/>
                <w:color w:val="auto"/>
                <w:sz w:val="24"/>
                <w:szCs w:val="24"/>
                <w:highlight w:val="none"/>
                <w:lang w:eastAsia="zh-CN"/>
              </w:rPr>
              <w:t>固体废物产生及处置</w:t>
            </w:r>
          </w:p>
          <w:p w14:paraId="408F3CE6">
            <w:pPr>
              <w:keepNext w:val="0"/>
              <w:keepLines w:val="0"/>
              <w:suppressLineNumbers w:val="0"/>
              <w:spacing w:before="0" w:beforeAutospacing="0" w:after="0" w:afterAutospacing="0" w:line="360" w:lineRule="auto"/>
              <w:ind w:left="0" w:right="0" w:firstLine="480" w:firstLineChars="200"/>
              <w:jc w:val="left"/>
              <w:rPr>
                <w:rFonts w:hint="eastAsia"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s="Times New Roman"/>
                <w:color w:val="auto"/>
                <w:sz w:val="24"/>
                <w:lang w:val="en-US" w:eastAsia="zh-CN"/>
              </w:rPr>
              <w:t>废包装桶（S4）</w:t>
            </w:r>
          </w:p>
          <w:p w14:paraId="0E2C6A0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项目原辅料润滑油、胶水的包装，属于危险废物，废包装桶的产生量约为0.01</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，统一收集至危废贮存库，交由有资质的单位处置。</w:t>
            </w:r>
          </w:p>
          <w:p w14:paraId="769D848D">
            <w:pPr>
              <w:keepNext w:val="0"/>
              <w:keepLines w:val="0"/>
              <w:numPr>
                <w:ilvl w:val="0"/>
                <w:numId w:val="14"/>
              </w:numPr>
              <w:suppressLineNumbers w:val="0"/>
              <w:spacing w:before="0" w:beforeAutospacing="0" w:after="0" w:afterAutospacing="0" w:line="360" w:lineRule="auto"/>
              <w:ind w:left="0" w:right="0" w:firstLine="480" w:firstLineChars="200"/>
              <w:jc w:val="left"/>
              <w:rPr>
                <w:rFonts w:hint="default" w:cs="Times New Roman"/>
                <w:color w:val="auto"/>
                <w:sz w:val="24"/>
                <w:lang w:val="en-US" w:eastAsia="zh-CN"/>
              </w:rPr>
            </w:pPr>
            <w:r>
              <w:rPr>
                <w:rFonts w:hint="eastAsia" w:cs="Times New Roman"/>
                <w:color w:val="auto"/>
                <w:sz w:val="24"/>
                <w:lang w:val="en-US" w:eastAsia="zh-CN"/>
              </w:rPr>
              <w:t>废活性炭（S6）</w:t>
            </w:r>
          </w:p>
          <w:p w14:paraId="7DEE92EA">
            <w:pPr>
              <w:keepNext w:val="0"/>
              <w:keepLines w:val="0"/>
              <w:suppressLineNumbers w:val="0"/>
              <w:spacing w:before="0" w:beforeAutospacing="0" w:after="0" w:afterAutospacing="0" w:line="360" w:lineRule="auto"/>
              <w:ind w:left="0" w:right="0" w:firstLine="480" w:firstLineChars="200"/>
              <w:jc w:val="left"/>
              <w:rPr>
                <w:rFonts w:hint="default" w:cs="Times New Roman"/>
                <w:color w:val="auto"/>
                <w:sz w:val="24"/>
                <w:lang w:val="en-US" w:eastAsia="zh-CN"/>
              </w:rPr>
            </w:pPr>
            <w:r>
              <w:rPr>
                <w:rFonts w:hint="eastAsia" w:cs="Times New Roman"/>
                <w:color w:val="auto"/>
                <w:sz w:val="24"/>
                <w:lang w:val="en-US" w:eastAsia="zh-CN"/>
              </w:rPr>
              <w:t>项目运营过程中有机废气处理设置中的活性炭需定期更换，活性炭处理的废气量约为0.024</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eastAsia" w:ascii="Times New Roman" w:hAnsi="Times New Roman" w:cs="Times New Roman"/>
                <w:sz w:val="24"/>
                <w:szCs w:val="24"/>
                <w:vertAlign w:val="baseline"/>
                <w:lang w:val="en-US" w:eastAsia="zh-CN"/>
              </w:rPr>
              <w:t>根据资料调查，活性炭饱和吸附量为自重的20%~30%，本次按25%计，则本项目需要的活性炭量为0.096t/a，则每年需要更换的废活性炭量为0.12t/a。</w:t>
            </w:r>
          </w:p>
          <w:p w14:paraId="08E5932C">
            <w:pPr>
              <w:keepNext w:val="0"/>
              <w:keepLines w:val="0"/>
              <w:suppressLineNumbers w:val="0"/>
              <w:spacing w:before="0" w:beforeAutospacing="0" w:after="0" w:afterAutospacing="0" w:line="360" w:lineRule="auto"/>
              <w:ind w:left="0" w:right="0" w:firstLine="480" w:firstLineChars="200"/>
              <w:jc w:val="left"/>
              <w:rPr>
                <w:rFonts w:hint="default" w:cs="Times New Roman"/>
                <w:color w:val="auto"/>
                <w:sz w:val="24"/>
                <w:lang w:val="en-US" w:eastAsia="zh-CN"/>
              </w:rPr>
            </w:pPr>
            <w:r>
              <w:rPr>
                <w:rFonts w:hint="eastAsia" w:cs="Times New Roman"/>
                <w:color w:val="auto"/>
                <w:sz w:val="24"/>
                <w:lang w:val="en-US" w:eastAsia="zh-CN"/>
              </w:rPr>
              <w:t>（3）设备维护产生的废弃物（S8）</w:t>
            </w:r>
          </w:p>
          <w:p w14:paraId="05498BC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FF0000"/>
                <w:sz w:val="24"/>
              </w:rPr>
            </w:pPr>
            <w:r>
              <w:rPr>
                <w:rFonts w:hint="default" w:ascii="Times New Roman" w:hAnsi="Times New Roman" w:cs="Times New Roman"/>
                <w:color w:val="auto"/>
                <w:sz w:val="24"/>
              </w:rPr>
              <w:t>项目运营过程中现场仅进行设备检修和保养，不在厂区对设备进行大修，产生维修危废量较少，</w:t>
            </w:r>
            <w:r>
              <w:rPr>
                <w:rFonts w:hint="eastAsia" w:cs="Times New Roman"/>
                <w:color w:val="FF0000"/>
                <w:sz w:val="24"/>
                <w:lang w:val="en-US" w:eastAsia="zh-CN"/>
              </w:rPr>
              <w:t>主要有</w:t>
            </w:r>
            <w:r>
              <w:rPr>
                <w:rFonts w:hint="default" w:ascii="Times New Roman" w:hAnsi="Times New Roman" w:cs="Times New Roman"/>
                <w:color w:val="FF0000"/>
                <w:sz w:val="24"/>
              </w:rPr>
              <w:t>废</w:t>
            </w:r>
            <w:r>
              <w:rPr>
                <w:rFonts w:hint="eastAsia" w:cs="Times New Roman"/>
                <w:color w:val="FF0000"/>
                <w:sz w:val="24"/>
                <w:lang w:val="en-US" w:eastAsia="zh-CN"/>
              </w:rPr>
              <w:t>润滑</w:t>
            </w:r>
            <w:r>
              <w:rPr>
                <w:rFonts w:hint="default" w:ascii="Times New Roman" w:hAnsi="Times New Roman" w:cs="Times New Roman"/>
                <w:color w:val="FF0000"/>
                <w:sz w:val="24"/>
              </w:rPr>
              <w:t>油</w:t>
            </w:r>
            <w:r>
              <w:rPr>
                <w:rFonts w:hint="eastAsia" w:cs="Times New Roman"/>
                <w:color w:val="FF0000"/>
                <w:sz w:val="24"/>
                <w:lang w:eastAsia="zh-CN"/>
              </w:rPr>
              <w:t>、</w:t>
            </w:r>
            <w:r>
              <w:rPr>
                <w:rFonts w:hint="eastAsia" w:cs="Times New Roman"/>
                <w:color w:val="FF0000"/>
                <w:sz w:val="24"/>
                <w:lang w:val="en-US" w:eastAsia="zh-CN"/>
              </w:rPr>
              <w:t>废润滑油桶、含油棉纱及手套。废润滑油的</w:t>
            </w:r>
            <w:r>
              <w:rPr>
                <w:rFonts w:hint="default" w:ascii="Times New Roman" w:hAnsi="Times New Roman" w:cs="Times New Roman"/>
                <w:color w:val="FF0000"/>
                <w:sz w:val="24"/>
              </w:rPr>
              <w:t>产生量约0.1</w:t>
            </w:r>
            <w:r>
              <w:rPr>
                <w:rFonts w:hint="default" w:ascii="Times New Roman" w:hAnsi="Times New Roman" w:cs="Times New Roman"/>
                <w:color w:val="FF0000"/>
                <w:sz w:val="24"/>
                <w:lang w:val="en-US" w:eastAsia="zh-CN"/>
              </w:rPr>
              <w:t>0</w:t>
            </w:r>
            <w:r>
              <w:rPr>
                <w:rFonts w:hint="default" w:ascii="Times New Roman" w:hAnsi="Times New Roman" w:cs="Times New Roman"/>
                <w:color w:val="FF0000"/>
                <w:sz w:val="24"/>
              </w:rPr>
              <w:t>t/a</w:t>
            </w:r>
            <w:r>
              <w:rPr>
                <w:rFonts w:hint="eastAsia" w:cs="Times New Roman"/>
                <w:color w:val="FF0000"/>
                <w:sz w:val="24"/>
                <w:lang w:eastAsia="zh-CN"/>
              </w:rPr>
              <w:t>，</w:t>
            </w:r>
            <w:r>
              <w:rPr>
                <w:rFonts w:hint="eastAsia" w:cs="Times New Roman"/>
                <w:color w:val="FF0000"/>
                <w:sz w:val="24"/>
                <w:lang w:val="en-US" w:eastAsia="zh-CN"/>
              </w:rPr>
              <w:t>废润滑油桶的产生量约0.02t/a，废含油棉纱及手套的产生量约0.05t/a</w:t>
            </w:r>
            <w:r>
              <w:rPr>
                <w:rFonts w:hint="default" w:ascii="Times New Roman" w:hAnsi="Times New Roman" w:cs="Times New Roman"/>
                <w:color w:val="FF0000"/>
                <w:sz w:val="24"/>
              </w:rPr>
              <w:t>。分类别进行收集，并</w:t>
            </w:r>
            <w:r>
              <w:rPr>
                <w:rFonts w:hint="eastAsia" w:cs="Times New Roman"/>
                <w:color w:val="FF0000"/>
                <w:sz w:val="24"/>
                <w:lang w:val="en-US" w:eastAsia="zh-CN"/>
              </w:rPr>
              <w:t>暂存于厂区危废贮存库</w:t>
            </w:r>
            <w:r>
              <w:rPr>
                <w:rFonts w:hint="default" w:ascii="Times New Roman" w:hAnsi="Times New Roman" w:cs="Times New Roman"/>
                <w:color w:val="FF0000"/>
                <w:sz w:val="24"/>
              </w:rPr>
              <w:t>，定期交由有</w:t>
            </w:r>
            <w:r>
              <w:rPr>
                <w:rFonts w:hint="eastAsia" w:cs="Times New Roman"/>
                <w:color w:val="FF0000"/>
                <w:sz w:val="24"/>
                <w:lang w:val="en-US" w:eastAsia="zh-CN"/>
              </w:rPr>
              <w:t>资质的</w:t>
            </w:r>
            <w:r>
              <w:rPr>
                <w:rFonts w:hint="default" w:ascii="Times New Roman" w:hAnsi="Times New Roman" w:cs="Times New Roman"/>
                <w:color w:val="FF0000"/>
                <w:sz w:val="24"/>
              </w:rPr>
              <w:t>单位处置。</w:t>
            </w:r>
          </w:p>
          <w:p w14:paraId="491EFA4E">
            <w:pPr>
              <w:keepNext w:val="0"/>
              <w:keepLines w:val="0"/>
              <w:numPr>
                <w:ilvl w:val="0"/>
                <w:numId w:val="0"/>
              </w:numPr>
              <w:suppressLineNumbers w:val="0"/>
              <w:spacing w:before="0" w:beforeAutospacing="0" w:after="0" w:afterAutospacing="0" w:line="360" w:lineRule="auto"/>
              <w:ind w:left="420" w:leftChars="200" w:right="0" w:rightChars="0"/>
              <w:jc w:val="left"/>
              <w:rPr>
                <w:rFonts w:hint="eastAsia" w:cs="Times New Roman"/>
                <w:color w:val="FF0000"/>
                <w:sz w:val="24"/>
                <w:lang w:val="en-US" w:eastAsia="zh-CN"/>
              </w:rPr>
            </w:pPr>
            <w:r>
              <w:rPr>
                <w:rFonts w:hint="eastAsia" w:cs="Times New Roman"/>
                <w:color w:val="FF0000"/>
                <w:sz w:val="24"/>
                <w:lang w:val="en-US" w:eastAsia="zh-CN"/>
              </w:rPr>
              <w:t>（4）污水处理站污泥（S11）</w:t>
            </w:r>
          </w:p>
          <w:p w14:paraId="033F5B1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FF0000"/>
                <w:sz w:val="24"/>
                <w:lang w:val="en-US" w:eastAsia="zh-CN"/>
              </w:rPr>
            </w:pPr>
            <w:r>
              <w:rPr>
                <w:rFonts w:hint="eastAsia" w:ascii="Times New Roman" w:hAnsi="Times New Roman" w:cs="Times New Roman"/>
                <w:color w:val="FF0000"/>
                <w:sz w:val="24"/>
                <w:lang w:val="en-US" w:eastAsia="zh-CN"/>
              </w:rPr>
              <w:t>项目污水处理站处理清洗废水过程中会产生污泥，污泥经浓缩后利用压滤机脱水，脱水后含水率为60%-85%，本环评取75%。污泥产生量按处理水量的0.1%计算，该污水处理站处理清洗废水量为27m</w:t>
            </w:r>
            <w:r>
              <w:rPr>
                <w:rFonts w:hint="eastAsia" w:ascii="Times New Roman" w:hAnsi="Times New Roman" w:cs="Times New Roman"/>
                <w:color w:val="FF0000"/>
                <w:sz w:val="24"/>
                <w:vertAlign w:val="superscript"/>
                <w:lang w:val="en-US" w:eastAsia="zh-CN"/>
              </w:rPr>
              <w:t>3</w:t>
            </w:r>
            <w:r>
              <w:rPr>
                <w:rFonts w:hint="eastAsia" w:ascii="Times New Roman" w:hAnsi="Times New Roman" w:cs="Times New Roman"/>
                <w:color w:val="FF0000"/>
                <w:sz w:val="24"/>
                <w:lang w:val="en-US" w:eastAsia="zh-CN"/>
              </w:rPr>
              <w:t>/a，则污泥产生量为0.027t/a。污水处理站污泥属于危险废物，危废编码HW17表面处理废物，废物代码为336-064-17。污泥脱水后利用密封包装袋收集后，暂存于项目危废贮存库，定期交由有资质单位处置。</w:t>
            </w:r>
          </w:p>
          <w:p w14:paraId="16EEC97F">
            <w:pPr>
              <w:keepNext/>
              <w:keepLines/>
              <w:suppressLineNumbers w:val="0"/>
              <w:spacing w:before="0" w:beforeAutospacing="0" w:after="0" w:afterAutospacing="0" w:line="360" w:lineRule="auto"/>
              <w:ind w:left="0" w:right="0" w:firstLine="480" w:firstLineChars="200"/>
              <w:outlineLvl w:val="3"/>
              <w:rPr>
                <w:rFonts w:hint="default" w:ascii="Times New Roman" w:hAnsi="Times New Roman" w:cs="Times New Roman"/>
                <w:b/>
                <w:bCs/>
                <w:color w:val="auto"/>
                <w:sz w:val="24"/>
              </w:rPr>
            </w:pPr>
            <w:r>
              <w:rPr>
                <w:rFonts w:hint="eastAsia" w:cs="Times New Roman"/>
                <w:color w:val="auto"/>
                <w:sz w:val="24"/>
                <w:lang w:val="en-US" w:eastAsia="zh-CN"/>
              </w:rPr>
              <w:t>3</w:t>
            </w: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生活垃圾的</w:t>
            </w:r>
            <w:r>
              <w:rPr>
                <w:rFonts w:hint="default" w:ascii="Times New Roman" w:hAnsi="Times New Roman" w:eastAsia="宋体" w:cs="Times New Roman"/>
                <w:b/>
                <w:bCs/>
                <w:color w:val="auto"/>
                <w:sz w:val="24"/>
                <w:szCs w:val="24"/>
                <w:highlight w:val="none"/>
                <w:lang w:eastAsia="zh-CN"/>
              </w:rPr>
              <w:t>产生及处置</w:t>
            </w:r>
          </w:p>
          <w:p w14:paraId="78D9576C">
            <w:pPr>
              <w:keepNext w:val="0"/>
              <w:keepLines w:val="0"/>
              <w:pageBreakBefore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z w:val="24"/>
                <w:lang w:val="en-US" w:eastAsia="zh-CN"/>
              </w:rPr>
            </w:pPr>
            <w:r>
              <w:rPr>
                <w:rFonts w:hint="default"/>
                <w:color w:val="auto"/>
                <w:sz w:val="24"/>
                <w:szCs w:val="24"/>
              </w:rPr>
              <w:t>本项目运营期间职工定员</w:t>
            </w:r>
            <w:r>
              <w:rPr>
                <w:rFonts w:hint="eastAsia"/>
                <w:color w:val="auto"/>
                <w:sz w:val="24"/>
                <w:szCs w:val="24"/>
                <w:lang w:val="en-US" w:eastAsia="zh-CN"/>
              </w:rPr>
              <w:t>500</w:t>
            </w:r>
            <w:r>
              <w:rPr>
                <w:rFonts w:hint="default"/>
                <w:color w:val="auto"/>
                <w:sz w:val="24"/>
                <w:szCs w:val="24"/>
              </w:rPr>
              <w:t>人，人均生活垃圾按照0.5kg/人·d计算，年工作300d，则职工生活垃圾产生量为</w:t>
            </w:r>
            <w:r>
              <w:rPr>
                <w:rFonts w:hint="eastAsia"/>
                <w:color w:val="auto"/>
                <w:sz w:val="24"/>
                <w:szCs w:val="24"/>
                <w:lang w:val="en-US" w:eastAsia="zh-CN"/>
              </w:rPr>
              <w:t>250</w:t>
            </w:r>
            <w:r>
              <w:rPr>
                <w:rFonts w:hint="default"/>
                <w:color w:val="auto"/>
                <w:sz w:val="24"/>
                <w:szCs w:val="24"/>
              </w:rPr>
              <w:t>kg/d（即</w:t>
            </w:r>
            <w:r>
              <w:rPr>
                <w:rFonts w:hint="eastAsia"/>
                <w:color w:val="auto"/>
                <w:sz w:val="24"/>
                <w:szCs w:val="24"/>
                <w:lang w:val="en-US" w:eastAsia="zh-CN"/>
              </w:rPr>
              <w:t>75</w:t>
            </w:r>
            <w:r>
              <w:rPr>
                <w:rFonts w:hint="default"/>
                <w:color w:val="auto"/>
                <w:sz w:val="24"/>
                <w:szCs w:val="24"/>
              </w:rPr>
              <w:t>t/a）。在厂区设置带盖生活垃圾收集桶，分类收集后由环卫部门统一清运处理。</w:t>
            </w:r>
          </w:p>
          <w:p w14:paraId="7B1999A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项目固体废物产排情况见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6E5CD3B3">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firstLine="964" w:firstLineChars="4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表4-12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项目固体废物污染源源强核算结果及相关参数一览表</w:t>
            </w:r>
          </w:p>
          <w:tbl>
            <w:tblPr>
              <w:tblStyle w:val="63"/>
              <w:tblW w:w="4953" w:type="pct"/>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5"/>
              <w:gridCol w:w="851"/>
              <w:gridCol w:w="1883"/>
              <w:gridCol w:w="725"/>
              <w:gridCol w:w="758"/>
              <w:gridCol w:w="1200"/>
              <w:gridCol w:w="2125"/>
            </w:tblGrid>
            <w:tr w14:paraId="0A5E2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rPr>
              <w:tc>
                <w:tcPr>
                  <w:tcW w:w="635" w:type="dxa"/>
                  <w:vMerge w:val="restart"/>
                  <w:tcBorders>
                    <w:bottom w:val="nil"/>
                  </w:tcBorders>
                  <w:vAlign w:val="center"/>
                </w:tcPr>
                <w:p w14:paraId="4336F66D">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装置</w:t>
                  </w:r>
                </w:p>
              </w:tc>
              <w:tc>
                <w:tcPr>
                  <w:tcW w:w="851" w:type="dxa"/>
                  <w:vMerge w:val="restart"/>
                  <w:tcBorders>
                    <w:bottom w:val="nil"/>
                  </w:tcBorders>
                  <w:vAlign w:val="center"/>
                </w:tcPr>
                <w:p w14:paraId="1AB6D9B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固体废物</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pacing w:val="-2"/>
                      <w:sz w:val="21"/>
                      <w:szCs w:val="21"/>
                    </w:rPr>
                    <w:t>名称</w:t>
                  </w:r>
                </w:p>
              </w:tc>
              <w:tc>
                <w:tcPr>
                  <w:tcW w:w="1883" w:type="dxa"/>
                  <w:vMerge w:val="restart"/>
                  <w:tcBorders>
                    <w:bottom w:val="nil"/>
                  </w:tcBorders>
                  <w:vAlign w:val="center"/>
                </w:tcPr>
                <w:p w14:paraId="61DA420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
                      <w:sz w:val="21"/>
                      <w:szCs w:val="21"/>
                    </w:rPr>
                    <w:t>固废属性</w:t>
                  </w:r>
                </w:p>
              </w:tc>
              <w:tc>
                <w:tcPr>
                  <w:tcW w:w="725" w:type="dxa"/>
                  <w:vMerge w:val="restart"/>
                  <w:tcBorders>
                    <w:bottom w:val="nil"/>
                  </w:tcBorders>
                  <w:vAlign w:val="center"/>
                </w:tcPr>
                <w:p w14:paraId="73CE61C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产生量</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pacing w:val="-7"/>
                      <w:sz w:val="21"/>
                      <w:szCs w:val="21"/>
                    </w:rPr>
                    <w:t>(t</w:t>
                  </w:r>
                  <w:r>
                    <w:rPr>
                      <w:rFonts w:hint="default" w:ascii="Times New Roman" w:hAnsi="Times New Roman" w:eastAsia="宋体" w:cs="Times New Roman"/>
                      <w:b/>
                      <w:bCs/>
                      <w:spacing w:val="-7"/>
                      <w:sz w:val="21"/>
                      <w:szCs w:val="21"/>
                      <w:lang w:val="en-US" w:eastAsia="zh-CN"/>
                    </w:rPr>
                    <w:t>/</w:t>
                  </w:r>
                  <w:r>
                    <w:rPr>
                      <w:rFonts w:hint="default" w:ascii="Times New Roman" w:hAnsi="Times New Roman" w:eastAsia="宋体" w:cs="Times New Roman"/>
                      <w:b/>
                      <w:bCs/>
                      <w:spacing w:val="-7"/>
                      <w:sz w:val="21"/>
                      <w:szCs w:val="21"/>
                    </w:rPr>
                    <w:t>a)</w:t>
                  </w:r>
                </w:p>
              </w:tc>
              <w:tc>
                <w:tcPr>
                  <w:tcW w:w="1958" w:type="dxa"/>
                  <w:gridSpan w:val="2"/>
                  <w:vAlign w:val="center"/>
                </w:tcPr>
                <w:p w14:paraId="42073BD1">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处置措施</w:t>
                  </w:r>
                </w:p>
              </w:tc>
              <w:tc>
                <w:tcPr>
                  <w:tcW w:w="2125" w:type="dxa"/>
                  <w:vMerge w:val="restart"/>
                  <w:tcBorders>
                    <w:bottom w:val="nil"/>
                  </w:tcBorders>
                  <w:vAlign w:val="center"/>
                </w:tcPr>
                <w:p w14:paraId="7790D85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处置去向</w:t>
                  </w:r>
                </w:p>
              </w:tc>
            </w:tr>
            <w:tr w14:paraId="0131D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635" w:type="dxa"/>
                  <w:vMerge w:val="continue"/>
                  <w:tcBorders>
                    <w:top w:val="nil"/>
                    <w:bottom w:val="single" w:color="auto" w:sz="4" w:space="0"/>
                  </w:tcBorders>
                  <w:vAlign w:val="center"/>
                </w:tcPr>
                <w:p w14:paraId="15615D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851" w:type="dxa"/>
                  <w:vMerge w:val="continue"/>
                  <w:tcBorders>
                    <w:top w:val="nil"/>
                    <w:bottom w:val="single" w:color="auto" w:sz="4" w:space="0"/>
                  </w:tcBorders>
                  <w:vAlign w:val="center"/>
                </w:tcPr>
                <w:p w14:paraId="093132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883" w:type="dxa"/>
                  <w:vMerge w:val="continue"/>
                  <w:tcBorders>
                    <w:top w:val="nil"/>
                    <w:bottom w:val="single" w:color="auto" w:sz="4" w:space="0"/>
                  </w:tcBorders>
                  <w:vAlign w:val="center"/>
                </w:tcPr>
                <w:p w14:paraId="588799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725" w:type="dxa"/>
                  <w:vMerge w:val="continue"/>
                  <w:tcBorders>
                    <w:top w:val="nil"/>
                    <w:bottom w:val="single" w:color="auto" w:sz="4" w:space="0"/>
                  </w:tcBorders>
                  <w:vAlign w:val="center"/>
                </w:tcPr>
                <w:p w14:paraId="31777C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758" w:type="dxa"/>
                  <w:tcBorders>
                    <w:bottom w:val="single" w:color="auto" w:sz="4" w:space="0"/>
                  </w:tcBorders>
                  <w:vAlign w:val="center"/>
                </w:tcPr>
                <w:p w14:paraId="6E4DBD73">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工艺</w:t>
                  </w:r>
                </w:p>
              </w:tc>
              <w:tc>
                <w:tcPr>
                  <w:tcW w:w="1200" w:type="dxa"/>
                  <w:tcBorders>
                    <w:bottom w:val="single" w:color="auto" w:sz="4" w:space="0"/>
                  </w:tcBorders>
                  <w:vAlign w:val="center"/>
                </w:tcPr>
                <w:p w14:paraId="79473D4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处置量</w:t>
                  </w:r>
                  <w:r>
                    <w:rPr>
                      <w:rFonts w:hint="default" w:ascii="Times New Roman" w:hAnsi="Times New Roman" w:eastAsia="宋体" w:cs="Times New Roman"/>
                      <w:b/>
                      <w:bCs/>
                      <w:spacing w:val="-6"/>
                      <w:sz w:val="21"/>
                      <w:szCs w:val="21"/>
                    </w:rPr>
                    <w:t>(t/a)</w:t>
                  </w:r>
                </w:p>
              </w:tc>
              <w:tc>
                <w:tcPr>
                  <w:tcW w:w="2125" w:type="dxa"/>
                  <w:vMerge w:val="continue"/>
                  <w:tcBorders>
                    <w:top w:val="nil"/>
                    <w:bottom w:val="single" w:color="auto" w:sz="4" w:space="0"/>
                  </w:tcBorders>
                  <w:vAlign w:val="center"/>
                </w:tcPr>
                <w:p w14:paraId="23A1B6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r>
            <w:tr w14:paraId="396CC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restart"/>
                  <w:tcBorders>
                    <w:top w:val="single" w:color="auto" w:sz="4" w:space="0"/>
                    <w:left w:val="single" w:color="auto" w:sz="4" w:space="0"/>
                  </w:tcBorders>
                  <w:vAlign w:val="center"/>
                </w:tcPr>
                <w:p w14:paraId="10A92747">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生产</w:t>
                  </w:r>
                  <w:r>
                    <w:rPr>
                      <w:rFonts w:hint="default" w:ascii="Times New Roman" w:hAnsi="Times New Roman" w:eastAsia="宋体" w:cs="Times New Roman"/>
                      <w:sz w:val="21"/>
                      <w:szCs w:val="21"/>
                    </w:rPr>
                    <w:t>区</w:t>
                  </w:r>
                </w:p>
              </w:tc>
              <w:tc>
                <w:tcPr>
                  <w:tcW w:w="851" w:type="dxa"/>
                  <w:tcBorders>
                    <w:top w:val="single" w:color="auto" w:sz="4" w:space="0"/>
                  </w:tcBorders>
                  <w:vAlign w:val="center"/>
                </w:tcPr>
                <w:p w14:paraId="228976E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塑料残次品</w:t>
                  </w:r>
                </w:p>
              </w:tc>
              <w:tc>
                <w:tcPr>
                  <w:tcW w:w="1883" w:type="dxa"/>
                  <w:tcBorders>
                    <w:top w:val="single" w:color="auto" w:sz="4" w:space="0"/>
                  </w:tcBorders>
                  <w:vAlign w:val="center"/>
                </w:tcPr>
                <w:p w14:paraId="3933DE11">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一般固废</w:t>
                  </w:r>
                </w:p>
              </w:tc>
              <w:tc>
                <w:tcPr>
                  <w:tcW w:w="725" w:type="dxa"/>
                  <w:tcBorders>
                    <w:top w:val="single" w:color="auto" w:sz="4" w:space="0"/>
                  </w:tcBorders>
                  <w:vAlign w:val="center"/>
                </w:tcPr>
                <w:p w14:paraId="712A9CB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2.78</w:t>
                  </w:r>
                </w:p>
              </w:tc>
              <w:tc>
                <w:tcPr>
                  <w:tcW w:w="758" w:type="dxa"/>
                  <w:tcBorders>
                    <w:top w:val="single" w:color="auto" w:sz="4" w:space="0"/>
                  </w:tcBorders>
                  <w:vAlign w:val="center"/>
                </w:tcPr>
                <w:p w14:paraId="576021F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破碎</w:t>
                  </w:r>
                </w:p>
              </w:tc>
              <w:tc>
                <w:tcPr>
                  <w:tcW w:w="1200" w:type="dxa"/>
                  <w:tcBorders>
                    <w:top w:val="single" w:color="auto" w:sz="4" w:space="0"/>
                  </w:tcBorders>
                  <w:vAlign w:val="center"/>
                </w:tcPr>
                <w:p w14:paraId="2B44703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2.78</w:t>
                  </w:r>
                </w:p>
              </w:tc>
              <w:tc>
                <w:tcPr>
                  <w:tcW w:w="2125" w:type="dxa"/>
                  <w:tcBorders>
                    <w:top w:val="single" w:color="auto" w:sz="4" w:space="0"/>
                    <w:right w:val="single" w:color="auto" w:sz="4" w:space="0"/>
                  </w:tcBorders>
                  <w:vAlign w:val="center"/>
                </w:tcPr>
                <w:p w14:paraId="7D5E4511">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混入原料回收利用</w:t>
                  </w:r>
                </w:p>
              </w:tc>
            </w:tr>
            <w:tr w14:paraId="6E7ED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25F3C49E">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0AFA7F9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废边角料</w:t>
                  </w:r>
                </w:p>
              </w:tc>
              <w:tc>
                <w:tcPr>
                  <w:tcW w:w="1883" w:type="dxa"/>
                  <w:tcBorders>
                    <w:top w:val="single" w:color="auto" w:sz="4" w:space="0"/>
                  </w:tcBorders>
                  <w:vAlign w:val="center"/>
                </w:tcPr>
                <w:p w14:paraId="515CB00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一般固废</w:t>
                  </w:r>
                </w:p>
              </w:tc>
              <w:tc>
                <w:tcPr>
                  <w:tcW w:w="725" w:type="dxa"/>
                  <w:tcBorders>
                    <w:top w:val="single" w:color="auto" w:sz="4" w:space="0"/>
                  </w:tcBorders>
                  <w:vAlign w:val="center"/>
                </w:tcPr>
                <w:p w14:paraId="143A9999">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5.3</w:t>
                  </w:r>
                </w:p>
              </w:tc>
              <w:tc>
                <w:tcPr>
                  <w:tcW w:w="758" w:type="dxa"/>
                  <w:tcBorders>
                    <w:top w:val="single" w:color="auto" w:sz="4" w:space="0"/>
                  </w:tcBorders>
                  <w:vAlign w:val="center"/>
                </w:tcPr>
                <w:p w14:paraId="103D7CE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746736B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5.3</w:t>
                  </w:r>
                </w:p>
              </w:tc>
              <w:tc>
                <w:tcPr>
                  <w:tcW w:w="2125" w:type="dxa"/>
                  <w:tcBorders>
                    <w:top w:val="single" w:color="auto" w:sz="4" w:space="0"/>
                    <w:right w:val="single" w:color="auto" w:sz="4" w:space="0"/>
                  </w:tcBorders>
                  <w:vAlign w:val="center"/>
                </w:tcPr>
                <w:p w14:paraId="5D63E12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统一收集、外售废品回收部门综合利用</w:t>
                  </w:r>
                </w:p>
              </w:tc>
            </w:tr>
            <w:tr w14:paraId="2C9BD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185446D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71126709">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废包装材料</w:t>
                  </w:r>
                </w:p>
              </w:tc>
              <w:tc>
                <w:tcPr>
                  <w:tcW w:w="1883" w:type="dxa"/>
                  <w:tcBorders>
                    <w:top w:val="single" w:color="auto" w:sz="4" w:space="0"/>
                  </w:tcBorders>
                  <w:vAlign w:val="center"/>
                </w:tcPr>
                <w:p w14:paraId="746E5C7D">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一般固废</w:t>
                  </w:r>
                </w:p>
              </w:tc>
              <w:tc>
                <w:tcPr>
                  <w:tcW w:w="725" w:type="dxa"/>
                  <w:tcBorders>
                    <w:top w:val="single" w:color="auto" w:sz="4" w:space="0"/>
                  </w:tcBorders>
                  <w:vAlign w:val="center"/>
                </w:tcPr>
                <w:p w14:paraId="5364AC89">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1.0</w:t>
                  </w:r>
                </w:p>
              </w:tc>
              <w:tc>
                <w:tcPr>
                  <w:tcW w:w="758" w:type="dxa"/>
                  <w:tcBorders>
                    <w:top w:val="single" w:color="auto" w:sz="4" w:space="0"/>
                  </w:tcBorders>
                  <w:vAlign w:val="center"/>
                </w:tcPr>
                <w:p w14:paraId="10FAD2A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597EAF8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1.0</w:t>
                  </w:r>
                </w:p>
              </w:tc>
              <w:tc>
                <w:tcPr>
                  <w:tcW w:w="2125" w:type="dxa"/>
                  <w:tcBorders>
                    <w:top w:val="single" w:color="auto" w:sz="4" w:space="0"/>
                    <w:right w:val="single" w:color="auto" w:sz="4" w:space="0"/>
                  </w:tcBorders>
                  <w:vAlign w:val="center"/>
                </w:tcPr>
                <w:p w14:paraId="68606C0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分类收集，可资源利用的外售至废品回收部门，不可回收的集中收集交由环卫部门清运处置。</w:t>
                  </w:r>
                </w:p>
              </w:tc>
            </w:tr>
            <w:tr w14:paraId="60331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78C5E9B5">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62104CD5">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除尘灰</w:t>
                  </w:r>
                </w:p>
              </w:tc>
              <w:tc>
                <w:tcPr>
                  <w:tcW w:w="1883" w:type="dxa"/>
                  <w:tcBorders>
                    <w:top w:val="single" w:color="auto" w:sz="4" w:space="0"/>
                  </w:tcBorders>
                  <w:vAlign w:val="center"/>
                </w:tcPr>
                <w:p w14:paraId="1BC626B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一般固废</w:t>
                  </w:r>
                </w:p>
              </w:tc>
              <w:tc>
                <w:tcPr>
                  <w:tcW w:w="725" w:type="dxa"/>
                  <w:tcBorders>
                    <w:top w:val="single" w:color="auto" w:sz="4" w:space="0"/>
                  </w:tcBorders>
                  <w:vAlign w:val="center"/>
                </w:tcPr>
                <w:p w14:paraId="2FA44C0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0.001</w:t>
                  </w:r>
                </w:p>
              </w:tc>
              <w:tc>
                <w:tcPr>
                  <w:tcW w:w="758" w:type="dxa"/>
                  <w:tcBorders>
                    <w:top w:val="single" w:color="auto" w:sz="4" w:space="0"/>
                  </w:tcBorders>
                  <w:vAlign w:val="center"/>
                </w:tcPr>
                <w:p w14:paraId="5D9308C1">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5B58378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0.001</w:t>
                  </w:r>
                </w:p>
              </w:tc>
              <w:tc>
                <w:tcPr>
                  <w:tcW w:w="2125" w:type="dxa"/>
                  <w:tcBorders>
                    <w:top w:val="single" w:color="auto" w:sz="4" w:space="0"/>
                    <w:right w:val="single" w:color="auto" w:sz="4" w:space="0"/>
                  </w:tcBorders>
                  <w:vAlign w:val="center"/>
                </w:tcPr>
                <w:p w14:paraId="4C26F56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统一收集后交由固废处置单位处置</w:t>
                  </w:r>
                </w:p>
              </w:tc>
            </w:tr>
            <w:tr w14:paraId="77982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3CEA1D14">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34B0AB2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废漆包线</w:t>
                  </w:r>
                </w:p>
              </w:tc>
              <w:tc>
                <w:tcPr>
                  <w:tcW w:w="1883" w:type="dxa"/>
                  <w:tcBorders>
                    <w:top w:val="single" w:color="auto" w:sz="4" w:space="0"/>
                  </w:tcBorders>
                  <w:vAlign w:val="center"/>
                </w:tcPr>
                <w:p w14:paraId="29321E4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一般固废</w:t>
                  </w:r>
                </w:p>
              </w:tc>
              <w:tc>
                <w:tcPr>
                  <w:tcW w:w="725" w:type="dxa"/>
                  <w:tcBorders>
                    <w:top w:val="single" w:color="auto" w:sz="4" w:space="0"/>
                  </w:tcBorders>
                  <w:vAlign w:val="center"/>
                </w:tcPr>
                <w:p w14:paraId="4570C61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0.25</w:t>
                  </w:r>
                </w:p>
              </w:tc>
              <w:tc>
                <w:tcPr>
                  <w:tcW w:w="758" w:type="dxa"/>
                  <w:tcBorders>
                    <w:top w:val="single" w:color="auto" w:sz="4" w:space="0"/>
                  </w:tcBorders>
                  <w:vAlign w:val="center"/>
                </w:tcPr>
                <w:p w14:paraId="671675AD">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3A0189E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0.25</w:t>
                  </w:r>
                </w:p>
              </w:tc>
              <w:tc>
                <w:tcPr>
                  <w:tcW w:w="2125" w:type="dxa"/>
                  <w:tcBorders>
                    <w:top w:val="single" w:color="auto" w:sz="4" w:space="0"/>
                    <w:right w:val="single" w:color="auto" w:sz="4" w:space="0"/>
                  </w:tcBorders>
                  <w:vAlign w:val="center"/>
                </w:tcPr>
                <w:p w14:paraId="6E508C47">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统一收集后交由漆包线生产厂家回收利用。</w:t>
                  </w:r>
                </w:p>
              </w:tc>
            </w:tr>
            <w:tr w14:paraId="0BC4E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785D107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67B48C75">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纯水机更换的废活性炭</w:t>
                  </w:r>
                </w:p>
              </w:tc>
              <w:tc>
                <w:tcPr>
                  <w:tcW w:w="1883" w:type="dxa"/>
                  <w:tcBorders>
                    <w:top w:val="single" w:color="auto" w:sz="4" w:space="0"/>
                  </w:tcBorders>
                  <w:vAlign w:val="center"/>
                </w:tcPr>
                <w:p w14:paraId="68F11413">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一般固废</w:t>
                  </w:r>
                </w:p>
              </w:tc>
              <w:tc>
                <w:tcPr>
                  <w:tcW w:w="725" w:type="dxa"/>
                  <w:tcBorders>
                    <w:top w:val="single" w:color="auto" w:sz="4" w:space="0"/>
                  </w:tcBorders>
                  <w:vAlign w:val="center"/>
                </w:tcPr>
                <w:p w14:paraId="6BE90CC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0.2</w:t>
                  </w:r>
                </w:p>
              </w:tc>
              <w:tc>
                <w:tcPr>
                  <w:tcW w:w="758" w:type="dxa"/>
                  <w:tcBorders>
                    <w:top w:val="single" w:color="auto" w:sz="4" w:space="0"/>
                  </w:tcBorders>
                  <w:vAlign w:val="center"/>
                </w:tcPr>
                <w:p w14:paraId="1F4186A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200" w:type="dxa"/>
                  <w:tcBorders>
                    <w:top w:val="single" w:color="auto" w:sz="4" w:space="0"/>
                  </w:tcBorders>
                  <w:vAlign w:val="center"/>
                </w:tcPr>
                <w:p w14:paraId="621C89EE">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0.2</w:t>
                  </w:r>
                </w:p>
              </w:tc>
              <w:tc>
                <w:tcPr>
                  <w:tcW w:w="2125" w:type="dxa"/>
                  <w:tcBorders>
                    <w:top w:val="single" w:color="auto" w:sz="4" w:space="0"/>
                    <w:right w:val="single" w:color="auto" w:sz="4" w:space="0"/>
                  </w:tcBorders>
                  <w:vAlign w:val="center"/>
                </w:tcPr>
                <w:p w14:paraId="2D16019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交由纯水制备设备厂家回收处置</w:t>
                  </w:r>
                </w:p>
              </w:tc>
            </w:tr>
            <w:tr w14:paraId="6EB8F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69F3A7B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42961D7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制氮机组更换的废滤筒（含滤布）、碳分子筛</w:t>
                  </w:r>
                </w:p>
              </w:tc>
              <w:tc>
                <w:tcPr>
                  <w:tcW w:w="1883" w:type="dxa"/>
                  <w:tcBorders>
                    <w:top w:val="single" w:color="auto" w:sz="4" w:space="0"/>
                  </w:tcBorders>
                  <w:vAlign w:val="center"/>
                </w:tcPr>
                <w:p w14:paraId="578B4563">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3"/>
                      <w:sz w:val="21"/>
                      <w:szCs w:val="21"/>
                      <w:lang w:val="en-US" w:eastAsia="zh-CN"/>
                    </w:rPr>
                  </w:pPr>
                  <w:r>
                    <w:rPr>
                      <w:rFonts w:hint="eastAsia" w:ascii="Times New Roman" w:hAnsi="Times New Roman" w:cs="Times New Roman"/>
                      <w:color w:val="FF0000"/>
                      <w:spacing w:val="-3"/>
                      <w:sz w:val="21"/>
                      <w:szCs w:val="21"/>
                      <w:lang w:val="en-US" w:eastAsia="zh-CN"/>
                    </w:rPr>
                    <w:t>一般固废</w:t>
                  </w:r>
                </w:p>
              </w:tc>
              <w:tc>
                <w:tcPr>
                  <w:tcW w:w="725" w:type="dxa"/>
                  <w:tcBorders>
                    <w:top w:val="single" w:color="auto" w:sz="4" w:space="0"/>
                  </w:tcBorders>
                  <w:vAlign w:val="center"/>
                </w:tcPr>
                <w:p w14:paraId="2321B007">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0.28</w:t>
                  </w:r>
                </w:p>
              </w:tc>
              <w:tc>
                <w:tcPr>
                  <w:tcW w:w="758" w:type="dxa"/>
                  <w:tcBorders>
                    <w:top w:val="single" w:color="auto" w:sz="4" w:space="0"/>
                  </w:tcBorders>
                  <w:vAlign w:val="center"/>
                </w:tcPr>
                <w:p w14:paraId="5BA3998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1200" w:type="dxa"/>
                  <w:tcBorders>
                    <w:top w:val="single" w:color="auto" w:sz="4" w:space="0"/>
                  </w:tcBorders>
                  <w:vAlign w:val="center"/>
                </w:tcPr>
                <w:p w14:paraId="6F3C6D6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0.28</w:t>
                  </w:r>
                </w:p>
              </w:tc>
              <w:tc>
                <w:tcPr>
                  <w:tcW w:w="2125" w:type="dxa"/>
                  <w:tcBorders>
                    <w:top w:val="single" w:color="auto" w:sz="4" w:space="0"/>
                    <w:right w:val="single" w:color="auto" w:sz="4" w:space="0"/>
                  </w:tcBorders>
                  <w:vAlign w:val="center"/>
                </w:tcPr>
                <w:p w14:paraId="60BFABA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highlight w:val="none"/>
                      <w:u w:val="none"/>
                      <w:lang w:val="en-US" w:eastAsia="zh-CN"/>
                    </w:rPr>
                    <w:t>定期交业内回收单位回收利用</w:t>
                  </w:r>
                </w:p>
              </w:tc>
            </w:tr>
            <w:tr w14:paraId="6495D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08FD7CF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67FFC62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废包装桶</w:t>
                  </w:r>
                </w:p>
              </w:tc>
              <w:tc>
                <w:tcPr>
                  <w:tcW w:w="1883" w:type="dxa"/>
                  <w:tcBorders>
                    <w:top w:val="single" w:color="auto" w:sz="4" w:space="0"/>
                  </w:tcBorders>
                  <w:vAlign w:val="center"/>
                </w:tcPr>
                <w:p w14:paraId="6E84D69E">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3"/>
                      <w:sz w:val="21"/>
                      <w:szCs w:val="21"/>
                    </w:rPr>
                  </w:pPr>
                  <w:r>
                    <w:rPr>
                      <w:rFonts w:hint="default" w:ascii="Times New Roman" w:hAnsi="Times New Roman" w:eastAsia="宋体" w:cs="Times New Roman"/>
                      <w:color w:val="FF0000"/>
                      <w:sz w:val="21"/>
                      <w:szCs w:val="21"/>
                      <w:lang w:val="en-US" w:eastAsia="zh-CN"/>
                    </w:rPr>
                    <w:t>危险废物</w:t>
                  </w:r>
                  <w:r>
                    <w:rPr>
                      <w:rFonts w:hint="default" w:ascii="Times New Roman" w:hAnsi="Times New Roman" w:eastAsia="宋体" w:cs="Times New Roman"/>
                      <w:color w:val="FF0000"/>
                      <w:sz w:val="21"/>
                      <w:szCs w:val="21"/>
                    </w:rPr>
                    <w:t>HW</w:t>
                  </w:r>
                  <w:r>
                    <w:rPr>
                      <w:rFonts w:hint="eastAsia" w:ascii="Times New Roman" w:hAnsi="Times New Roman" w:cs="Times New Roman"/>
                      <w:color w:val="FF0000"/>
                      <w:sz w:val="21"/>
                      <w:szCs w:val="21"/>
                      <w:lang w:val="en-US" w:eastAsia="zh-CN"/>
                    </w:rPr>
                    <w:t>49</w:t>
                  </w:r>
                  <w:r>
                    <w:rPr>
                      <w:rFonts w:hint="default"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900-</w:t>
                  </w:r>
                  <w:r>
                    <w:rPr>
                      <w:rFonts w:hint="eastAsia" w:ascii="Times New Roman" w:hAnsi="Times New Roman" w:cs="Times New Roman"/>
                      <w:color w:val="FF0000"/>
                      <w:sz w:val="21"/>
                      <w:szCs w:val="21"/>
                      <w:lang w:val="en-US" w:eastAsia="zh-CN"/>
                    </w:rPr>
                    <w:t>041</w:t>
                  </w:r>
                  <w:r>
                    <w:rPr>
                      <w:rFonts w:hint="default" w:ascii="Times New Roman" w:hAnsi="Times New Roman" w:eastAsia="宋体" w:cs="Times New Roman"/>
                      <w:color w:val="FF0000"/>
                      <w:sz w:val="21"/>
                      <w:szCs w:val="21"/>
                      <w:lang w:val="en-US" w:eastAsia="zh-CN"/>
                    </w:rPr>
                    <w:t>-</w:t>
                  </w:r>
                  <w:r>
                    <w:rPr>
                      <w:rFonts w:hint="eastAsia" w:ascii="Times New Roman" w:hAnsi="Times New Roman" w:cs="Times New Roman"/>
                      <w:color w:val="FF0000"/>
                      <w:sz w:val="21"/>
                      <w:szCs w:val="21"/>
                      <w:lang w:val="en-US" w:eastAsia="zh-CN"/>
                    </w:rPr>
                    <w:t>49</w:t>
                  </w:r>
                  <w:r>
                    <w:rPr>
                      <w:rFonts w:hint="default" w:ascii="Times New Roman" w:hAnsi="Times New Roman" w:eastAsia="宋体" w:cs="Times New Roman"/>
                      <w:color w:val="FF0000"/>
                      <w:sz w:val="21"/>
                      <w:szCs w:val="21"/>
                      <w:lang w:eastAsia="zh-CN"/>
                    </w:rPr>
                    <w:t>）</w:t>
                  </w:r>
                </w:p>
              </w:tc>
              <w:tc>
                <w:tcPr>
                  <w:tcW w:w="725" w:type="dxa"/>
                  <w:tcBorders>
                    <w:top w:val="single" w:color="auto" w:sz="4" w:space="0"/>
                  </w:tcBorders>
                  <w:vAlign w:val="center"/>
                </w:tcPr>
                <w:p w14:paraId="06B8D88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0.01</w:t>
                  </w:r>
                </w:p>
              </w:tc>
              <w:tc>
                <w:tcPr>
                  <w:tcW w:w="758" w:type="dxa"/>
                  <w:tcBorders>
                    <w:top w:val="single" w:color="auto" w:sz="4" w:space="0"/>
                  </w:tcBorders>
                  <w:vAlign w:val="center"/>
                </w:tcPr>
                <w:p w14:paraId="10B439B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7632079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0.01</w:t>
                  </w:r>
                </w:p>
              </w:tc>
              <w:tc>
                <w:tcPr>
                  <w:tcW w:w="2125" w:type="dxa"/>
                  <w:vMerge w:val="restart"/>
                  <w:tcBorders>
                    <w:top w:val="single" w:color="auto" w:sz="4" w:space="0"/>
                    <w:right w:val="single" w:color="auto" w:sz="4" w:space="0"/>
                  </w:tcBorders>
                  <w:vAlign w:val="center"/>
                </w:tcPr>
                <w:p w14:paraId="4D247F0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暂存于危废贮存库，交由有资质单位处置</w:t>
                  </w:r>
                </w:p>
              </w:tc>
            </w:tr>
            <w:tr w14:paraId="57C13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14DBCEC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56B8192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废活性炭</w:t>
                  </w:r>
                </w:p>
              </w:tc>
              <w:tc>
                <w:tcPr>
                  <w:tcW w:w="1883" w:type="dxa"/>
                  <w:tcBorders>
                    <w:top w:val="single" w:color="auto" w:sz="4" w:space="0"/>
                  </w:tcBorders>
                  <w:vAlign w:val="center"/>
                </w:tcPr>
                <w:p w14:paraId="45A8DE23">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z w:val="21"/>
                      <w:szCs w:val="21"/>
                      <w:lang w:val="en-US" w:eastAsia="zh-CN"/>
                    </w:rPr>
                    <w:t>危险废物</w:t>
                  </w: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49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z w:val="21"/>
                      <w:szCs w:val="21"/>
                      <w:lang w:val="en-US" w:eastAsia="zh-CN"/>
                    </w:rPr>
                    <w:t>900-039-49</w:t>
                  </w:r>
                  <w:r>
                    <w:rPr>
                      <w:rFonts w:hint="default" w:ascii="Times New Roman" w:hAnsi="Times New Roman" w:eastAsia="宋体" w:cs="Times New Roman"/>
                      <w:color w:val="auto"/>
                      <w:sz w:val="21"/>
                      <w:szCs w:val="21"/>
                      <w:lang w:eastAsia="zh-CN"/>
                    </w:rPr>
                    <w:t>）</w:t>
                  </w:r>
                </w:p>
              </w:tc>
              <w:tc>
                <w:tcPr>
                  <w:tcW w:w="725" w:type="dxa"/>
                  <w:tcBorders>
                    <w:top w:val="single" w:color="auto" w:sz="4" w:space="0"/>
                  </w:tcBorders>
                  <w:vAlign w:val="center"/>
                </w:tcPr>
                <w:p w14:paraId="6BD11E8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0.12</w:t>
                  </w:r>
                </w:p>
              </w:tc>
              <w:tc>
                <w:tcPr>
                  <w:tcW w:w="758" w:type="dxa"/>
                  <w:tcBorders>
                    <w:top w:val="single" w:color="auto" w:sz="4" w:space="0"/>
                  </w:tcBorders>
                  <w:vAlign w:val="center"/>
                </w:tcPr>
                <w:p w14:paraId="35C7664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00" w:type="dxa"/>
                  <w:tcBorders>
                    <w:top w:val="single" w:color="auto" w:sz="4" w:space="0"/>
                  </w:tcBorders>
                  <w:vAlign w:val="center"/>
                </w:tcPr>
                <w:p w14:paraId="18551C0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0.12</w:t>
                  </w:r>
                </w:p>
              </w:tc>
              <w:tc>
                <w:tcPr>
                  <w:tcW w:w="2125" w:type="dxa"/>
                  <w:vMerge w:val="continue"/>
                  <w:tcBorders>
                    <w:right w:val="single" w:color="auto" w:sz="4" w:space="0"/>
                  </w:tcBorders>
                  <w:vAlign w:val="center"/>
                </w:tcPr>
                <w:p w14:paraId="7D2385C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p>
              </w:tc>
            </w:tr>
            <w:tr w14:paraId="3FAE7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4F43A39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605383B1">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2"/>
                      <w:sz w:val="21"/>
                      <w:szCs w:val="21"/>
                    </w:rPr>
                  </w:pPr>
                  <w:r>
                    <w:rPr>
                      <w:rFonts w:hint="eastAsia"/>
                      <w:bCs/>
                      <w:color w:val="FF0000"/>
                      <w:sz w:val="21"/>
                      <w:szCs w:val="21"/>
                      <w:lang w:val="en-US" w:eastAsia="zh-CN"/>
                    </w:rPr>
                    <w:t>废润滑油</w:t>
                  </w:r>
                </w:p>
              </w:tc>
              <w:tc>
                <w:tcPr>
                  <w:tcW w:w="1883" w:type="dxa"/>
                  <w:tcBorders>
                    <w:top w:val="single" w:color="auto" w:sz="4" w:space="0"/>
                  </w:tcBorders>
                  <w:vAlign w:val="center"/>
                </w:tcPr>
                <w:p w14:paraId="45EC39FF">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3"/>
                      <w:sz w:val="21"/>
                      <w:szCs w:val="21"/>
                    </w:rPr>
                  </w:pPr>
                  <w:r>
                    <w:rPr>
                      <w:rFonts w:hint="default" w:ascii="Times New Roman" w:hAnsi="Times New Roman" w:eastAsia="宋体" w:cs="Times New Roman"/>
                      <w:color w:val="FF0000"/>
                      <w:sz w:val="21"/>
                      <w:szCs w:val="21"/>
                      <w:lang w:val="en-US" w:eastAsia="zh-CN"/>
                    </w:rPr>
                    <w:t>危险废物</w:t>
                  </w:r>
                  <w:r>
                    <w:rPr>
                      <w:rFonts w:hint="default" w:ascii="Times New Roman" w:hAnsi="Times New Roman" w:eastAsia="宋体" w:cs="Times New Roman"/>
                      <w:color w:val="FF0000"/>
                      <w:sz w:val="21"/>
                      <w:szCs w:val="21"/>
                    </w:rPr>
                    <w:t>HW08</w:t>
                  </w:r>
                  <w:r>
                    <w:rPr>
                      <w:rFonts w:hint="default"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900-2</w:t>
                  </w:r>
                  <w:r>
                    <w:rPr>
                      <w:rFonts w:hint="eastAsia" w:ascii="Times New Roman" w:hAnsi="Times New Roman" w:cs="Times New Roman"/>
                      <w:color w:val="FF0000"/>
                      <w:sz w:val="21"/>
                      <w:szCs w:val="21"/>
                      <w:lang w:val="en-US" w:eastAsia="zh-CN"/>
                    </w:rPr>
                    <w:t>17</w:t>
                  </w:r>
                  <w:r>
                    <w:rPr>
                      <w:rFonts w:hint="default" w:ascii="Times New Roman" w:hAnsi="Times New Roman" w:eastAsia="宋体" w:cs="Times New Roman"/>
                      <w:color w:val="FF0000"/>
                      <w:sz w:val="21"/>
                      <w:szCs w:val="21"/>
                      <w:lang w:val="en-US" w:eastAsia="zh-CN"/>
                    </w:rPr>
                    <w:t>-08</w:t>
                  </w:r>
                  <w:r>
                    <w:rPr>
                      <w:rFonts w:hint="default" w:ascii="Times New Roman" w:hAnsi="Times New Roman" w:eastAsia="宋体" w:cs="Times New Roman"/>
                      <w:color w:val="FF0000"/>
                      <w:sz w:val="21"/>
                      <w:szCs w:val="21"/>
                      <w:lang w:eastAsia="zh-CN"/>
                    </w:rPr>
                    <w:t>）</w:t>
                  </w:r>
                </w:p>
              </w:tc>
              <w:tc>
                <w:tcPr>
                  <w:tcW w:w="725" w:type="dxa"/>
                  <w:tcBorders>
                    <w:top w:val="single" w:color="auto" w:sz="4" w:space="0"/>
                  </w:tcBorders>
                  <w:vAlign w:val="center"/>
                </w:tcPr>
                <w:p w14:paraId="4519B74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0.10</w:t>
                  </w:r>
                </w:p>
              </w:tc>
              <w:tc>
                <w:tcPr>
                  <w:tcW w:w="758" w:type="dxa"/>
                  <w:tcBorders>
                    <w:top w:val="single" w:color="auto" w:sz="4" w:space="0"/>
                  </w:tcBorders>
                  <w:vAlign w:val="center"/>
                </w:tcPr>
                <w:p w14:paraId="62932BEE">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w:t>
                  </w:r>
                </w:p>
              </w:tc>
              <w:tc>
                <w:tcPr>
                  <w:tcW w:w="1200" w:type="dxa"/>
                  <w:tcBorders>
                    <w:top w:val="single" w:color="auto" w:sz="4" w:space="0"/>
                  </w:tcBorders>
                  <w:vAlign w:val="center"/>
                </w:tcPr>
                <w:p w14:paraId="30384C9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0.10</w:t>
                  </w:r>
                </w:p>
              </w:tc>
              <w:tc>
                <w:tcPr>
                  <w:tcW w:w="2125" w:type="dxa"/>
                  <w:vMerge w:val="continue"/>
                  <w:tcBorders>
                    <w:right w:val="single" w:color="auto" w:sz="4" w:space="0"/>
                  </w:tcBorders>
                  <w:vAlign w:val="center"/>
                </w:tcPr>
                <w:p w14:paraId="5C57C98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p>
              </w:tc>
            </w:tr>
            <w:tr w14:paraId="3853A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5B108A8D">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66ABD49D">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1"/>
                      <w:szCs w:val="21"/>
                      <w:lang w:val="en-US" w:eastAsia="zh-CN"/>
                    </w:rPr>
                  </w:pPr>
                  <w:r>
                    <w:rPr>
                      <w:rFonts w:hint="eastAsia"/>
                      <w:bCs/>
                      <w:color w:val="FF0000"/>
                      <w:sz w:val="21"/>
                      <w:szCs w:val="21"/>
                      <w:lang w:val="en-US" w:eastAsia="zh-CN"/>
                    </w:rPr>
                    <w:t>废含油棉纱及手套</w:t>
                  </w:r>
                </w:p>
              </w:tc>
              <w:tc>
                <w:tcPr>
                  <w:tcW w:w="1883" w:type="dxa"/>
                  <w:tcBorders>
                    <w:top w:val="single" w:color="auto" w:sz="4" w:space="0"/>
                  </w:tcBorders>
                  <w:vAlign w:val="center"/>
                </w:tcPr>
                <w:p w14:paraId="26B4DFC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危险废物</w:t>
                  </w:r>
                  <w:r>
                    <w:rPr>
                      <w:rFonts w:hint="default" w:ascii="Times New Roman" w:hAnsi="Times New Roman" w:eastAsia="宋体" w:cs="Times New Roman"/>
                      <w:color w:val="FF0000"/>
                      <w:sz w:val="21"/>
                      <w:szCs w:val="21"/>
                    </w:rPr>
                    <w:t>HW</w:t>
                  </w:r>
                  <w:r>
                    <w:rPr>
                      <w:rFonts w:hint="eastAsia" w:ascii="Times New Roman" w:hAnsi="Times New Roman" w:eastAsia="宋体" w:cs="Times New Roman"/>
                      <w:color w:val="FF0000"/>
                      <w:sz w:val="21"/>
                      <w:szCs w:val="21"/>
                      <w:lang w:val="en-US" w:eastAsia="zh-CN"/>
                    </w:rPr>
                    <w:t>49</w:t>
                  </w:r>
                  <w:r>
                    <w:rPr>
                      <w:rFonts w:hint="default"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900-</w:t>
                  </w:r>
                  <w:r>
                    <w:rPr>
                      <w:rFonts w:hint="eastAsia" w:ascii="Times New Roman" w:hAnsi="Times New Roman" w:eastAsia="宋体" w:cs="Times New Roman"/>
                      <w:color w:val="FF0000"/>
                      <w:sz w:val="21"/>
                      <w:szCs w:val="21"/>
                      <w:lang w:val="en-US" w:eastAsia="zh-CN"/>
                    </w:rPr>
                    <w:t>041</w:t>
                  </w: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49</w:t>
                  </w:r>
                  <w:r>
                    <w:rPr>
                      <w:rFonts w:hint="default" w:ascii="Times New Roman" w:hAnsi="Times New Roman" w:eastAsia="宋体" w:cs="Times New Roman"/>
                      <w:color w:val="FF0000"/>
                      <w:sz w:val="21"/>
                      <w:szCs w:val="21"/>
                      <w:lang w:eastAsia="zh-CN"/>
                    </w:rPr>
                    <w:t>）</w:t>
                  </w:r>
                </w:p>
              </w:tc>
              <w:tc>
                <w:tcPr>
                  <w:tcW w:w="725" w:type="dxa"/>
                  <w:tcBorders>
                    <w:top w:val="single" w:color="auto" w:sz="4" w:space="0"/>
                  </w:tcBorders>
                  <w:vAlign w:val="center"/>
                </w:tcPr>
                <w:p w14:paraId="774F616C">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0.05</w:t>
                  </w:r>
                </w:p>
              </w:tc>
              <w:tc>
                <w:tcPr>
                  <w:tcW w:w="758" w:type="dxa"/>
                  <w:tcBorders>
                    <w:top w:val="single" w:color="auto" w:sz="4" w:space="0"/>
                  </w:tcBorders>
                  <w:vAlign w:val="center"/>
                </w:tcPr>
                <w:p w14:paraId="4C3BB71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1200" w:type="dxa"/>
                  <w:tcBorders>
                    <w:top w:val="single" w:color="auto" w:sz="4" w:space="0"/>
                  </w:tcBorders>
                  <w:vAlign w:val="center"/>
                </w:tcPr>
                <w:p w14:paraId="16666790">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0.05</w:t>
                  </w:r>
                </w:p>
              </w:tc>
              <w:tc>
                <w:tcPr>
                  <w:tcW w:w="2125" w:type="dxa"/>
                  <w:vMerge w:val="continue"/>
                  <w:tcBorders>
                    <w:right w:val="single" w:color="auto" w:sz="4" w:space="0"/>
                  </w:tcBorders>
                  <w:vAlign w:val="center"/>
                </w:tcPr>
                <w:p w14:paraId="57BEA18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p>
              </w:tc>
            </w:tr>
            <w:tr w14:paraId="53FC8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7F396809">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2AC536F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1"/>
                      <w:szCs w:val="21"/>
                      <w:lang w:val="en-US" w:eastAsia="zh-CN"/>
                    </w:rPr>
                  </w:pPr>
                  <w:r>
                    <w:rPr>
                      <w:rFonts w:hint="eastAsia"/>
                      <w:bCs/>
                      <w:color w:val="FF0000"/>
                      <w:sz w:val="21"/>
                      <w:szCs w:val="21"/>
                      <w:lang w:val="en-US" w:eastAsia="zh-CN"/>
                    </w:rPr>
                    <w:t>废润滑油桶</w:t>
                  </w:r>
                </w:p>
              </w:tc>
              <w:tc>
                <w:tcPr>
                  <w:tcW w:w="1883" w:type="dxa"/>
                  <w:tcBorders>
                    <w:top w:val="single" w:color="auto" w:sz="4" w:space="0"/>
                  </w:tcBorders>
                  <w:vAlign w:val="center"/>
                </w:tcPr>
                <w:p w14:paraId="18208893">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危险废物</w:t>
                  </w:r>
                  <w:r>
                    <w:rPr>
                      <w:rFonts w:hint="default" w:ascii="Times New Roman" w:hAnsi="Times New Roman" w:eastAsia="宋体" w:cs="Times New Roman"/>
                      <w:color w:val="FF0000"/>
                      <w:sz w:val="21"/>
                      <w:szCs w:val="21"/>
                    </w:rPr>
                    <w:t>HW</w:t>
                  </w:r>
                  <w:r>
                    <w:rPr>
                      <w:rFonts w:hint="eastAsia" w:ascii="Times New Roman" w:hAnsi="Times New Roman" w:eastAsia="宋体" w:cs="Times New Roman"/>
                      <w:color w:val="FF0000"/>
                      <w:sz w:val="21"/>
                      <w:szCs w:val="21"/>
                      <w:lang w:val="en-US" w:eastAsia="zh-CN"/>
                    </w:rPr>
                    <w:t>08</w:t>
                  </w:r>
                  <w:r>
                    <w:rPr>
                      <w:rFonts w:hint="default"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900-</w:t>
                  </w:r>
                  <w:r>
                    <w:rPr>
                      <w:rFonts w:hint="eastAsia" w:ascii="Times New Roman" w:hAnsi="Times New Roman" w:eastAsia="宋体" w:cs="Times New Roman"/>
                      <w:color w:val="FF0000"/>
                      <w:sz w:val="21"/>
                      <w:szCs w:val="21"/>
                      <w:lang w:val="en-US" w:eastAsia="zh-CN"/>
                    </w:rPr>
                    <w:t>249</w:t>
                  </w: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08</w:t>
                  </w:r>
                  <w:r>
                    <w:rPr>
                      <w:rFonts w:hint="default" w:ascii="Times New Roman" w:hAnsi="Times New Roman" w:eastAsia="宋体" w:cs="Times New Roman"/>
                      <w:color w:val="FF0000"/>
                      <w:sz w:val="21"/>
                      <w:szCs w:val="21"/>
                      <w:lang w:eastAsia="zh-CN"/>
                    </w:rPr>
                    <w:t>）</w:t>
                  </w:r>
                </w:p>
              </w:tc>
              <w:tc>
                <w:tcPr>
                  <w:tcW w:w="725" w:type="dxa"/>
                  <w:tcBorders>
                    <w:top w:val="single" w:color="auto" w:sz="4" w:space="0"/>
                  </w:tcBorders>
                  <w:vAlign w:val="center"/>
                </w:tcPr>
                <w:p w14:paraId="3EDBF26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0.02</w:t>
                  </w:r>
                </w:p>
              </w:tc>
              <w:tc>
                <w:tcPr>
                  <w:tcW w:w="758" w:type="dxa"/>
                  <w:tcBorders>
                    <w:top w:val="single" w:color="auto" w:sz="4" w:space="0"/>
                  </w:tcBorders>
                  <w:vAlign w:val="center"/>
                </w:tcPr>
                <w:p w14:paraId="39660E25">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1200" w:type="dxa"/>
                  <w:tcBorders>
                    <w:top w:val="single" w:color="auto" w:sz="4" w:space="0"/>
                  </w:tcBorders>
                  <w:vAlign w:val="center"/>
                </w:tcPr>
                <w:p w14:paraId="612688C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0.02</w:t>
                  </w:r>
                </w:p>
              </w:tc>
              <w:tc>
                <w:tcPr>
                  <w:tcW w:w="2125" w:type="dxa"/>
                  <w:vMerge w:val="continue"/>
                  <w:tcBorders>
                    <w:right w:val="single" w:color="auto" w:sz="4" w:space="0"/>
                  </w:tcBorders>
                  <w:vAlign w:val="center"/>
                </w:tcPr>
                <w:p w14:paraId="607C62C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p>
              </w:tc>
            </w:tr>
            <w:tr w14:paraId="13DCE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5" w:type="dxa"/>
                  <w:vMerge w:val="continue"/>
                  <w:tcBorders>
                    <w:left w:val="single" w:color="auto" w:sz="4" w:space="0"/>
                  </w:tcBorders>
                  <w:vAlign w:val="center"/>
                </w:tcPr>
                <w:p w14:paraId="7948EA8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rPr>
                  </w:pPr>
                </w:p>
              </w:tc>
              <w:tc>
                <w:tcPr>
                  <w:tcW w:w="851" w:type="dxa"/>
                  <w:tcBorders>
                    <w:top w:val="single" w:color="auto" w:sz="4" w:space="0"/>
                  </w:tcBorders>
                  <w:vAlign w:val="center"/>
                </w:tcPr>
                <w:p w14:paraId="048FB19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1"/>
                      <w:szCs w:val="21"/>
                      <w:lang w:val="en-US" w:eastAsia="zh-CN"/>
                    </w:rPr>
                  </w:pPr>
                  <w:r>
                    <w:rPr>
                      <w:rFonts w:hint="eastAsia"/>
                      <w:bCs/>
                      <w:color w:val="FF0000"/>
                      <w:sz w:val="21"/>
                      <w:szCs w:val="21"/>
                      <w:lang w:val="en-US" w:eastAsia="zh-CN"/>
                    </w:rPr>
                    <w:t>污水处理站污泥</w:t>
                  </w:r>
                </w:p>
              </w:tc>
              <w:tc>
                <w:tcPr>
                  <w:tcW w:w="1883" w:type="dxa"/>
                  <w:tcBorders>
                    <w:top w:val="single" w:color="auto" w:sz="4" w:space="0"/>
                  </w:tcBorders>
                  <w:vAlign w:val="center"/>
                </w:tcPr>
                <w:p w14:paraId="54C8BAE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危险废物HW17（336-064-17）</w:t>
                  </w:r>
                </w:p>
              </w:tc>
              <w:tc>
                <w:tcPr>
                  <w:tcW w:w="725" w:type="dxa"/>
                  <w:tcBorders>
                    <w:top w:val="single" w:color="auto" w:sz="4" w:space="0"/>
                  </w:tcBorders>
                  <w:vAlign w:val="center"/>
                </w:tcPr>
                <w:p w14:paraId="186BF03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0.027</w:t>
                  </w:r>
                </w:p>
              </w:tc>
              <w:tc>
                <w:tcPr>
                  <w:tcW w:w="758" w:type="dxa"/>
                  <w:tcBorders>
                    <w:top w:val="single" w:color="auto" w:sz="4" w:space="0"/>
                  </w:tcBorders>
                  <w:vAlign w:val="center"/>
                </w:tcPr>
                <w:p w14:paraId="42BE3C49">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1200" w:type="dxa"/>
                  <w:tcBorders>
                    <w:top w:val="single" w:color="auto" w:sz="4" w:space="0"/>
                  </w:tcBorders>
                  <w:vAlign w:val="center"/>
                </w:tcPr>
                <w:p w14:paraId="5A39660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0.027</w:t>
                  </w:r>
                </w:p>
              </w:tc>
              <w:tc>
                <w:tcPr>
                  <w:tcW w:w="2125" w:type="dxa"/>
                  <w:vMerge w:val="continue"/>
                  <w:tcBorders>
                    <w:right w:val="single" w:color="auto" w:sz="4" w:space="0"/>
                  </w:tcBorders>
                  <w:vAlign w:val="center"/>
                </w:tcPr>
                <w:p w14:paraId="5D85F3E8">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eastAsia="zh-CN"/>
                    </w:rPr>
                  </w:pPr>
                </w:p>
              </w:tc>
            </w:tr>
            <w:tr w14:paraId="11B6B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635" w:type="dxa"/>
                  <w:tcBorders>
                    <w:top w:val="single" w:color="auto" w:sz="4" w:space="0"/>
                  </w:tcBorders>
                  <w:vAlign w:val="center"/>
                </w:tcPr>
                <w:p w14:paraId="040B45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生活区</w:t>
                  </w:r>
                </w:p>
              </w:tc>
              <w:tc>
                <w:tcPr>
                  <w:tcW w:w="851" w:type="dxa"/>
                  <w:tcBorders>
                    <w:top w:val="single" w:color="auto" w:sz="4" w:space="0"/>
                  </w:tcBorders>
                  <w:vAlign w:val="center"/>
                </w:tcPr>
                <w:p w14:paraId="77F4127E">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5"/>
                      <w:sz w:val="21"/>
                      <w:szCs w:val="21"/>
                      <w:lang w:val="en-US" w:eastAsia="zh-CN"/>
                    </w:rPr>
                  </w:pPr>
                  <w:r>
                    <w:rPr>
                      <w:rFonts w:hint="default" w:ascii="Times New Roman" w:hAnsi="Times New Roman" w:eastAsia="宋体" w:cs="Times New Roman"/>
                      <w:spacing w:val="5"/>
                      <w:sz w:val="21"/>
                      <w:szCs w:val="21"/>
                      <w:lang w:val="en-US" w:eastAsia="zh-CN"/>
                    </w:rPr>
                    <w:t>生活垃圾</w:t>
                  </w:r>
                </w:p>
              </w:tc>
              <w:tc>
                <w:tcPr>
                  <w:tcW w:w="1883" w:type="dxa"/>
                  <w:tcBorders>
                    <w:top w:val="single" w:color="auto" w:sz="4" w:space="0"/>
                  </w:tcBorders>
                  <w:vAlign w:val="center"/>
                </w:tcPr>
                <w:p w14:paraId="29AA66A2">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860047"/>
                      <w:spacing w:val="-3"/>
                      <w:sz w:val="21"/>
                      <w:szCs w:val="21"/>
                      <w:lang w:val="en-US" w:eastAsia="zh-CN"/>
                    </w:rPr>
                  </w:pPr>
                  <w:r>
                    <w:rPr>
                      <w:rFonts w:hint="default" w:ascii="Times New Roman" w:hAnsi="Times New Roman" w:eastAsia="宋体" w:cs="Times New Roman"/>
                      <w:color w:val="860047"/>
                      <w:spacing w:val="-3"/>
                      <w:sz w:val="21"/>
                      <w:szCs w:val="21"/>
                      <w:lang w:val="en-US" w:eastAsia="zh-CN"/>
                    </w:rPr>
                    <w:t>/</w:t>
                  </w:r>
                </w:p>
              </w:tc>
              <w:tc>
                <w:tcPr>
                  <w:tcW w:w="725" w:type="dxa"/>
                  <w:tcBorders>
                    <w:top w:val="single" w:color="auto" w:sz="4" w:space="0"/>
                  </w:tcBorders>
                  <w:vAlign w:val="center"/>
                </w:tcPr>
                <w:p w14:paraId="0BA5F2E6">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75</w:t>
                  </w:r>
                </w:p>
              </w:tc>
              <w:tc>
                <w:tcPr>
                  <w:tcW w:w="758" w:type="dxa"/>
                  <w:tcBorders>
                    <w:top w:val="single" w:color="auto" w:sz="4" w:space="0"/>
                  </w:tcBorders>
                  <w:vAlign w:val="center"/>
                </w:tcPr>
                <w:p w14:paraId="45051D8A">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垃圾桶分类收集</w:t>
                  </w:r>
                </w:p>
              </w:tc>
              <w:tc>
                <w:tcPr>
                  <w:tcW w:w="1200" w:type="dxa"/>
                  <w:tcBorders>
                    <w:top w:val="single" w:color="auto" w:sz="4" w:space="0"/>
                  </w:tcBorders>
                  <w:vAlign w:val="center"/>
                </w:tcPr>
                <w:p w14:paraId="23CF409E">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75</w:t>
                  </w:r>
                </w:p>
              </w:tc>
              <w:tc>
                <w:tcPr>
                  <w:tcW w:w="2125" w:type="dxa"/>
                  <w:tcBorders>
                    <w:top w:val="single" w:color="auto" w:sz="4" w:space="0"/>
                  </w:tcBorders>
                  <w:vAlign w:val="center"/>
                </w:tcPr>
                <w:p w14:paraId="3B91E92B">
                  <w:pPr>
                    <w:pStyle w:val="6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1"/>
                      <w:sz w:val="21"/>
                      <w:szCs w:val="21"/>
                      <w:lang w:val="en-US" w:eastAsia="zh-CN"/>
                    </w:rPr>
                  </w:pPr>
                  <w:r>
                    <w:rPr>
                      <w:rFonts w:hint="default" w:ascii="Times New Roman" w:hAnsi="Times New Roman" w:eastAsia="宋体" w:cs="Times New Roman"/>
                      <w:spacing w:val="-1"/>
                      <w:sz w:val="21"/>
                      <w:szCs w:val="21"/>
                      <w:lang w:val="en-US" w:eastAsia="zh-CN"/>
                    </w:rPr>
                    <w:t>分类收集后由环卫部门统一清运处理</w:t>
                  </w:r>
                </w:p>
              </w:tc>
            </w:tr>
          </w:tbl>
          <w:p w14:paraId="5104B96D">
            <w:pPr>
              <w:keepNext/>
              <w:keepLines w:val="0"/>
              <w:suppressLineNumbers w:val="0"/>
              <w:spacing w:before="0" w:beforeAutospacing="0" w:after="0" w:afterAutospacing="0" w:line="360" w:lineRule="auto"/>
              <w:ind w:left="0" w:right="0"/>
              <w:jc w:val="center"/>
              <w:outlineLvl w:val="1"/>
              <w:rPr>
                <w:rFonts w:hint="eastAsia"/>
                <w:b/>
                <w:color w:val="000000"/>
                <w:sz w:val="24"/>
              </w:rPr>
            </w:pPr>
            <w:r>
              <w:rPr>
                <w:rFonts w:hint="eastAsia"/>
                <w:b/>
                <w:color w:val="000000"/>
                <w:sz w:val="24"/>
              </w:rPr>
              <w:t>表4-</w:t>
            </w:r>
            <w:r>
              <w:rPr>
                <w:rFonts w:hint="eastAsia"/>
                <w:b/>
                <w:color w:val="000000"/>
                <w:sz w:val="24"/>
                <w:lang w:val="en-US" w:eastAsia="zh-CN"/>
              </w:rPr>
              <w:t>13</w:t>
            </w:r>
            <w:r>
              <w:rPr>
                <w:rFonts w:hint="eastAsia"/>
                <w:b/>
                <w:color w:val="000000"/>
                <w:sz w:val="24"/>
              </w:rPr>
              <w:t xml:space="preserve"> </w:t>
            </w:r>
            <w:r>
              <w:rPr>
                <w:rFonts w:hint="eastAsia"/>
                <w:b/>
                <w:color w:val="000000"/>
                <w:sz w:val="24"/>
                <w:lang w:val="en-US" w:eastAsia="zh-CN"/>
              </w:rPr>
              <w:t>本</w:t>
            </w:r>
            <w:r>
              <w:rPr>
                <w:rFonts w:hint="eastAsia"/>
                <w:b/>
                <w:color w:val="000000"/>
                <w:sz w:val="24"/>
              </w:rPr>
              <w:t>项目新增危险废物汇总表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06"/>
              <w:gridCol w:w="1030"/>
              <w:gridCol w:w="918"/>
              <w:gridCol w:w="1205"/>
              <w:gridCol w:w="882"/>
              <w:gridCol w:w="502"/>
              <w:gridCol w:w="716"/>
              <w:gridCol w:w="1557"/>
            </w:tblGrid>
            <w:tr w14:paraId="6917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noWrap w:val="0"/>
                  <w:vAlign w:val="center"/>
                </w:tcPr>
                <w:p w14:paraId="45EBB9D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序号</w:t>
                  </w:r>
                </w:p>
              </w:tc>
              <w:tc>
                <w:tcPr>
                  <w:tcW w:w="806" w:type="dxa"/>
                  <w:noWrap w:val="0"/>
                  <w:vAlign w:val="center"/>
                </w:tcPr>
                <w:p w14:paraId="4C8754B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危险废物名称</w:t>
                  </w:r>
                </w:p>
              </w:tc>
              <w:tc>
                <w:tcPr>
                  <w:tcW w:w="1030" w:type="dxa"/>
                  <w:noWrap w:val="0"/>
                  <w:vAlign w:val="center"/>
                </w:tcPr>
                <w:p w14:paraId="5305A36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危险废物类别</w:t>
                  </w:r>
                </w:p>
              </w:tc>
              <w:tc>
                <w:tcPr>
                  <w:tcW w:w="918" w:type="dxa"/>
                  <w:noWrap w:val="0"/>
                  <w:vAlign w:val="center"/>
                </w:tcPr>
                <w:p w14:paraId="08BF17D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危险废物代码</w:t>
                  </w:r>
                </w:p>
              </w:tc>
              <w:tc>
                <w:tcPr>
                  <w:tcW w:w="1205" w:type="dxa"/>
                  <w:noWrap w:val="0"/>
                  <w:vAlign w:val="center"/>
                </w:tcPr>
                <w:p w14:paraId="79F2975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产生量（吨/年）</w:t>
                  </w:r>
                </w:p>
              </w:tc>
              <w:tc>
                <w:tcPr>
                  <w:tcW w:w="882" w:type="dxa"/>
                  <w:noWrap w:val="0"/>
                  <w:vAlign w:val="center"/>
                </w:tcPr>
                <w:p w14:paraId="1E3F189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产生工序及装置</w:t>
                  </w:r>
                </w:p>
              </w:tc>
              <w:tc>
                <w:tcPr>
                  <w:tcW w:w="502" w:type="dxa"/>
                  <w:noWrap w:val="0"/>
                  <w:vAlign w:val="center"/>
                </w:tcPr>
                <w:p w14:paraId="0FDD6B5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形态</w:t>
                  </w:r>
                </w:p>
              </w:tc>
              <w:tc>
                <w:tcPr>
                  <w:tcW w:w="716" w:type="dxa"/>
                  <w:noWrap w:val="0"/>
                  <w:vAlign w:val="center"/>
                </w:tcPr>
                <w:p w14:paraId="088AD5F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危险</w:t>
                  </w:r>
                </w:p>
                <w:p w14:paraId="2D7401D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特性</w:t>
                  </w:r>
                </w:p>
              </w:tc>
              <w:tc>
                <w:tcPr>
                  <w:tcW w:w="1557" w:type="dxa"/>
                  <w:noWrap w:val="0"/>
                  <w:vAlign w:val="center"/>
                </w:tcPr>
                <w:p w14:paraId="0EC4ACD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b/>
                      <w:bCs/>
                      <w:color w:val="000000"/>
                      <w:kern w:val="0"/>
                      <w:sz w:val="21"/>
                      <w:szCs w:val="21"/>
                    </w:rPr>
                  </w:pPr>
                  <w:r>
                    <w:rPr>
                      <w:rFonts w:hint="default"/>
                      <w:b/>
                      <w:bCs/>
                      <w:color w:val="000000"/>
                      <w:kern w:val="0"/>
                      <w:sz w:val="21"/>
                      <w:szCs w:val="21"/>
                    </w:rPr>
                    <w:t>污染防治措施</w:t>
                  </w:r>
                </w:p>
              </w:tc>
            </w:tr>
            <w:tr w14:paraId="08F5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shd w:val="clear" w:color="auto" w:fill="auto"/>
                  <w:noWrap w:val="0"/>
                  <w:vAlign w:val="center"/>
                </w:tcPr>
                <w:p w14:paraId="39E6FFAE">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1</w:t>
                  </w:r>
                </w:p>
              </w:tc>
              <w:tc>
                <w:tcPr>
                  <w:tcW w:w="806" w:type="dxa"/>
                  <w:shd w:val="clear" w:color="auto" w:fill="auto"/>
                  <w:noWrap w:val="0"/>
                  <w:vAlign w:val="center"/>
                </w:tcPr>
                <w:p w14:paraId="4211404A">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FF0000"/>
                      <w:kern w:val="0"/>
                      <w:sz w:val="21"/>
                      <w:szCs w:val="21"/>
                      <w:lang w:val="en-US" w:eastAsia="zh-CN" w:bidi="ar-SA"/>
                    </w:rPr>
                  </w:pPr>
                  <w:r>
                    <w:rPr>
                      <w:rFonts w:hint="eastAsia"/>
                      <w:color w:val="FF0000"/>
                      <w:sz w:val="21"/>
                      <w:szCs w:val="21"/>
                    </w:rPr>
                    <w:t>废</w:t>
                  </w:r>
                  <w:r>
                    <w:rPr>
                      <w:rFonts w:hint="eastAsia"/>
                      <w:color w:val="FF0000"/>
                      <w:sz w:val="21"/>
                      <w:szCs w:val="21"/>
                      <w:lang w:val="en-US" w:eastAsia="zh-CN"/>
                    </w:rPr>
                    <w:t>包装桶</w:t>
                  </w:r>
                </w:p>
              </w:tc>
              <w:tc>
                <w:tcPr>
                  <w:tcW w:w="1030" w:type="dxa"/>
                  <w:shd w:val="clear" w:color="auto" w:fill="auto"/>
                  <w:noWrap w:val="0"/>
                  <w:vAlign w:val="center"/>
                </w:tcPr>
                <w:p w14:paraId="7AB78054">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color w:val="FF0000"/>
                      <w:sz w:val="21"/>
                      <w:szCs w:val="21"/>
                    </w:rPr>
                    <w:t>HW</w:t>
                  </w:r>
                  <w:r>
                    <w:rPr>
                      <w:rFonts w:hint="eastAsia"/>
                      <w:color w:val="FF0000"/>
                      <w:sz w:val="21"/>
                      <w:szCs w:val="21"/>
                      <w:lang w:val="en-US" w:eastAsia="zh-CN"/>
                    </w:rPr>
                    <w:t>49</w:t>
                  </w:r>
                </w:p>
              </w:tc>
              <w:tc>
                <w:tcPr>
                  <w:tcW w:w="918" w:type="dxa"/>
                  <w:shd w:val="clear" w:color="auto" w:fill="auto"/>
                  <w:noWrap w:val="0"/>
                  <w:vAlign w:val="center"/>
                </w:tcPr>
                <w:p w14:paraId="7EDFA89C">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color w:val="FF0000"/>
                      <w:sz w:val="21"/>
                      <w:szCs w:val="21"/>
                    </w:rPr>
                    <w:t>900-</w:t>
                  </w:r>
                  <w:r>
                    <w:rPr>
                      <w:rFonts w:hint="eastAsia"/>
                      <w:color w:val="FF0000"/>
                      <w:sz w:val="21"/>
                      <w:szCs w:val="21"/>
                      <w:lang w:val="en-US" w:eastAsia="zh-CN"/>
                    </w:rPr>
                    <w:t>041</w:t>
                  </w:r>
                  <w:r>
                    <w:rPr>
                      <w:rFonts w:hint="default"/>
                      <w:color w:val="FF0000"/>
                      <w:sz w:val="21"/>
                      <w:szCs w:val="21"/>
                    </w:rPr>
                    <w:t>-</w:t>
                  </w:r>
                  <w:r>
                    <w:rPr>
                      <w:rFonts w:hint="eastAsia"/>
                      <w:color w:val="FF0000"/>
                      <w:sz w:val="21"/>
                      <w:szCs w:val="21"/>
                      <w:lang w:val="en-US" w:eastAsia="zh-CN"/>
                    </w:rPr>
                    <w:t>49</w:t>
                  </w:r>
                </w:p>
              </w:tc>
              <w:tc>
                <w:tcPr>
                  <w:tcW w:w="1205"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62C422EB">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olor w:val="000000"/>
                      <w:sz w:val="21"/>
                      <w:szCs w:val="21"/>
                    </w:rPr>
                    <w:t>0</w:t>
                  </w:r>
                  <w:r>
                    <w:rPr>
                      <w:rFonts w:hint="default"/>
                      <w:color w:val="000000"/>
                      <w:sz w:val="21"/>
                      <w:szCs w:val="21"/>
                    </w:rPr>
                    <w:t>.</w:t>
                  </w:r>
                  <w:r>
                    <w:rPr>
                      <w:rFonts w:hint="eastAsia"/>
                      <w:color w:val="000000"/>
                      <w:sz w:val="21"/>
                      <w:szCs w:val="21"/>
                      <w:lang w:val="en-US" w:eastAsia="zh-CN"/>
                    </w:rPr>
                    <w:t>01</w:t>
                  </w:r>
                  <w:r>
                    <w:rPr>
                      <w:rFonts w:hint="default"/>
                      <w:color w:val="000000"/>
                      <w:sz w:val="21"/>
                      <w:szCs w:val="21"/>
                    </w:rPr>
                    <w:t>t/a</w:t>
                  </w:r>
                </w:p>
              </w:tc>
              <w:tc>
                <w:tcPr>
                  <w:tcW w:w="882" w:type="dxa"/>
                  <w:noWrap w:val="0"/>
                  <w:vAlign w:val="center"/>
                </w:tcPr>
                <w:p w14:paraId="07707E5B">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原料包装</w:t>
                  </w:r>
                </w:p>
              </w:tc>
              <w:tc>
                <w:tcPr>
                  <w:tcW w:w="502" w:type="dxa"/>
                  <w:noWrap w:val="0"/>
                  <w:vAlign w:val="center"/>
                </w:tcPr>
                <w:p w14:paraId="11EA8ED5">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eastAsia"/>
                      <w:color w:val="000000"/>
                      <w:sz w:val="21"/>
                      <w:szCs w:val="21"/>
                    </w:rPr>
                  </w:pPr>
                  <w:r>
                    <w:rPr>
                      <w:rFonts w:hint="eastAsia"/>
                      <w:color w:val="000000"/>
                      <w:sz w:val="21"/>
                      <w:szCs w:val="21"/>
                      <w:lang w:val="en-US" w:eastAsia="zh-CN"/>
                    </w:rPr>
                    <w:t>固态</w:t>
                  </w:r>
                </w:p>
              </w:tc>
              <w:tc>
                <w:tcPr>
                  <w:tcW w:w="716" w:type="dxa"/>
                  <w:tcBorders>
                    <w:top w:val="single" w:color="000000" w:sz="2" w:space="0"/>
                    <w:left w:val="single" w:color="000000" w:sz="2" w:space="0"/>
                    <w:bottom w:val="single" w:color="000000" w:sz="2" w:space="0"/>
                  </w:tcBorders>
                  <w:noWrap w:val="0"/>
                  <w:vAlign w:val="center"/>
                </w:tcPr>
                <w:p w14:paraId="41FF307E">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T/In</w:t>
                  </w:r>
                </w:p>
              </w:tc>
              <w:tc>
                <w:tcPr>
                  <w:tcW w:w="1557" w:type="dxa"/>
                  <w:vMerge w:val="restart"/>
                  <w:noWrap w:val="0"/>
                  <w:vAlign w:val="center"/>
                </w:tcPr>
                <w:p w14:paraId="6D48C11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color w:val="000000"/>
                      <w:sz w:val="21"/>
                      <w:szCs w:val="21"/>
                    </w:rPr>
                  </w:pPr>
                  <w:r>
                    <w:rPr>
                      <w:rFonts w:hint="eastAsia" w:cs="Times New Roman"/>
                      <w:color w:val="FF0000"/>
                      <w:sz w:val="21"/>
                      <w:szCs w:val="21"/>
                      <w:lang w:val="en-US" w:eastAsia="zh-CN"/>
                    </w:rPr>
                    <w:t>分区分类</w:t>
                  </w:r>
                  <w:r>
                    <w:rPr>
                      <w:rFonts w:hint="default" w:ascii="Times New Roman" w:hAnsi="Times New Roman" w:eastAsia="宋体" w:cs="Times New Roman"/>
                      <w:color w:val="FF0000"/>
                      <w:sz w:val="21"/>
                      <w:szCs w:val="21"/>
                      <w:lang w:val="en-US" w:eastAsia="zh-CN"/>
                    </w:rPr>
                    <w:t>暂存于危废贮存库，</w:t>
                  </w:r>
                  <w:r>
                    <w:rPr>
                      <w:rFonts w:hint="eastAsia" w:cs="Times New Roman"/>
                      <w:color w:val="FF0000"/>
                      <w:sz w:val="21"/>
                      <w:szCs w:val="21"/>
                      <w:lang w:val="en-US" w:eastAsia="zh-CN"/>
                    </w:rPr>
                    <w:t>定期</w:t>
                  </w:r>
                  <w:r>
                    <w:rPr>
                      <w:rFonts w:hint="default" w:ascii="Times New Roman" w:hAnsi="Times New Roman" w:eastAsia="宋体" w:cs="Times New Roman"/>
                      <w:color w:val="FF0000"/>
                      <w:sz w:val="21"/>
                      <w:szCs w:val="21"/>
                      <w:lang w:val="en-US" w:eastAsia="zh-CN"/>
                    </w:rPr>
                    <w:t>交由有资质单位处置</w:t>
                  </w:r>
                </w:p>
              </w:tc>
            </w:tr>
            <w:tr w14:paraId="6075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shd w:val="clear" w:color="auto" w:fill="auto"/>
                  <w:noWrap w:val="0"/>
                  <w:vAlign w:val="center"/>
                </w:tcPr>
                <w:p w14:paraId="1DD72CF8">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2</w:t>
                  </w:r>
                </w:p>
              </w:tc>
              <w:tc>
                <w:tcPr>
                  <w:tcW w:w="806" w:type="dxa"/>
                  <w:noWrap w:val="0"/>
                  <w:vAlign w:val="center"/>
                </w:tcPr>
                <w:p w14:paraId="785DA69A">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eastAsia="宋体"/>
                      <w:color w:val="000000"/>
                      <w:sz w:val="21"/>
                      <w:szCs w:val="21"/>
                      <w:lang w:eastAsia="zh-CN"/>
                    </w:rPr>
                  </w:pPr>
                  <w:r>
                    <w:rPr>
                      <w:rFonts w:hint="eastAsia"/>
                      <w:color w:val="000000"/>
                      <w:sz w:val="21"/>
                      <w:szCs w:val="21"/>
                    </w:rPr>
                    <w:t>废</w:t>
                  </w:r>
                  <w:r>
                    <w:rPr>
                      <w:rFonts w:hint="eastAsia"/>
                      <w:color w:val="000000"/>
                      <w:sz w:val="21"/>
                      <w:szCs w:val="21"/>
                      <w:lang w:val="en-US" w:eastAsia="zh-CN"/>
                    </w:rPr>
                    <w:t>活性炭</w:t>
                  </w:r>
                </w:p>
              </w:tc>
              <w:tc>
                <w:tcPr>
                  <w:tcW w:w="1030" w:type="dxa"/>
                  <w:noWrap w:val="0"/>
                  <w:vAlign w:val="center"/>
                </w:tcPr>
                <w:p w14:paraId="7EFF1C35">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HW49</w:t>
                  </w:r>
                </w:p>
              </w:tc>
              <w:tc>
                <w:tcPr>
                  <w:tcW w:w="918" w:type="dxa"/>
                  <w:noWrap w:val="0"/>
                  <w:vAlign w:val="center"/>
                </w:tcPr>
                <w:p w14:paraId="256EF1D1">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900-</w:t>
                  </w:r>
                  <w:r>
                    <w:rPr>
                      <w:rFonts w:hint="eastAsia"/>
                      <w:color w:val="000000"/>
                      <w:sz w:val="21"/>
                      <w:szCs w:val="21"/>
                      <w:lang w:val="en-US" w:eastAsia="zh-CN"/>
                    </w:rPr>
                    <w:t>039</w:t>
                  </w:r>
                  <w:r>
                    <w:rPr>
                      <w:rFonts w:hint="default"/>
                      <w:color w:val="000000"/>
                      <w:sz w:val="21"/>
                      <w:szCs w:val="21"/>
                    </w:rPr>
                    <w:t>-49</w:t>
                  </w:r>
                </w:p>
              </w:tc>
              <w:tc>
                <w:tcPr>
                  <w:tcW w:w="1205" w:type="dxa"/>
                  <w:tcBorders>
                    <w:top w:val="single" w:color="000000" w:sz="2" w:space="0"/>
                    <w:left w:val="single" w:color="000000" w:sz="2" w:space="0"/>
                    <w:bottom w:val="single" w:color="000000" w:sz="2" w:space="0"/>
                    <w:right w:val="single" w:color="000000" w:sz="2" w:space="0"/>
                  </w:tcBorders>
                  <w:noWrap w:val="0"/>
                  <w:vAlign w:val="center"/>
                </w:tcPr>
                <w:p w14:paraId="1A11F8B6">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color w:val="000000"/>
                      <w:sz w:val="21"/>
                      <w:szCs w:val="21"/>
                    </w:rPr>
                  </w:pPr>
                  <w:r>
                    <w:rPr>
                      <w:rFonts w:hint="eastAsia"/>
                      <w:color w:val="000000"/>
                      <w:sz w:val="21"/>
                      <w:szCs w:val="21"/>
                    </w:rPr>
                    <w:t>0</w:t>
                  </w:r>
                  <w:r>
                    <w:rPr>
                      <w:rFonts w:hint="default"/>
                      <w:color w:val="000000"/>
                      <w:sz w:val="21"/>
                      <w:szCs w:val="21"/>
                    </w:rPr>
                    <w:t>.</w:t>
                  </w:r>
                  <w:r>
                    <w:rPr>
                      <w:rFonts w:hint="eastAsia"/>
                      <w:color w:val="000000"/>
                      <w:sz w:val="21"/>
                      <w:szCs w:val="21"/>
                      <w:lang w:val="en-US" w:eastAsia="zh-CN"/>
                    </w:rPr>
                    <w:t>12</w:t>
                  </w:r>
                  <w:r>
                    <w:rPr>
                      <w:rFonts w:hint="default"/>
                      <w:color w:val="000000"/>
                      <w:sz w:val="21"/>
                      <w:szCs w:val="21"/>
                    </w:rPr>
                    <w:t>t/a</w:t>
                  </w:r>
                </w:p>
              </w:tc>
              <w:tc>
                <w:tcPr>
                  <w:tcW w:w="882" w:type="dxa"/>
                  <w:noWrap w:val="0"/>
                  <w:vAlign w:val="center"/>
                </w:tcPr>
                <w:p w14:paraId="2642225F">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right="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废气处理装置</w:t>
                  </w:r>
                </w:p>
              </w:tc>
              <w:tc>
                <w:tcPr>
                  <w:tcW w:w="502" w:type="dxa"/>
                  <w:noWrap w:val="0"/>
                  <w:vAlign w:val="center"/>
                </w:tcPr>
                <w:p w14:paraId="44884DCD">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固态</w:t>
                  </w:r>
                </w:p>
              </w:tc>
              <w:tc>
                <w:tcPr>
                  <w:tcW w:w="716" w:type="dxa"/>
                  <w:tcBorders>
                    <w:top w:val="single" w:color="000000" w:sz="2" w:space="0"/>
                    <w:left w:val="single" w:color="000000" w:sz="2" w:space="0"/>
                    <w:bottom w:val="single" w:color="000000" w:sz="2" w:space="0"/>
                  </w:tcBorders>
                  <w:noWrap w:val="0"/>
                  <w:vAlign w:val="center"/>
                </w:tcPr>
                <w:p w14:paraId="245F1727">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000000"/>
                      <w:sz w:val="21"/>
                      <w:szCs w:val="21"/>
                    </w:rPr>
                  </w:pPr>
                  <w:r>
                    <w:rPr>
                      <w:rFonts w:hint="default"/>
                      <w:color w:val="000000"/>
                      <w:sz w:val="21"/>
                      <w:szCs w:val="21"/>
                    </w:rPr>
                    <w:t>T</w:t>
                  </w:r>
                </w:p>
              </w:tc>
              <w:tc>
                <w:tcPr>
                  <w:tcW w:w="1557" w:type="dxa"/>
                  <w:vMerge w:val="continue"/>
                  <w:noWrap w:val="0"/>
                  <w:vAlign w:val="center"/>
                </w:tcPr>
                <w:p w14:paraId="432F213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000000"/>
                      <w:sz w:val="21"/>
                      <w:szCs w:val="21"/>
                    </w:rPr>
                  </w:pPr>
                </w:p>
              </w:tc>
            </w:tr>
            <w:tr w14:paraId="5563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shd w:val="clear" w:color="auto" w:fill="auto"/>
                  <w:noWrap w:val="0"/>
                  <w:vAlign w:val="center"/>
                </w:tcPr>
                <w:p w14:paraId="2D010390">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cs="Times New Roman"/>
                      <w:color w:val="FF0000"/>
                      <w:kern w:val="0"/>
                      <w:sz w:val="21"/>
                      <w:szCs w:val="21"/>
                      <w:lang w:val="en-US" w:eastAsia="zh-CN" w:bidi="ar-SA"/>
                    </w:rPr>
                  </w:pPr>
                  <w:r>
                    <w:rPr>
                      <w:rFonts w:hint="eastAsia" w:cs="Times New Roman"/>
                      <w:color w:val="FF0000"/>
                      <w:kern w:val="0"/>
                      <w:sz w:val="21"/>
                      <w:szCs w:val="21"/>
                      <w:lang w:val="en-US" w:eastAsia="zh-CN" w:bidi="ar-SA"/>
                    </w:rPr>
                    <w:t>3</w:t>
                  </w:r>
                </w:p>
              </w:tc>
              <w:tc>
                <w:tcPr>
                  <w:tcW w:w="806" w:type="dxa"/>
                  <w:noWrap w:val="0"/>
                  <w:vAlign w:val="center"/>
                </w:tcPr>
                <w:p w14:paraId="60CB116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FF0000"/>
                      <w:sz w:val="21"/>
                      <w:szCs w:val="21"/>
                    </w:rPr>
                  </w:pPr>
                  <w:r>
                    <w:rPr>
                      <w:rFonts w:hint="eastAsia"/>
                      <w:bCs/>
                      <w:color w:val="FF0000"/>
                      <w:sz w:val="21"/>
                      <w:szCs w:val="21"/>
                      <w:lang w:val="en-US" w:eastAsia="zh-CN"/>
                    </w:rPr>
                    <w:t>废润滑油</w:t>
                  </w:r>
                </w:p>
              </w:tc>
              <w:tc>
                <w:tcPr>
                  <w:tcW w:w="1030" w:type="dxa"/>
                  <w:noWrap w:val="0"/>
                  <w:vAlign w:val="center"/>
                </w:tcPr>
                <w:p w14:paraId="799A229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FF0000"/>
                      <w:sz w:val="21"/>
                      <w:szCs w:val="21"/>
                    </w:rPr>
                  </w:pPr>
                  <w:r>
                    <w:rPr>
                      <w:rFonts w:hint="default" w:ascii="Times New Roman" w:hAnsi="Times New Roman" w:eastAsia="宋体" w:cs="Times New Roman"/>
                      <w:color w:val="FF0000"/>
                      <w:sz w:val="21"/>
                      <w:szCs w:val="21"/>
                    </w:rPr>
                    <w:t>HW08</w:t>
                  </w:r>
                </w:p>
              </w:tc>
              <w:tc>
                <w:tcPr>
                  <w:tcW w:w="918" w:type="dxa"/>
                  <w:noWrap w:val="0"/>
                  <w:vAlign w:val="center"/>
                </w:tcPr>
                <w:p w14:paraId="27CC05F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FF0000"/>
                      <w:sz w:val="21"/>
                      <w:szCs w:val="21"/>
                    </w:rPr>
                  </w:pPr>
                  <w:r>
                    <w:rPr>
                      <w:rFonts w:hint="default" w:ascii="Times New Roman" w:hAnsi="Times New Roman" w:eastAsia="宋体" w:cs="Times New Roman"/>
                      <w:color w:val="FF0000"/>
                      <w:sz w:val="21"/>
                      <w:szCs w:val="21"/>
                      <w:lang w:val="en-US" w:eastAsia="zh-CN"/>
                    </w:rPr>
                    <w:t>900-2</w:t>
                  </w:r>
                  <w:r>
                    <w:rPr>
                      <w:rFonts w:hint="eastAsia" w:ascii="Times New Roman" w:hAnsi="Times New Roman" w:cs="Times New Roman"/>
                      <w:color w:val="FF0000"/>
                      <w:sz w:val="21"/>
                      <w:szCs w:val="21"/>
                      <w:lang w:val="en-US" w:eastAsia="zh-CN"/>
                    </w:rPr>
                    <w:t>17</w:t>
                  </w:r>
                  <w:r>
                    <w:rPr>
                      <w:rFonts w:hint="default" w:ascii="Times New Roman" w:hAnsi="Times New Roman" w:eastAsia="宋体" w:cs="Times New Roman"/>
                      <w:color w:val="FF0000"/>
                      <w:sz w:val="21"/>
                      <w:szCs w:val="21"/>
                      <w:lang w:val="en-US" w:eastAsia="zh-CN"/>
                    </w:rPr>
                    <w:t>-08</w:t>
                  </w:r>
                </w:p>
              </w:tc>
              <w:tc>
                <w:tcPr>
                  <w:tcW w:w="1205" w:type="dxa"/>
                  <w:tcBorders>
                    <w:top w:val="single" w:color="000000" w:sz="2" w:space="0"/>
                    <w:left w:val="single" w:color="000000" w:sz="2" w:space="0"/>
                    <w:bottom w:val="single" w:color="000000" w:sz="2" w:space="0"/>
                    <w:right w:val="single" w:color="000000" w:sz="2" w:space="0"/>
                  </w:tcBorders>
                  <w:noWrap w:val="0"/>
                  <w:vAlign w:val="center"/>
                </w:tcPr>
                <w:p w14:paraId="467CDDCA">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color w:val="FF0000"/>
                      <w:sz w:val="21"/>
                      <w:szCs w:val="21"/>
                    </w:rPr>
                  </w:pPr>
                  <w:r>
                    <w:rPr>
                      <w:rFonts w:hint="default" w:ascii="Times New Roman" w:hAnsi="Times New Roman" w:eastAsia="宋体" w:cs="Times New Roman"/>
                      <w:color w:val="FF0000"/>
                      <w:spacing w:val="-2"/>
                      <w:sz w:val="21"/>
                      <w:szCs w:val="21"/>
                      <w:lang w:val="en-US" w:eastAsia="zh-CN"/>
                    </w:rPr>
                    <w:t>0.10</w:t>
                  </w:r>
                  <w:r>
                    <w:rPr>
                      <w:rFonts w:hint="default"/>
                      <w:color w:val="FF0000"/>
                      <w:sz w:val="21"/>
                      <w:szCs w:val="21"/>
                    </w:rPr>
                    <w:t>t/a</w:t>
                  </w:r>
                </w:p>
              </w:tc>
              <w:tc>
                <w:tcPr>
                  <w:tcW w:w="882" w:type="dxa"/>
                  <w:vMerge w:val="restart"/>
                  <w:noWrap w:val="0"/>
                  <w:vAlign w:val="center"/>
                </w:tcPr>
                <w:p w14:paraId="2078C5F1">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right="0" w:firstLine="0" w:firstLineChars="0"/>
                    <w:jc w:val="center"/>
                    <w:textAlignment w:val="auto"/>
                    <w:rPr>
                      <w:rFonts w:hint="default" w:eastAsia="宋体"/>
                      <w:color w:val="FF0000"/>
                      <w:sz w:val="21"/>
                      <w:szCs w:val="21"/>
                      <w:lang w:val="en-US" w:eastAsia="zh-CN"/>
                    </w:rPr>
                  </w:pPr>
                  <w:r>
                    <w:rPr>
                      <w:rFonts w:hint="eastAsia"/>
                      <w:color w:val="FF0000"/>
                      <w:sz w:val="21"/>
                      <w:szCs w:val="21"/>
                      <w:lang w:val="en-US" w:eastAsia="zh-CN"/>
                    </w:rPr>
                    <w:t>设备维修、保养</w:t>
                  </w:r>
                </w:p>
              </w:tc>
              <w:tc>
                <w:tcPr>
                  <w:tcW w:w="502" w:type="dxa"/>
                  <w:noWrap w:val="0"/>
                  <w:vAlign w:val="center"/>
                </w:tcPr>
                <w:p w14:paraId="436DF0C7">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eastAsia" w:eastAsia="宋体"/>
                      <w:color w:val="FF0000"/>
                      <w:sz w:val="21"/>
                      <w:szCs w:val="21"/>
                      <w:lang w:val="en-US" w:eastAsia="zh-CN"/>
                    </w:rPr>
                  </w:pPr>
                  <w:r>
                    <w:rPr>
                      <w:rFonts w:hint="eastAsia"/>
                      <w:color w:val="FF0000"/>
                      <w:sz w:val="21"/>
                      <w:szCs w:val="21"/>
                      <w:lang w:val="en-US" w:eastAsia="zh-CN"/>
                    </w:rPr>
                    <w:t>液态</w:t>
                  </w:r>
                </w:p>
              </w:tc>
              <w:tc>
                <w:tcPr>
                  <w:tcW w:w="716" w:type="dxa"/>
                  <w:tcBorders>
                    <w:top w:val="single" w:color="000000" w:sz="2" w:space="0"/>
                    <w:left w:val="single" w:color="000000" w:sz="2" w:space="0"/>
                    <w:bottom w:val="single" w:color="000000" w:sz="2" w:space="0"/>
                  </w:tcBorders>
                  <w:noWrap w:val="0"/>
                  <w:vAlign w:val="center"/>
                </w:tcPr>
                <w:p w14:paraId="79DAD7F5">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eastAsia="宋体"/>
                      <w:color w:val="FF0000"/>
                      <w:sz w:val="21"/>
                      <w:szCs w:val="21"/>
                      <w:lang w:val="en-US" w:eastAsia="zh-CN"/>
                    </w:rPr>
                  </w:pPr>
                  <w:r>
                    <w:rPr>
                      <w:rFonts w:hint="default"/>
                      <w:color w:val="FF0000"/>
                      <w:sz w:val="21"/>
                      <w:szCs w:val="21"/>
                    </w:rPr>
                    <w:t>T</w:t>
                  </w:r>
                  <w:r>
                    <w:rPr>
                      <w:rFonts w:hint="eastAsia"/>
                      <w:color w:val="FF0000"/>
                      <w:sz w:val="21"/>
                      <w:szCs w:val="21"/>
                      <w:lang w:val="en-US" w:eastAsia="zh-CN"/>
                    </w:rPr>
                    <w:t>/I</w:t>
                  </w:r>
                </w:p>
              </w:tc>
              <w:tc>
                <w:tcPr>
                  <w:tcW w:w="1557" w:type="dxa"/>
                  <w:vMerge w:val="continue"/>
                  <w:noWrap w:val="0"/>
                  <w:vAlign w:val="center"/>
                </w:tcPr>
                <w:p w14:paraId="2FCC504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000000"/>
                      <w:sz w:val="21"/>
                      <w:szCs w:val="21"/>
                    </w:rPr>
                  </w:pPr>
                </w:p>
              </w:tc>
            </w:tr>
            <w:tr w14:paraId="3507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shd w:val="clear" w:color="auto" w:fill="auto"/>
                  <w:noWrap w:val="0"/>
                  <w:vAlign w:val="center"/>
                </w:tcPr>
                <w:p w14:paraId="06369B36">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cs="Times New Roman"/>
                      <w:color w:val="FF0000"/>
                      <w:kern w:val="0"/>
                      <w:sz w:val="21"/>
                      <w:szCs w:val="21"/>
                      <w:lang w:val="en-US" w:eastAsia="zh-CN" w:bidi="ar-SA"/>
                    </w:rPr>
                  </w:pPr>
                  <w:r>
                    <w:rPr>
                      <w:rFonts w:hint="eastAsia" w:cs="Times New Roman"/>
                      <w:color w:val="FF0000"/>
                      <w:kern w:val="0"/>
                      <w:sz w:val="21"/>
                      <w:szCs w:val="21"/>
                      <w:lang w:val="en-US" w:eastAsia="zh-CN" w:bidi="ar-SA"/>
                    </w:rPr>
                    <w:t>4</w:t>
                  </w:r>
                </w:p>
              </w:tc>
              <w:tc>
                <w:tcPr>
                  <w:tcW w:w="806" w:type="dxa"/>
                  <w:noWrap w:val="0"/>
                  <w:vAlign w:val="center"/>
                </w:tcPr>
                <w:p w14:paraId="2D27A07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FF0000"/>
                      <w:sz w:val="21"/>
                      <w:szCs w:val="21"/>
                    </w:rPr>
                  </w:pPr>
                  <w:r>
                    <w:rPr>
                      <w:rFonts w:hint="eastAsia"/>
                      <w:bCs/>
                      <w:color w:val="FF0000"/>
                      <w:sz w:val="21"/>
                      <w:szCs w:val="21"/>
                      <w:lang w:val="en-US" w:eastAsia="zh-CN"/>
                    </w:rPr>
                    <w:t>废含油棉纱及手套</w:t>
                  </w:r>
                </w:p>
              </w:tc>
              <w:tc>
                <w:tcPr>
                  <w:tcW w:w="1030" w:type="dxa"/>
                  <w:noWrap w:val="0"/>
                  <w:vAlign w:val="center"/>
                </w:tcPr>
                <w:p w14:paraId="21A2A727">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FF0000"/>
                      <w:sz w:val="21"/>
                      <w:szCs w:val="21"/>
                    </w:rPr>
                  </w:pPr>
                  <w:r>
                    <w:rPr>
                      <w:rFonts w:hint="default" w:ascii="Times New Roman" w:hAnsi="Times New Roman" w:eastAsia="宋体" w:cs="Times New Roman"/>
                      <w:color w:val="FF0000"/>
                      <w:sz w:val="21"/>
                      <w:szCs w:val="21"/>
                    </w:rPr>
                    <w:t>HW</w:t>
                  </w:r>
                  <w:r>
                    <w:rPr>
                      <w:rFonts w:hint="eastAsia" w:ascii="Times New Roman" w:hAnsi="Times New Roman" w:eastAsia="宋体" w:cs="Times New Roman"/>
                      <w:color w:val="FF0000"/>
                      <w:sz w:val="21"/>
                      <w:szCs w:val="21"/>
                      <w:lang w:val="en-US" w:eastAsia="zh-CN"/>
                    </w:rPr>
                    <w:t>49</w:t>
                  </w:r>
                </w:p>
              </w:tc>
              <w:tc>
                <w:tcPr>
                  <w:tcW w:w="918" w:type="dxa"/>
                  <w:noWrap w:val="0"/>
                  <w:vAlign w:val="center"/>
                </w:tcPr>
                <w:p w14:paraId="46CDA8E2">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FF0000"/>
                      <w:sz w:val="21"/>
                      <w:szCs w:val="21"/>
                    </w:rPr>
                  </w:pPr>
                  <w:r>
                    <w:rPr>
                      <w:rFonts w:hint="default" w:ascii="Times New Roman" w:hAnsi="Times New Roman" w:eastAsia="宋体" w:cs="Times New Roman"/>
                      <w:color w:val="FF0000"/>
                      <w:sz w:val="21"/>
                      <w:szCs w:val="21"/>
                      <w:lang w:val="en-US" w:eastAsia="zh-CN"/>
                    </w:rPr>
                    <w:t>900-</w:t>
                  </w:r>
                  <w:r>
                    <w:rPr>
                      <w:rFonts w:hint="eastAsia" w:ascii="Times New Roman" w:hAnsi="Times New Roman" w:eastAsia="宋体" w:cs="Times New Roman"/>
                      <w:color w:val="FF0000"/>
                      <w:sz w:val="21"/>
                      <w:szCs w:val="21"/>
                      <w:lang w:val="en-US" w:eastAsia="zh-CN"/>
                    </w:rPr>
                    <w:t>041</w:t>
                  </w: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49</w:t>
                  </w:r>
                </w:p>
              </w:tc>
              <w:tc>
                <w:tcPr>
                  <w:tcW w:w="1205" w:type="dxa"/>
                  <w:tcBorders>
                    <w:top w:val="single" w:color="000000" w:sz="2" w:space="0"/>
                    <w:left w:val="single" w:color="000000" w:sz="2" w:space="0"/>
                    <w:bottom w:val="single" w:color="000000" w:sz="2" w:space="0"/>
                    <w:right w:val="single" w:color="000000" w:sz="2" w:space="0"/>
                  </w:tcBorders>
                  <w:noWrap w:val="0"/>
                  <w:vAlign w:val="center"/>
                </w:tcPr>
                <w:p w14:paraId="6B2BDA82">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eastAsia="宋体"/>
                      <w:color w:val="FF0000"/>
                      <w:sz w:val="21"/>
                      <w:szCs w:val="21"/>
                      <w:lang w:val="en-US" w:eastAsia="zh-CN"/>
                    </w:rPr>
                  </w:pPr>
                  <w:r>
                    <w:rPr>
                      <w:rFonts w:hint="eastAsia"/>
                      <w:color w:val="FF0000"/>
                      <w:sz w:val="21"/>
                      <w:szCs w:val="21"/>
                      <w:lang w:val="en-US" w:eastAsia="zh-CN"/>
                    </w:rPr>
                    <w:t>0.05</w:t>
                  </w:r>
                  <w:r>
                    <w:rPr>
                      <w:rFonts w:hint="default"/>
                      <w:color w:val="FF0000"/>
                      <w:sz w:val="21"/>
                      <w:szCs w:val="21"/>
                    </w:rPr>
                    <w:t>t/a</w:t>
                  </w:r>
                </w:p>
              </w:tc>
              <w:tc>
                <w:tcPr>
                  <w:tcW w:w="882" w:type="dxa"/>
                  <w:vMerge w:val="continue"/>
                  <w:noWrap w:val="0"/>
                  <w:vAlign w:val="center"/>
                </w:tcPr>
                <w:p w14:paraId="760A58C7">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right="0" w:firstLine="0" w:firstLineChars="0"/>
                    <w:jc w:val="center"/>
                    <w:textAlignment w:val="auto"/>
                    <w:rPr>
                      <w:rFonts w:hint="eastAsia"/>
                      <w:color w:val="FF0000"/>
                      <w:sz w:val="21"/>
                      <w:szCs w:val="21"/>
                      <w:lang w:val="en-US" w:eastAsia="zh-CN"/>
                    </w:rPr>
                  </w:pPr>
                </w:p>
              </w:tc>
              <w:tc>
                <w:tcPr>
                  <w:tcW w:w="502" w:type="dxa"/>
                  <w:noWrap w:val="0"/>
                  <w:vAlign w:val="center"/>
                </w:tcPr>
                <w:p w14:paraId="652A6B52">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eastAsia" w:eastAsia="宋体"/>
                      <w:color w:val="FF0000"/>
                      <w:sz w:val="21"/>
                      <w:szCs w:val="21"/>
                      <w:lang w:val="en-US" w:eastAsia="zh-CN"/>
                    </w:rPr>
                  </w:pPr>
                  <w:r>
                    <w:rPr>
                      <w:rFonts w:hint="eastAsia"/>
                      <w:color w:val="FF0000"/>
                      <w:sz w:val="21"/>
                      <w:szCs w:val="21"/>
                      <w:lang w:val="en-US" w:eastAsia="zh-CN"/>
                    </w:rPr>
                    <w:t>固态</w:t>
                  </w:r>
                </w:p>
              </w:tc>
              <w:tc>
                <w:tcPr>
                  <w:tcW w:w="716" w:type="dxa"/>
                  <w:tcBorders>
                    <w:top w:val="single" w:color="000000" w:sz="2" w:space="0"/>
                    <w:left w:val="single" w:color="000000" w:sz="2" w:space="0"/>
                    <w:bottom w:val="single" w:color="000000" w:sz="2" w:space="0"/>
                  </w:tcBorders>
                  <w:noWrap w:val="0"/>
                  <w:vAlign w:val="center"/>
                </w:tcPr>
                <w:p w14:paraId="6EEE3165">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FF0000"/>
                      <w:sz w:val="21"/>
                      <w:szCs w:val="21"/>
                    </w:rPr>
                  </w:pPr>
                  <w:r>
                    <w:rPr>
                      <w:rFonts w:hint="default"/>
                      <w:color w:val="FF0000"/>
                      <w:sz w:val="21"/>
                      <w:szCs w:val="21"/>
                    </w:rPr>
                    <w:t>T/In</w:t>
                  </w:r>
                </w:p>
              </w:tc>
              <w:tc>
                <w:tcPr>
                  <w:tcW w:w="1557" w:type="dxa"/>
                  <w:vMerge w:val="continue"/>
                  <w:noWrap w:val="0"/>
                  <w:vAlign w:val="center"/>
                </w:tcPr>
                <w:p w14:paraId="186710B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000000"/>
                      <w:sz w:val="21"/>
                      <w:szCs w:val="21"/>
                    </w:rPr>
                  </w:pPr>
                </w:p>
              </w:tc>
            </w:tr>
            <w:tr w14:paraId="3BB3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noWrap w:val="0"/>
                  <w:vAlign w:val="center"/>
                </w:tcPr>
                <w:p w14:paraId="7AE24B81">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eastAsia="宋体"/>
                      <w:color w:val="FF0000"/>
                      <w:sz w:val="21"/>
                      <w:szCs w:val="21"/>
                      <w:lang w:val="en-US" w:eastAsia="zh-CN"/>
                    </w:rPr>
                  </w:pPr>
                  <w:r>
                    <w:rPr>
                      <w:rFonts w:hint="eastAsia"/>
                      <w:color w:val="FF0000"/>
                      <w:sz w:val="21"/>
                      <w:szCs w:val="21"/>
                      <w:lang w:val="en-US" w:eastAsia="zh-CN"/>
                    </w:rPr>
                    <w:t>5</w:t>
                  </w:r>
                </w:p>
              </w:tc>
              <w:tc>
                <w:tcPr>
                  <w:tcW w:w="806" w:type="dxa"/>
                  <w:noWrap w:val="0"/>
                  <w:vAlign w:val="center"/>
                </w:tcPr>
                <w:p w14:paraId="6387430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FF0000"/>
                      <w:sz w:val="21"/>
                      <w:szCs w:val="21"/>
                      <w:lang w:val="en-US"/>
                    </w:rPr>
                  </w:pPr>
                  <w:r>
                    <w:rPr>
                      <w:rFonts w:hint="eastAsia"/>
                      <w:bCs/>
                      <w:color w:val="FF0000"/>
                      <w:sz w:val="21"/>
                      <w:szCs w:val="21"/>
                      <w:lang w:val="en-US" w:eastAsia="zh-CN"/>
                    </w:rPr>
                    <w:t>废润滑油桶</w:t>
                  </w:r>
                </w:p>
              </w:tc>
              <w:tc>
                <w:tcPr>
                  <w:tcW w:w="1030" w:type="dxa"/>
                  <w:noWrap w:val="0"/>
                  <w:vAlign w:val="center"/>
                </w:tcPr>
                <w:p w14:paraId="6E97DB00">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eastAsia="宋体"/>
                      <w:color w:val="FF0000"/>
                      <w:sz w:val="21"/>
                      <w:szCs w:val="21"/>
                      <w:lang w:val="en-US" w:eastAsia="zh-CN"/>
                    </w:rPr>
                  </w:pPr>
                  <w:r>
                    <w:rPr>
                      <w:rFonts w:hint="default"/>
                      <w:color w:val="FF0000"/>
                      <w:sz w:val="21"/>
                      <w:szCs w:val="21"/>
                    </w:rPr>
                    <w:t>HW</w:t>
                  </w:r>
                  <w:r>
                    <w:rPr>
                      <w:rFonts w:hint="eastAsia"/>
                      <w:color w:val="FF0000"/>
                      <w:sz w:val="21"/>
                      <w:szCs w:val="21"/>
                      <w:lang w:val="en-US" w:eastAsia="zh-CN"/>
                    </w:rPr>
                    <w:t>08</w:t>
                  </w:r>
                </w:p>
              </w:tc>
              <w:tc>
                <w:tcPr>
                  <w:tcW w:w="918" w:type="dxa"/>
                  <w:noWrap w:val="0"/>
                  <w:vAlign w:val="center"/>
                </w:tcPr>
                <w:p w14:paraId="60B48899">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FF0000"/>
                      <w:sz w:val="21"/>
                      <w:szCs w:val="21"/>
                    </w:rPr>
                  </w:pPr>
                  <w:r>
                    <w:rPr>
                      <w:rFonts w:hint="default" w:ascii="Times New Roman" w:hAnsi="Times New Roman" w:eastAsia="宋体" w:cs="Times New Roman"/>
                      <w:color w:val="FF0000"/>
                      <w:sz w:val="21"/>
                      <w:szCs w:val="21"/>
                      <w:lang w:val="en-US" w:eastAsia="zh-CN"/>
                    </w:rPr>
                    <w:t>900-</w:t>
                  </w:r>
                  <w:r>
                    <w:rPr>
                      <w:rFonts w:hint="eastAsia" w:ascii="Times New Roman" w:hAnsi="Times New Roman" w:eastAsia="宋体" w:cs="Times New Roman"/>
                      <w:color w:val="FF0000"/>
                      <w:sz w:val="21"/>
                      <w:szCs w:val="21"/>
                      <w:lang w:val="en-US" w:eastAsia="zh-CN"/>
                    </w:rPr>
                    <w:t>249</w:t>
                  </w: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08</w:t>
                  </w:r>
                </w:p>
              </w:tc>
              <w:tc>
                <w:tcPr>
                  <w:tcW w:w="1205" w:type="dxa"/>
                  <w:tcBorders>
                    <w:top w:val="single" w:color="000000" w:sz="2" w:space="0"/>
                    <w:left w:val="single" w:color="000000" w:sz="2" w:space="0"/>
                    <w:bottom w:val="single" w:color="000000" w:sz="2" w:space="0"/>
                    <w:right w:val="single" w:color="000000" w:sz="2" w:space="0"/>
                  </w:tcBorders>
                  <w:noWrap w:val="0"/>
                  <w:vAlign w:val="center"/>
                </w:tcPr>
                <w:p w14:paraId="02DCAEC4">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eastAsia"/>
                      <w:color w:val="FF0000"/>
                      <w:sz w:val="21"/>
                      <w:szCs w:val="21"/>
                    </w:rPr>
                  </w:pPr>
                  <w:r>
                    <w:rPr>
                      <w:rFonts w:hint="eastAsia"/>
                      <w:color w:val="FF0000"/>
                      <w:sz w:val="21"/>
                      <w:szCs w:val="21"/>
                      <w:lang w:val="en-US" w:eastAsia="zh-CN"/>
                    </w:rPr>
                    <w:t>0.02</w:t>
                  </w:r>
                  <w:r>
                    <w:rPr>
                      <w:rFonts w:hint="default"/>
                      <w:color w:val="FF0000"/>
                      <w:sz w:val="21"/>
                      <w:szCs w:val="21"/>
                    </w:rPr>
                    <w:t>t/a</w:t>
                  </w:r>
                </w:p>
              </w:tc>
              <w:tc>
                <w:tcPr>
                  <w:tcW w:w="882" w:type="dxa"/>
                  <w:vMerge w:val="continue"/>
                  <w:noWrap w:val="0"/>
                  <w:vAlign w:val="center"/>
                </w:tcPr>
                <w:p w14:paraId="41844A0D">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eastAsia="宋体"/>
                      <w:color w:val="FF0000"/>
                      <w:sz w:val="21"/>
                      <w:szCs w:val="21"/>
                      <w:lang w:val="en-US" w:eastAsia="zh-CN"/>
                    </w:rPr>
                  </w:pPr>
                </w:p>
              </w:tc>
              <w:tc>
                <w:tcPr>
                  <w:tcW w:w="502" w:type="dxa"/>
                  <w:noWrap w:val="0"/>
                  <w:vAlign w:val="center"/>
                </w:tcPr>
                <w:p w14:paraId="57792E14">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FF0000"/>
                      <w:sz w:val="21"/>
                      <w:szCs w:val="21"/>
                    </w:rPr>
                  </w:pPr>
                  <w:r>
                    <w:rPr>
                      <w:rFonts w:hint="default"/>
                      <w:color w:val="FF0000"/>
                      <w:sz w:val="21"/>
                      <w:szCs w:val="21"/>
                    </w:rPr>
                    <w:t>固态</w:t>
                  </w:r>
                </w:p>
              </w:tc>
              <w:tc>
                <w:tcPr>
                  <w:tcW w:w="716" w:type="dxa"/>
                  <w:tcBorders>
                    <w:top w:val="single" w:color="000000" w:sz="2" w:space="0"/>
                    <w:left w:val="single" w:color="000000" w:sz="2" w:space="0"/>
                    <w:bottom w:val="single" w:color="000000" w:sz="2" w:space="0"/>
                  </w:tcBorders>
                  <w:noWrap w:val="0"/>
                  <w:vAlign w:val="center"/>
                </w:tcPr>
                <w:p w14:paraId="250680DF">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FF0000"/>
                      <w:sz w:val="21"/>
                      <w:szCs w:val="21"/>
                    </w:rPr>
                  </w:pPr>
                  <w:r>
                    <w:rPr>
                      <w:rFonts w:hint="default"/>
                      <w:color w:val="FF0000"/>
                      <w:sz w:val="21"/>
                      <w:szCs w:val="21"/>
                    </w:rPr>
                    <w:t>T/In</w:t>
                  </w:r>
                </w:p>
              </w:tc>
              <w:tc>
                <w:tcPr>
                  <w:tcW w:w="1557" w:type="dxa"/>
                  <w:vMerge w:val="continue"/>
                  <w:noWrap w:val="0"/>
                  <w:vAlign w:val="center"/>
                </w:tcPr>
                <w:p w14:paraId="63EAB72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000000"/>
                      <w:sz w:val="21"/>
                      <w:szCs w:val="21"/>
                    </w:rPr>
                  </w:pPr>
                </w:p>
              </w:tc>
            </w:tr>
            <w:tr w14:paraId="02A6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dxa"/>
                  <w:noWrap w:val="0"/>
                  <w:vAlign w:val="center"/>
                </w:tcPr>
                <w:p w14:paraId="03D7A026">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color w:val="FF0000"/>
                      <w:sz w:val="21"/>
                      <w:szCs w:val="21"/>
                      <w:lang w:val="en-US" w:eastAsia="zh-CN"/>
                    </w:rPr>
                  </w:pPr>
                  <w:r>
                    <w:rPr>
                      <w:rFonts w:hint="eastAsia"/>
                      <w:color w:val="FF0000"/>
                      <w:sz w:val="21"/>
                      <w:szCs w:val="21"/>
                      <w:lang w:val="en-US" w:eastAsia="zh-CN"/>
                    </w:rPr>
                    <w:t>6</w:t>
                  </w:r>
                </w:p>
              </w:tc>
              <w:tc>
                <w:tcPr>
                  <w:tcW w:w="806" w:type="dxa"/>
                  <w:noWrap w:val="0"/>
                  <w:vAlign w:val="center"/>
                </w:tcPr>
                <w:p w14:paraId="389FE5E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bCs/>
                      <w:color w:val="FF0000"/>
                      <w:sz w:val="21"/>
                      <w:szCs w:val="21"/>
                      <w:lang w:val="en-US" w:eastAsia="zh-CN"/>
                    </w:rPr>
                  </w:pPr>
                  <w:r>
                    <w:rPr>
                      <w:rFonts w:hint="eastAsia"/>
                      <w:bCs/>
                      <w:color w:val="FF0000"/>
                      <w:sz w:val="21"/>
                      <w:szCs w:val="21"/>
                      <w:lang w:val="en-US" w:eastAsia="zh-CN"/>
                    </w:rPr>
                    <w:t>污水处理站污泥</w:t>
                  </w:r>
                </w:p>
              </w:tc>
              <w:tc>
                <w:tcPr>
                  <w:tcW w:w="1030" w:type="dxa"/>
                  <w:noWrap w:val="0"/>
                  <w:vAlign w:val="center"/>
                </w:tcPr>
                <w:p w14:paraId="48D8AEE8">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color w:val="FF0000"/>
                      <w:sz w:val="21"/>
                      <w:szCs w:val="21"/>
                    </w:rPr>
                  </w:pPr>
                  <w:r>
                    <w:rPr>
                      <w:rFonts w:hint="eastAsia" w:ascii="Times New Roman" w:hAnsi="Times New Roman" w:eastAsia="宋体" w:cs="Times New Roman"/>
                      <w:color w:val="FF0000"/>
                      <w:sz w:val="21"/>
                      <w:szCs w:val="21"/>
                      <w:lang w:val="en-US" w:eastAsia="zh-CN"/>
                    </w:rPr>
                    <w:t>HW17</w:t>
                  </w:r>
                </w:p>
              </w:tc>
              <w:tc>
                <w:tcPr>
                  <w:tcW w:w="918" w:type="dxa"/>
                  <w:noWrap w:val="0"/>
                  <w:vAlign w:val="center"/>
                </w:tcPr>
                <w:p w14:paraId="6D67CAF8">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336-064-17</w:t>
                  </w:r>
                </w:p>
              </w:tc>
              <w:tc>
                <w:tcPr>
                  <w:tcW w:w="1205" w:type="dxa"/>
                  <w:tcBorders>
                    <w:top w:val="single" w:color="000000" w:sz="2" w:space="0"/>
                    <w:left w:val="single" w:color="000000" w:sz="2" w:space="0"/>
                    <w:right w:val="single" w:color="000000" w:sz="2" w:space="0"/>
                  </w:tcBorders>
                  <w:noWrap w:val="0"/>
                  <w:vAlign w:val="center"/>
                </w:tcPr>
                <w:p w14:paraId="73858559">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center"/>
                    <w:textAlignment w:val="auto"/>
                    <w:rPr>
                      <w:rFonts w:hint="default"/>
                      <w:color w:val="FF0000"/>
                      <w:sz w:val="21"/>
                      <w:szCs w:val="21"/>
                      <w:lang w:val="en-US" w:eastAsia="zh-CN"/>
                    </w:rPr>
                  </w:pPr>
                  <w:r>
                    <w:rPr>
                      <w:rFonts w:hint="eastAsia"/>
                      <w:color w:val="FF0000"/>
                      <w:sz w:val="21"/>
                      <w:szCs w:val="21"/>
                      <w:lang w:val="en-US" w:eastAsia="zh-CN"/>
                    </w:rPr>
                    <w:t>0.027</w:t>
                  </w:r>
                  <w:r>
                    <w:rPr>
                      <w:rFonts w:hint="default"/>
                      <w:color w:val="FF0000"/>
                      <w:sz w:val="21"/>
                      <w:szCs w:val="21"/>
                    </w:rPr>
                    <w:t>t/a</w:t>
                  </w:r>
                </w:p>
              </w:tc>
              <w:tc>
                <w:tcPr>
                  <w:tcW w:w="882" w:type="dxa"/>
                  <w:noWrap w:val="0"/>
                  <w:vAlign w:val="center"/>
                </w:tcPr>
                <w:p w14:paraId="733BAB90">
                  <w:pPr>
                    <w:pStyle w:val="34"/>
                    <w:keepNext w:val="0"/>
                    <w:keepLines w:val="0"/>
                    <w:pageBreakBefore w:val="0"/>
                    <w:widowControl w:val="0"/>
                    <w:suppressLineNumbers w:val="0"/>
                    <w:kinsoku/>
                    <w:wordWrap/>
                    <w:overflowPunct/>
                    <w:autoSpaceDE/>
                    <w:autoSpaceDN/>
                    <w:bidi w:val="0"/>
                    <w:spacing w:before="0" w:beforeAutospacing="0" w:after="0" w:afterAutospacing="0" w:line="360" w:lineRule="exact"/>
                    <w:ind w:left="0" w:leftChars="0" w:right="0" w:firstLine="0" w:firstLineChars="0"/>
                    <w:jc w:val="both"/>
                    <w:textAlignment w:val="auto"/>
                    <w:rPr>
                      <w:rFonts w:hint="default" w:eastAsia="宋体"/>
                      <w:color w:val="FF0000"/>
                      <w:sz w:val="21"/>
                      <w:szCs w:val="21"/>
                      <w:lang w:val="en-US" w:eastAsia="zh-CN"/>
                    </w:rPr>
                  </w:pPr>
                  <w:r>
                    <w:rPr>
                      <w:rFonts w:hint="eastAsia"/>
                      <w:color w:val="FF0000"/>
                      <w:sz w:val="21"/>
                      <w:szCs w:val="21"/>
                      <w:lang w:val="en-US" w:eastAsia="zh-CN"/>
                    </w:rPr>
                    <w:t>污水处理站压滤机</w:t>
                  </w:r>
                </w:p>
              </w:tc>
              <w:tc>
                <w:tcPr>
                  <w:tcW w:w="502" w:type="dxa"/>
                  <w:noWrap w:val="0"/>
                  <w:vAlign w:val="center"/>
                </w:tcPr>
                <w:p w14:paraId="251969A6">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eastAsia" w:eastAsia="宋体"/>
                      <w:color w:val="FF0000"/>
                      <w:sz w:val="21"/>
                      <w:szCs w:val="21"/>
                      <w:lang w:val="en-US" w:eastAsia="zh-CN"/>
                    </w:rPr>
                  </w:pPr>
                  <w:r>
                    <w:rPr>
                      <w:rFonts w:hint="eastAsia"/>
                      <w:color w:val="FF0000"/>
                      <w:sz w:val="21"/>
                      <w:szCs w:val="21"/>
                      <w:lang w:val="en-US" w:eastAsia="zh-CN"/>
                    </w:rPr>
                    <w:t>固态</w:t>
                  </w:r>
                </w:p>
              </w:tc>
              <w:tc>
                <w:tcPr>
                  <w:tcW w:w="716" w:type="dxa"/>
                  <w:tcBorders>
                    <w:top w:val="single" w:color="000000" w:sz="2" w:space="0"/>
                    <w:left w:val="single" w:color="000000" w:sz="2" w:space="0"/>
                  </w:tcBorders>
                  <w:noWrap w:val="0"/>
                  <w:vAlign w:val="center"/>
                </w:tcPr>
                <w:p w14:paraId="4C8A2958">
                  <w:pPr>
                    <w:keepNext w:val="0"/>
                    <w:keepLines w:val="0"/>
                    <w:pageBreakBefore w:val="0"/>
                    <w:widowControl w:val="0"/>
                    <w:suppressLineNumbers w:val="0"/>
                    <w:kinsoku/>
                    <w:wordWrap/>
                    <w:overflowPunct/>
                    <w:autoSpaceDE/>
                    <w:autoSpaceDN/>
                    <w:bidi w:val="0"/>
                    <w:spacing w:before="0" w:beforeAutospacing="0" w:after="0" w:afterAutospacing="0" w:line="360" w:lineRule="exact"/>
                    <w:ind w:left="0" w:right="0" w:firstLine="0" w:firstLineChars="0"/>
                    <w:jc w:val="center"/>
                    <w:textAlignment w:val="auto"/>
                    <w:rPr>
                      <w:rFonts w:hint="default" w:eastAsia="宋体"/>
                      <w:color w:val="FF0000"/>
                      <w:sz w:val="21"/>
                      <w:szCs w:val="21"/>
                      <w:lang w:val="en-US" w:eastAsia="zh-CN"/>
                    </w:rPr>
                  </w:pPr>
                  <w:r>
                    <w:rPr>
                      <w:rFonts w:hint="eastAsia"/>
                      <w:color w:val="FF0000"/>
                      <w:sz w:val="21"/>
                      <w:szCs w:val="21"/>
                      <w:lang w:val="en-US" w:eastAsia="zh-CN"/>
                    </w:rPr>
                    <w:t>T/C</w:t>
                  </w:r>
                </w:p>
              </w:tc>
              <w:tc>
                <w:tcPr>
                  <w:tcW w:w="1557" w:type="dxa"/>
                  <w:vMerge w:val="continue"/>
                  <w:noWrap w:val="0"/>
                  <w:vAlign w:val="center"/>
                </w:tcPr>
                <w:p w14:paraId="3CB93F5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000000"/>
                      <w:sz w:val="21"/>
                      <w:szCs w:val="21"/>
                    </w:rPr>
                  </w:pPr>
                </w:p>
              </w:tc>
            </w:tr>
          </w:tbl>
          <w:p w14:paraId="3372CA6A">
            <w:pPr>
              <w:pStyle w:val="8"/>
              <w:keepNext w:val="0"/>
              <w:keepLines w:val="0"/>
              <w:suppressLineNumbers w:val="0"/>
              <w:spacing w:before="120" w:beforeLines="50" w:beforeAutospacing="0" w:after="0" w:afterAutospacing="0" w:line="360" w:lineRule="auto"/>
              <w:ind w:left="0" w:right="0" w:firstLine="482" w:firstLineChars="200"/>
              <w:rPr>
                <w:rFonts w:hint="default"/>
                <w:b/>
                <w:bCs/>
                <w:color w:val="FF0000"/>
                <w:kern w:val="0"/>
                <w:sz w:val="24"/>
                <w:szCs w:val="24"/>
              </w:rPr>
            </w:pPr>
            <w:r>
              <w:rPr>
                <w:rFonts w:hint="eastAsia" w:cs="Times New Roman"/>
                <w:b/>
                <w:bCs/>
                <w:color w:val="FF0000"/>
                <w:sz w:val="24"/>
                <w:szCs w:val="24"/>
                <w:lang w:val="en-US" w:eastAsia="zh-CN"/>
              </w:rPr>
              <w:t>4</w:t>
            </w:r>
            <w:r>
              <w:rPr>
                <w:rFonts w:hint="default" w:ascii="Times New Roman" w:hAnsi="Times New Roman" w:cs="Times New Roman"/>
                <w:b/>
                <w:bCs/>
                <w:color w:val="FF0000"/>
                <w:sz w:val="24"/>
                <w:szCs w:val="24"/>
                <w:lang w:val="en-US" w:eastAsia="zh-CN"/>
              </w:rPr>
              <w:t>、</w:t>
            </w:r>
            <w:r>
              <w:rPr>
                <w:rFonts w:hint="default"/>
                <w:b/>
                <w:bCs/>
                <w:color w:val="FF0000"/>
                <w:sz w:val="24"/>
                <w:szCs w:val="24"/>
              </w:rPr>
              <w:t>环境管理要求</w:t>
            </w:r>
          </w:p>
          <w:p w14:paraId="6E1747FF">
            <w:pPr>
              <w:pStyle w:val="8"/>
              <w:keepNext w:val="0"/>
              <w:keepLines w:val="0"/>
              <w:suppressLineNumbers w:val="0"/>
              <w:spacing w:before="0" w:beforeAutospacing="0" w:after="0" w:afterAutospacing="0" w:line="360" w:lineRule="auto"/>
              <w:ind w:left="0" w:right="0" w:firstLine="480" w:firstLineChars="200"/>
              <w:rPr>
                <w:rFonts w:hint="default"/>
                <w:color w:val="FF0000"/>
                <w:sz w:val="24"/>
                <w:szCs w:val="24"/>
              </w:rPr>
            </w:pPr>
            <w:r>
              <w:rPr>
                <w:rFonts w:hint="default"/>
                <w:color w:val="FF0000"/>
                <w:sz w:val="24"/>
                <w:szCs w:val="24"/>
              </w:rPr>
              <w:fldChar w:fldCharType="begin"/>
            </w:r>
            <w:r>
              <w:rPr>
                <w:rFonts w:hint="default"/>
                <w:color w:val="FF0000"/>
                <w:sz w:val="24"/>
                <w:szCs w:val="24"/>
              </w:rPr>
              <w:instrText xml:space="preserve"> = 1 \* GB3 \* MERGEFORMAT </w:instrText>
            </w:r>
            <w:r>
              <w:rPr>
                <w:rFonts w:hint="default"/>
                <w:color w:val="FF0000"/>
                <w:sz w:val="24"/>
                <w:szCs w:val="24"/>
              </w:rPr>
              <w:fldChar w:fldCharType="separate"/>
            </w:r>
            <w:r>
              <w:rPr>
                <w:rFonts w:hint="default"/>
                <w:color w:val="FF0000"/>
                <w:sz w:val="24"/>
                <w:szCs w:val="24"/>
              </w:rPr>
              <w:t>①</w:t>
            </w:r>
            <w:r>
              <w:rPr>
                <w:rFonts w:hint="default"/>
                <w:color w:val="FF0000"/>
                <w:sz w:val="24"/>
                <w:szCs w:val="24"/>
              </w:rPr>
              <w:fldChar w:fldCharType="end"/>
            </w:r>
            <w:r>
              <w:rPr>
                <w:rFonts w:hint="default"/>
                <w:color w:val="FF0000"/>
                <w:sz w:val="24"/>
                <w:szCs w:val="24"/>
              </w:rPr>
              <w:t>一般固体废物</w:t>
            </w:r>
          </w:p>
          <w:p w14:paraId="2AA589B0">
            <w:pPr>
              <w:pStyle w:val="85"/>
              <w:keepNext w:val="0"/>
              <w:keepLines w:val="0"/>
              <w:suppressLineNumbers w:val="0"/>
              <w:spacing w:before="0" w:beforeAutospacing="0" w:after="0" w:afterAutospacing="0"/>
              <w:ind w:left="0" w:right="0" w:firstLine="480"/>
              <w:rPr>
                <w:rFonts w:hint="default"/>
                <w:color w:val="FF0000"/>
              </w:rPr>
            </w:pPr>
            <w:r>
              <w:rPr>
                <w:rFonts w:hint="eastAsia"/>
                <w:color w:val="FF0000"/>
              </w:rPr>
              <w:t>禁止将一般工业固废与生活垃圾混装，建设一般固废暂存库1座，面积20</w:t>
            </w:r>
            <w:r>
              <w:rPr>
                <w:rFonts w:hint="default"/>
                <w:color w:val="FF0000"/>
              </w:rPr>
              <w:t>m</w:t>
            </w:r>
            <w:r>
              <w:rPr>
                <w:rFonts w:hint="default"/>
                <w:color w:val="FF0000"/>
                <w:vertAlign w:val="superscript"/>
              </w:rPr>
              <w:t>2</w:t>
            </w:r>
            <w:r>
              <w:rPr>
                <w:rFonts w:hint="eastAsia"/>
                <w:color w:val="FF0000"/>
              </w:rPr>
              <w:t>，对一般固体废物统一收集贮存。严格</w:t>
            </w:r>
            <w:r>
              <w:rPr>
                <w:rFonts w:hint="default"/>
                <w:color w:val="FF0000"/>
              </w:rPr>
              <w:t>按照</w:t>
            </w:r>
            <w:r>
              <w:rPr>
                <w:rFonts w:hint="eastAsia"/>
                <w:color w:val="FF0000"/>
              </w:rPr>
              <w:t>《</w:t>
            </w:r>
            <w:r>
              <w:rPr>
                <w:rFonts w:hint="default"/>
                <w:color w:val="FF0000"/>
              </w:rPr>
              <w:t>一般工业固体废物贮存和填埋污染控制标准</w:t>
            </w:r>
            <w:r>
              <w:rPr>
                <w:rFonts w:hint="eastAsia"/>
                <w:color w:val="FF0000"/>
              </w:rPr>
              <w:t>》</w:t>
            </w:r>
            <w:r>
              <w:rPr>
                <w:rFonts w:hint="default"/>
                <w:color w:val="FF0000"/>
              </w:rPr>
              <w:t>（GB18599-2020）、《环境保护图形标志—固体废物贮存（处置场）》（GB15562.2-1995）等规定</w:t>
            </w:r>
            <w:r>
              <w:rPr>
                <w:rFonts w:hint="eastAsia"/>
                <w:color w:val="FF0000"/>
              </w:rPr>
              <w:t>建设和张贴环保标识</w:t>
            </w:r>
            <w:r>
              <w:rPr>
                <w:rFonts w:hint="default"/>
                <w:color w:val="FF0000"/>
              </w:rPr>
              <w:t>。</w:t>
            </w:r>
          </w:p>
          <w:p w14:paraId="41D8FBAA">
            <w:pPr>
              <w:pStyle w:val="8"/>
              <w:keepNext w:val="0"/>
              <w:keepLines w:val="0"/>
              <w:suppressLineNumbers w:val="0"/>
              <w:spacing w:before="0" w:beforeAutospacing="0" w:after="0" w:afterAutospacing="0" w:line="360" w:lineRule="auto"/>
              <w:ind w:left="0" w:right="0" w:firstLine="480" w:firstLineChars="200"/>
              <w:rPr>
                <w:rFonts w:hint="default"/>
                <w:color w:val="FF0000"/>
                <w:sz w:val="24"/>
                <w:szCs w:val="22"/>
              </w:rPr>
            </w:pPr>
            <w:r>
              <w:rPr>
                <w:rFonts w:hint="default"/>
                <w:color w:val="FF0000"/>
                <w:sz w:val="24"/>
                <w:szCs w:val="22"/>
              </w:rPr>
              <w:fldChar w:fldCharType="begin"/>
            </w:r>
            <w:r>
              <w:rPr>
                <w:rFonts w:hint="default"/>
                <w:color w:val="FF0000"/>
                <w:sz w:val="24"/>
                <w:szCs w:val="22"/>
              </w:rPr>
              <w:instrText xml:space="preserve"> = 2 \* GB3 \* MERGEFORMAT </w:instrText>
            </w:r>
            <w:r>
              <w:rPr>
                <w:rFonts w:hint="default"/>
                <w:color w:val="FF0000"/>
                <w:sz w:val="24"/>
                <w:szCs w:val="22"/>
              </w:rPr>
              <w:fldChar w:fldCharType="separate"/>
            </w:r>
            <w:r>
              <w:rPr>
                <w:rFonts w:hint="default"/>
                <w:color w:val="FF0000"/>
                <w:sz w:val="24"/>
                <w:szCs w:val="22"/>
              </w:rPr>
              <w:t>②</w:t>
            </w:r>
            <w:r>
              <w:rPr>
                <w:rFonts w:hint="default"/>
                <w:color w:val="FF0000"/>
                <w:sz w:val="24"/>
                <w:szCs w:val="22"/>
              </w:rPr>
              <w:fldChar w:fldCharType="end"/>
            </w:r>
            <w:r>
              <w:rPr>
                <w:rFonts w:hint="default"/>
                <w:color w:val="FF0000"/>
                <w:sz w:val="24"/>
                <w:szCs w:val="22"/>
              </w:rPr>
              <w:t>危险废物</w:t>
            </w:r>
          </w:p>
          <w:p w14:paraId="056B335F">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建设单位</w:t>
            </w:r>
            <w:r>
              <w:rPr>
                <w:rFonts w:hint="eastAsia"/>
                <w:color w:val="FF0000"/>
                <w:sz w:val="24"/>
              </w:rPr>
              <w:t>在</w:t>
            </w:r>
            <w:r>
              <w:rPr>
                <w:rFonts w:hint="eastAsia"/>
                <w:color w:val="FF0000"/>
                <w:sz w:val="24"/>
                <w:lang w:val="en-US" w:eastAsia="zh-CN"/>
              </w:rPr>
              <w:t>厂区东北角</w:t>
            </w:r>
            <w:r>
              <w:rPr>
                <w:rFonts w:hint="eastAsia"/>
                <w:color w:val="FF0000"/>
                <w:sz w:val="24"/>
              </w:rPr>
              <w:t>建设1座</w:t>
            </w:r>
            <w:r>
              <w:rPr>
                <w:rFonts w:hint="eastAsia"/>
                <w:color w:val="FF0000"/>
                <w:sz w:val="24"/>
                <w:lang w:val="en-US" w:eastAsia="zh-CN"/>
              </w:rPr>
              <w:t>2</w:t>
            </w:r>
            <w:r>
              <w:rPr>
                <w:rFonts w:hint="eastAsia"/>
                <w:color w:val="FF0000"/>
                <w:sz w:val="24"/>
              </w:rPr>
              <w:t>0</w:t>
            </w:r>
            <w:r>
              <w:rPr>
                <w:rFonts w:hint="default"/>
                <w:color w:val="FF0000"/>
                <w:sz w:val="24"/>
              </w:rPr>
              <w:t>m</w:t>
            </w:r>
            <w:r>
              <w:rPr>
                <w:rFonts w:hint="default"/>
                <w:color w:val="FF0000"/>
                <w:sz w:val="24"/>
                <w:vertAlign w:val="superscript"/>
              </w:rPr>
              <w:t>2</w:t>
            </w:r>
            <w:r>
              <w:rPr>
                <w:rFonts w:hint="eastAsia"/>
                <w:color w:val="FF0000"/>
                <w:sz w:val="24"/>
              </w:rPr>
              <w:t>的危废贮存库。危废贮存库</w:t>
            </w:r>
            <w:r>
              <w:rPr>
                <w:rFonts w:hint="default"/>
                <w:color w:val="FF0000"/>
                <w:sz w:val="24"/>
              </w:rPr>
              <w:t>应按照《危险废物贮存污染控制标准》（GB18597-2023）中的有关规定建设</w:t>
            </w:r>
            <w:r>
              <w:rPr>
                <w:rFonts w:hint="eastAsia"/>
                <w:color w:val="FF0000"/>
                <w:sz w:val="24"/>
              </w:rPr>
              <w:t>，</w:t>
            </w:r>
            <w:r>
              <w:rPr>
                <w:rFonts w:hint="default"/>
                <w:color w:val="FF0000"/>
                <w:sz w:val="24"/>
              </w:rPr>
              <w:t>并做好防雨、防晒、防渗、防扬散和防火等措施，危废贮存区域为重点防渗区，防止二次污染发生，并应按以下要求对危险废物进行管理。</w:t>
            </w:r>
          </w:p>
          <w:p w14:paraId="70DEA702">
            <w:pPr>
              <w:keepNext w:val="0"/>
              <w:keepLines w:val="0"/>
              <w:widowControl/>
              <w:suppressLineNumbers w:val="0"/>
              <w:spacing w:before="0" w:beforeAutospacing="0" w:after="0" w:afterAutospacing="0" w:line="360" w:lineRule="auto"/>
              <w:ind w:left="0" w:right="0" w:firstLine="482" w:firstLineChars="200"/>
              <w:rPr>
                <w:rFonts w:hint="default"/>
                <w:b/>
                <w:bCs/>
                <w:color w:val="FF0000"/>
                <w:sz w:val="24"/>
              </w:rPr>
            </w:pPr>
            <w:r>
              <w:rPr>
                <w:rFonts w:hint="default"/>
                <w:b/>
                <w:bCs/>
                <w:color w:val="FF0000"/>
                <w:sz w:val="24"/>
              </w:rPr>
              <w:t>危险废物贮存</w:t>
            </w:r>
            <w:r>
              <w:rPr>
                <w:rFonts w:hint="eastAsia"/>
                <w:b/>
                <w:bCs/>
                <w:color w:val="FF0000"/>
                <w:sz w:val="24"/>
              </w:rPr>
              <w:t>库</w:t>
            </w:r>
            <w:r>
              <w:rPr>
                <w:rFonts w:hint="default"/>
                <w:b/>
                <w:bCs/>
                <w:color w:val="FF0000"/>
                <w:sz w:val="24"/>
              </w:rPr>
              <w:t>污染控制要求：</w:t>
            </w:r>
          </w:p>
          <w:p w14:paraId="5B182734">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①贮存设施应采取必要的防风、防晒、防雨、防漏、防渗、防腐以及其他环境污染防治措施，不应露天堆放危险废物。</w:t>
            </w:r>
          </w:p>
          <w:p w14:paraId="538F3296">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②贮存设施应设置必要的贮存分区，避免不相容的危险废物接触、混合。</w:t>
            </w:r>
          </w:p>
          <w:p w14:paraId="3D06D0EF">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③贮存设施应采用坚固的材料建造，表面无裂缝。</w:t>
            </w:r>
          </w:p>
          <w:p w14:paraId="0BD92104">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color w:val="FF0000"/>
                <w:sz w:val="24"/>
                <w:vertAlign w:val="superscript"/>
              </w:rPr>
              <w:t>-7</w:t>
            </w:r>
            <w:r>
              <w:rPr>
                <w:rFonts w:hint="default"/>
                <w:color w:val="FF0000"/>
                <w:sz w:val="24"/>
              </w:rPr>
              <w:t>cm/s），或至少2mm厚高密度聚乙烯膜等人工防渗材料（渗透系数不大于10</w:t>
            </w:r>
            <w:r>
              <w:rPr>
                <w:rFonts w:hint="default"/>
                <w:color w:val="FF0000"/>
                <w:sz w:val="24"/>
                <w:vertAlign w:val="superscript"/>
              </w:rPr>
              <w:t>-10</w:t>
            </w:r>
            <w:r>
              <w:rPr>
                <w:rFonts w:hint="default"/>
                <w:color w:val="FF0000"/>
                <w:sz w:val="24"/>
              </w:rPr>
              <w:t>cm/s），或其他防渗性能等效的材料。</w:t>
            </w:r>
          </w:p>
          <w:p w14:paraId="0389EB0D">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⑤同一贮存设施宜采用相同的防渗、防腐工艺（包括防渗、防腐结构或材料），防渗、防腐材料应覆盖所有可能与废物及其渗滤液、渗漏液等接触的构筑物表面；采用不同防渗、防腐工艺应分别建设贮存分区。</w:t>
            </w:r>
          </w:p>
          <w:p w14:paraId="65C71609">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⑥贮存设施应采取技术和管理措施防止无关人员进入。</w:t>
            </w:r>
          </w:p>
          <w:p w14:paraId="1AAEE2FC">
            <w:pPr>
              <w:keepNext w:val="0"/>
              <w:keepLines w:val="0"/>
              <w:widowControl/>
              <w:suppressLineNumbers w:val="0"/>
              <w:spacing w:before="0" w:beforeAutospacing="0" w:after="0" w:afterAutospacing="0" w:line="360" w:lineRule="auto"/>
              <w:ind w:left="0" w:right="0" w:firstLine="482" w:firstLineChars="200"/>
              <w:rPr>
                <w:rFonts w:hint="default"/>
                <w:b/>
                <w:bCs/>
                <w:color w:val="FF0000"/>
                <w:sz w:val="24"/>
              </w:rPr>
            </w:pPr>
            <w:r>
              <w:rPr>
                <w:rFonts w:hint="default"/>
                <w:b/>
                <w:bCs/>
                <w:color w:val="FF0000"/>
                <w:sz w:val="24"/>
              </w:rPr>
              <w:t>贮存过程污染控制要求：</w:t>
            </w:r>
          </w:p>
          <w:p w14:paraId="713A42CB">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①废</w:t>
            </w:r>
            <w:r>
              <w:rPr>
                <w:rFonts w:hint="eastAsia"/>
                <w:color w:val="FF0000"/>
                <w:sz w:val="24"/>
                <w:lang w:val="en-US" w:eastAsia="zh-CN"/>
              </w:rPr>
              <w:t>润滑油</w:t>
            </w:r>
            <w:r>
              <w:rPr>
                <w:rFonts w:hint="default"/>
                <w:color w:val="FF0000"/>
                <w:sz w:val="24"/>
              </w:rPr>
              <w:t>应装入容器内贮存；</w:t>
            </w:r>
          </w:p>
          <w:p w14:paraId="63A06673">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②</w:t>
            </w:r>
            <w:r>
              <w:rPr>
                <w:rFonts w:hint="eastAsia"/>
                <w:color w:val="FF0000"/>
                <w:sz w:val="24"/>
              </w:rPr>
              <w:t>盛装废</w:t>
            </w:r>
            <w:r>
              <w:rPr>
                <w:rFonts w:hint="eastAsia"/>
                <w:color w:val="FF0000"/>
                <w:sz w:val="24"/>
                <w:lang w:val="en-US" w:eastAsia="zh-CN"/>
              </w:rPr>
              <w:t>润滑油</w:t>
            </w:r>
            <w:r>
              <w:rPr>
                <w:rFonts w:hint="eastAsia"/>
                <w:color w:val="FF0000"/>
                <w:sz w:val="24"/>
              </w:rPr>
              <w:t>的油桶/其他容器</w:t>
            </w:r>
            <w:r>
              <w:rPr>
                <w:rFonts w:hint="eastAsia"/>
                <w:color w:val="FF0000"/>
                <w:sz w:val="24"/>
                <w:lang w:val="en-US" w:eastAsia="zh-CN"/>
              </w:rPr>
              <w:t>应</w:t>
            </w:r>
            <w:r>
              <w:rPr>
                <w:rFonts w:hint="eastAsia"/>
                <w:color w:val="FF0000"/>
                <w:sz w:val="24"/>
              </w:rPr>
              <w:t>置于托盘上</w:t>
            </w:r>
            <w:r>
              <w:rPr>
                <w:rFonts w:hint="default"/>
                <w:color w:val="FF0000"/>
                <w:sz w:val="24"/>
              </w:rPr>
              <w:t>；</w:t>
            </w:r>
          </w:p>
          <w:p w14:paraId="294F280D">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③运行期间，应按国家有关标准和规定建立危险废物管理台账并保存；</w:t>
            </w:r>
          </w:p>
          <w:p w14:paraId="2E754687">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④建立贮存设施环境管理制度、管理人员岗位职责制度、设施运行操作制度、人员岗位培训制度等。</w:t>
            </w:r>
          </w:p>
          <w:p w14:paraId="1CF65CE1">
            <w:pPr>
              <w:keepNext w:val="0"/>
              <w:keepLines w:val="0"/>
              <w:widowControl/>
              <w:suppressLineNumbers w:val="0"/>
              <w:spacing w:before="0" w:beforeAutospacing="0" w:after="0" w:afterAutospacing="0" w:line="360" w:lineRule="auto"/>
              <w:ind w:left="0" w:right="0" w:firstLine="482" w:firstLineChars="200"/>
              <w:rPr>
                <w:rFonts w:hint="default"/>
                <w:b/>
                <w:bCs/>
                <w:color w:val="FF0000"/>
                <w:sz w:val="24"/>
              </w:rPr>
            </w:pPr>
            <w:r>
              <w:rPr>
                <w:rFonts w:hint="default"/>
                <w:b/>
                <w:bCs/>
                <w:color w:val="FF0000"/>
                <w:sz w:val="24"/>
              </w:rPr>
              <w:t>贮存</w:t>
            </w:r>
            <w:r>
              <w:rPr>
                <w:rFonts w:hint="eastAsia"/>
                <w:b/>
                <w:bCs/>
                <w:color w:val="FF0000"/>
                <w:sz w:val="24"/>
              </w:rPr>
              <w:t>库</w:t>
            </w:r>
            <w:r>
              <w:rPr>
                <w:rFonts w:hint="default"/>
                <w:b/>
                <w:bCs/>
                <w:color w:val="FF0000"/>
                <w:sz w:val="24"/>
              </w:rPr>
              <w:t>环境管理要求：</w:t>
            </w:r>
          </w:p>
          <w:p w14:paraId="0D80F41F">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①贮存</w:t>
            </w:r>
            <w:r>
              <w:rPr>
                <w:rFonts w:hint="eastAsia"/>
                <w:color w:val="FF0000"/>
                <w:sz w:val="24"/>
              </w:rPr>
              <w:t>库</w:t>
            </w:r>
            <w:r>
              <w:rPr>
                <w:rFonts w:hint="default"/>
                <w:color w:val="FF0000"/>
                <w:sz w:val="24"/>
              </w:rPr>
              <w:t xml:space="preserve">应具有固定的区域边界，采取防风、防雨、防晒和防止危险废物流失、扬散等措施，危险废物应置于容器或包装物中，不应直接散堆； </w:t>
            </w:r>
          </w:p>
          <w:p w14:paraId="244D3B1E">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②贮存</w:t>
            </w:r>
            <w:r>
              <w:rPr>
                <w:rFonts w:hint="eastAsia"/>
                <w:color w:val="FF0000"/>
                <w:sz w:val="24"/>
              </w:rPr>
              <w:t>库</w:t>
            </w:r>
            <w:r>
              <w:rPr>
                <w:rFonts w:hint="default"/>
                <w:color w:val="FF0000"/>
                <w:sz w:val="24"/>
              </w:rPr>
              <w:t>应及时清运贮存的危险废物，实时贮存量不应超过3吨；</w:t>
            </w:r>
          </w:p>
          <w:p w14:paraId="27D261E8">
            <w:pPr>
              <w:keepNext w:val="0"/>
              <w:keepLines w:val="0"/>
              <w:widowControl/>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③在转移危险废物前，须按照国家有关规定报批危险废物转移计划；经批准后，产生单位应当向移出地环境保护行政主管部门申请领取联单。联单保存期限为五年。</w:t>
            </w:r>
          </w:p>
          <w:p w14:paraId="3335A36E">
            <w:pPr>
              <w:keepNext w:val="0"/>
              <w:keepLines w:val="0"/>
              <w:suppressLineNumbers w:val="0"/>
              <w:spacing w:before="0" w:beforeAutospacing="0" w:after="0" w:afterAutospacing="0" w:line="360" w:lineRule="auto"/>
              <w:ind w:left="0" w:right="0" w:firstLine="482" w:firstLineChars="200"/>
              <w:rPr>
                <w:rFonts w:hint="default"/>
                <w:b/>
                <w:bCs/>
                <w:color w:val="FF0000"/>
                <w:sz w:val="24"/>
                <w:szCs w:val="22"/>
              </w:rPr>
            </w:pPr>
            <w:r>
              <w:rPr>
                <w:rFonts w:hint="default"/>
                <w:b/>
                <w:bCs/>
                <w:color w:val="FF0000"/>
                <w:sz w:val="24"/>
                <w:szCs w:val="22"/>
              </w:rPr>
              <w:t>危险废物标识管理：</w:t>
            </w:r>
          </w:p>
          <w:p w14:paraId="69A962FF">
            <w:pPr>
              <w:keepNext w:val="0"/>
              <w:keepLines w:val="0"/>
              <w:suppressLineNumbers w:val="0"/>
              <w:spacing w:before="0" w:beforeAutospacing="0" w:after="0" w:afterAutospacing="0" w:line="360" w:lineRule="auto"/>
              <w:ind w:left="0" w:right="0" w:firstLine="480" w:firstLineChars="200"/>
              <w:rPr>
                <w:rFonts w:hint="default"/>
                <w:color w:val="FF0000"/>
                <w:sz w:val="24"/>
              </w:rPr>
            </w:pPr>
            <w:r>
              <w:rPr>
                <w:rFonts w:hint="default"/>
                <w:color w:val="FF0000"/>
                <w:sz w:val="24"/>
              </w:rPr>
              <w:t>危险废物贮存设施按《环境保护图形标志-固体废物贮存（处置）场》（GB15562.2-1995）、《危险废物识别标志设置技术规范》（HJ 1276—2022）中的规定，规范立标设置环保标识牌。</w:t>
            </w:r>
          </w:p>
          <w:p w14:paraId="4157B75F">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rPr>
            </w:pPr>
            <w:r>
              <w:rPr>
                <w:rFonts w:hint="eastAsia" w:cs="Times New Roman"/>
                <w:b/>
                <w:bCs/>
                <w:color w:val="auto"/>
                <w:sz w:val="24"/>
                <w:lang w:val="en-US" w:eastAsia="zh-CN"/>
              </w:rPr>
              <w:t>5、</w:t>
            </w:r>
            <w:r>
              <w:rPr>
                <w:rFonts w:hint="default" w:ascii="Times New Roman" w:hAnsi="Times New Roman" w:cs="Times New Roman"/>
                <w:b/>
                <w:bCs/>
                <w:color w:val="auto"/>
                <w:sz w:val="24"/>
              </w:rPr>
              <w:t>环境影响分析</w:t>
            </w:r>
          </w:p>
          <w:p w14:paraId="20981F4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由前文可知，项目一般固体废物、危险废物及生活垃圾均得到合理处置，处置率100%。</w:t>
            </w:r>
          </w:p>
          <w:p w14:paraId="15483E6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综上，通过加强管理，认真落实环保措施，及时清运固废，项目产生固废对周边环境的影响是可以得到控制的，不会对外环境造成明显的影响。</w:t>
            </w:r>
          </w:p>
          <w:p w14:paraId="737283AA">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五</w:t>
            </w:r>
            <w:r>
              <w:rPr>
                <w:rFonts w:hint="default"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土壤、</w:t>
            </w:r>
            <w:r>
              <w:rPr>
                <w:rFonts w:hint="default" w:ascii="Times New Roman" w:hAnsi="Times New Roman" w:eastAsia="宋体" w:cs="Times New Roman"/>
                <w:b/>
                <w:bCs/>
                <w:color w:val="auto"/>
                <w:sz w:val="24"/>
                <w:highlight w:val="none"/>
                <w:lang w:val="en-US" w:eastAsia="zh-CN"/>
              </w:rPr>
              <w:t>地下水环境影响分析</w:t>
            </w:r>
          </w:p>
          <w:p w14:paraId="3F47B969">
            <w:pPr>
              <w:pStyle w:val="1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根据本项目的特征分析，土壤、地下水环境影响因素主要为危险废物储存不当、</w:t>
            </w:r>
            <w:r>
              <w:rPr>
                <w:rFonts w:hint="eastAsia" w:ascii="Times New Roman" w:hAnsi="Times New Roman" w:eastAsia="宋体" w:cs="Times New Roman"/>
                <w:color w:val="000000"/>
                <w:sz w:val="24"/>
                <w:szCs w:val="24"/>
                <w:highlight w:val="none"/>
                <w:lang w:val="en-US" w:eastAsia="zh-CN"/>
              </w:rPr>
              <w:t>危废贮存库</w:t>
            </w:r>
            <w:r>
              <w:rPr>
                <w:rFonts w:hint="default" w:ascii="Times New Roman" w:hAnsi="Times New Roman" w:eastAsia="宋体" w:cs="Times New Roman"/>
                <w:color w:val="000000"/>
                <w:sz w:val="24"/>
                <w:szCs w:val="24"/>
                <w:highlight w:val="none"/>
                <w:lang w:val="en-US" w:eastAsia="zh-CN"/>
              </w:rPr>
              <w:t>发生泄露时，污染物渗漏进入土壤，导致土质和土壤结构的改变，危害土壤、地下水环境。</w:t>
            </w:r>
          </w:p>
          <w:p w14:paraId="3F3B9C9E">
            <w:pPr>
              <w:pStyle w:val="1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为减小对</w:t>
            </w:r>
            <w:r>
              <w:rPr>
                <w:rFonts w:hint="default" w:ascii="Times New Roman" w:hAnsi="Times New Roman" w:eastAsia="宋体" w:cs="Times New Roman"/>
                <w:color w:val="000000"/>
                <w:sz w:val="24"/>
                <w:szCs w:val="24"/>
                <w:highlight w:val="none"/>
                <w:lang w:val="en-US" w:eastAsia="zh-CN"/>
              </w:rPr>
              <w:t>土壤、地下水的影响</w:t>
            </w:r>
            <w:r>
              <w:rPr>
                <w:rFonts w:hint="eastAsia" w:ascii="Times New Roman" w:hAnsi="Times New Roman" w:eastAsia="宋体" w:cs="Times New Roman"/>
                <w:color w:val="000000"/>
                <w:sz w:val="24"/>
                <w:szCs w:val="24"/>
                <w:highlight w:val="none"/>
                <w:lang w:val="en-US" w:eastAsia="zh-CN"/>
              </w:rPr>
              <w:t>，环评提出如下保护要求：</w:t>
            </w:r>
          </w:p>
          <w:p w14:paraId="38A3948C">
            <w:pPr>
              <w:pStyle w:val="18"/>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加强危废贮存库的检查，并配套设置一定的吸油毡及托盘；（2）加强各装置巡检，污染物泄漏要及时发现及时处理，固废及时处置；（3）</w:t>
            </w:r>
            <w:r>
              <w:rPr>
                <w:rFonts w:hint="default" w:ascii="Times New Roman" w:hAnsi="Times New Roman" w:eastAsia="宋体" w:cs="Times New Roman"/>
                <w:color w:val="000000"/>
                <w:sz w:val="24"/>
                <w:szCs w:val="24"/>
                <w:highlight w:val="none"/>
                <w:lang w:val="en-US" w:eastAsia="zh-CN"/>
              </w:rPr>
              <w:t>参照《环境影响评价技术导则 地下水环境》（HJ610-2016）</w:t>
            </w:r>
            <w:r>
              <w:rPr>
                <w:rFonts w:hint="eastAsia" w:ascii="Times New Roman" w:hAnsi="Times New Roman" w:eastAsia="宋体" w:cs="Times New Roman"/>
                <w:color w:val="000000"/>
                <w:sz w:val="24"/>
                <w:szCs w:val="24"/>
                <w:highlight w:val="none"/>
                <w:lang w:val="en-US" w:eastAsia="zh-CN"/>
              </w:rPr>
              <w:t>进行</w:t>
            </w:r>
            <w:r>
              <w:rPr>
                <w:rFonts w:hint="default" w:ascii="Times New Roman" w:hAnsi="Times New Roman" w:eastAsia="宋体" w:cs="Times New Roman"/>
                <w:color w:val="000000"/>
                <w:sz w:val="24"/>
                <w:szCs w:val="24"/>
                <w:highlight w:val="none"/>
                <w:lang w:val="en-US" w:eastAsia="zh-CN"/>
              </w:rPr>
              <w:t>分区防</w:t>
            </w:r>
            <w:r>
              <w:rPr>
                <w:rFonts w:hint="eastAsia" w:ascii="Times New Roman" w:hAnsi="Times New Roman" w:eastAsia="宋体" w:cs="Times New Roman"/>
                <w:color w:val="000000"/>
                <w:sz w:val="24"/>
                <w:szCs w:val="24"/>
                <w:highlight w:val="none"/>
                <w:lang w:val="en-US" w:eastAsia="zh-CN"/>
              </w:rPr>
              <w:t>控，从源头上解决污染物垂直入渗。</w:t>
            </w:r>
          </w:p>
          <w:p w14:paraId="2A0F7269">
            <w:pPr>
              <w:pStyle w:val="1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w:t>
            </w:r>
            <w:r>
              <w:rPr>
                <w:rFonts w:hint="default" w:ascii="Times New Roman" w:hAnsi="Times New Roman" w:eastAsia="宋体" w:cs="Times New Roman"/>
                <w:color w:val="000000"/>
                <w:sz w:val="24"/>
                <w:szCs w:val="24"/>
                <w:highlight w:val="none"/>
                <w:lang w:val="en-US" w:eastAsia="zh-CN"/>
              </w:rPr>
              <w:t>项目各场地分区防控要求见下表。</w:t>
            </w:r>
          </w:p>
          <w:p w14:paraId="58BBBC78">
            <w:pPr>
              <w:pStyle w:val="82"/>
              <w:keepNext w:val="0"/>
              <w:keepLines w:val="0"/>
              <w:pageBreakBefore w:val="0"/>
              <w:widowControl/>
              <w:suppressLineNumbers w:val="0"/>
              <w:kinsoku/>
              <w:wordWrap/>
              <w:overflowPunct/>
              <w:topLinePunct w:val="0"/>
              <w:autoSpaceDE/>
              <w:autoSpaceDN/>
              <w:bidi w:val="0"/>
              <w:adjustRightInd/>
              <w:snapToGrid/>
              <w:spacing w:before="0" w:beforeLines="0" w:beforeAutospacing="0" w:afterAutospacing="0" w:line="500" w:lineRule="exact"/>
              <w:ind w:right="0" w:firstLine="1054" w:firstLineChars="500"/>
              <w:jc w:val="both"/>
              <w:textAlignment w:val="auto"/>
              <w:rPr>
                <w:rFonts w:hint="default" w:eastAsia="宋体"/>
                <w:b/>
                <w:bCs/>
                <w:color w:val="000000"/>
                <w:sz w:val="21"/>
                <w:szCs w:val="20"/>
                <w:highlight w:val="none"/>
              </w:rPr>
            </w:pPr>
            <w:r>
              <w:rPr>
                <w:rFonts w:hint="default" w:eastAsia="宋体"/>
                <w:b/>
                <w:bCs/>
                <w:color w:val="000000"/>
                <w:sz w:val="21"/>
                <w:szCs w:val="20"/>
                <w:highlight w:val="none"/>
              </w:rPr>
              <w:t>表</w:t>
            </w:r>
            <w:r>
              <w:rPr>
                <w:rFonts w:hint="eastAsia" w:eastAsia="宋体"/>
                <w:b/>
                <w:bCs/>
                <w:color w:val="000000"/>
                <w:sz w:val="21"/>
                <w:szCs w:val="20"/>
                <w:highlight w:val="none"/>
              </w:rPr>
              <w:t>4-</w:t>
            </w:r>
            <w:r>
              <w:rPr>
                <w:rFonts w:hint="eastAsia" w:eastAsia="宋体"/>
                <w:b/>
                <w:bCs/>
                <w:color w:val="000000"/>
                <w:sz w:val="21"/>
                <w:szCs w:val="20"/>
                <w:highlight w:val="none"/>
                <w:lang w:val="en-US" w:eastAsia="zh-CN"/>
              </w:rPr>
              <w:t>14       扩建</w:t>
            </w:r>
            <w:r>
              <w:rPr>
                <w:rFonts w:hint="eastAsia" w:eastAsia="宋体"/>
                <w:b/>
                <w:bCs/>
                <w:color w:val="000000"/>
                <w:sz w:val="21"/>
                <w:szCs w:val="20"/>
                <w:highlight w:val="none"/>
              </w:rPr>
              <w:t>项目各场地分区防控要求一览表</w:t>
            </w:r>
          </w:p>
          <w:tbl>
            <w:tblPr>
              <w:tblStyle w:val="35"/>
              <w:tblW w:w="499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1853"/>
              <w:gridCol w:w="3703"/>
            </w:tblGrid>
            <w:tr w14:paraId="7A2D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627" w:type="pct"/>
                  <w:noWrap w:val="0"/>
                  <w:vAlign w:val="center"/>
                </w:tcPr>
                <w:p w14:paraId="5D3A1FA4">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场地名称</w:t>
                  </w:r>
                </w:p>
              </w:tc>
              <w:tc>
                <w:tcPr>
                  <w:tcW w:w="1124" w:type="pct"/>
                  <w:noWrap w:val="0"/>
                  <w:vAlign w:val="center"/>
                </w:tcPr>
                <w:p w14:paraId="271310CB">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防渗分区</w:t>
                  </w:r>
                </w:p>
              </w:tc>
              <w:tc>
                <w:tcPr>
                  <w:tcW w:w="2247" w:type="pct"/>
                  <w:noWrap w:val="0"/>
                  <w:vAlign w:val="center"/>
                </w:tcPr>
                <w:p w14:paraId="4243CE2F">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防渗技术要求</w:t>
                  </w:r>
                </w:p>
              </w:tc>
            </w:tr>
            <w:tr w14:paraId="206A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27" w:type="pct"/>
                  <w:noWrap w:val="0"/>
                  <w:vAlign w:val="center"/>
                </w:tcPr>
                <w:p w14:paraId="0EE90682">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危废贮存库</w:t>
                  </w:r>
                </w:p>
              </w:tc>
              <w:tc>
                <w:tcPr>
                  <w:tcW w:w="1124" w:type="pct"/>
                  <w:noWrap w:val="0"/>
                  <w:vAlign w:val="center"/>
                </w:tcPr>
                <w:p w14:paraId="5E65C688">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重点防渗区</w:t>
                  </w:r>
                </w:p>
              </w:tc>
              <w:tc>
                <w:tcPr>
                  <w:tcW w:w="2247" w:type="pct"/>
                  <w:shd w:val="clear" w:color="auto" w:fill="auto"/>
                  <w:noWrap w:val="0"/>
                  <w:vAlign w:val="center"/>
                </w:tcPr>
                <w:p w14:paraId="02F73025">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渗透</w:t>
                  </w:r>
                  <w:r>
                    <w:rPr>
                      <w:rFonts w:hint="default" w:ascii="Times New Roman" w:hAnsi="Times New Roman" w:eastAsia="宋体" w:cs="Times New Roman"/>
                      <w:color w:val="000000"/>
                      <w:sz w:val="21"/>
                      <w:szCs w:val="21"/>
                      <w:highlight w:val="none"/>
                    </w:rPr>
                    <w:t>系数≤</w:t>
                  </w:r>
                  <w:r>
                    <w:rPr>
                      <w:rFonts w:hint="eastAsia" w:ascii="Times New Roman" w:hAnsi="Times New Roman" w:eastAsia="宋体" w:cs="Times New Roman"/>
                      <w:color w:val="000000"/>
                      <w:sz w:val="21"/>
                      <w:szCs w:val="21"/>
                      <w:highlight w:val="none"/>
                      <w:lang w:val="en-US" w:eastAsia="zh-CN"/>
                    </w:rPr>
                    <w:t>1</w:t>
                  </w:r>
                  <w:r>
                    <w:rPr>
                      <w:rFonts w:hint="default"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10</w:t>
                  </w:r>
                  <w:r>
                    <w:rPr>
                      <w:rFonts w:hint="default" w:ascii="Times New Roman" w:hAnsi="Times New Roman" w:eastAsia="宋体" w:cs="Times New Roman"/>
                      <w:color w:val="000000"/>
                      <w:sz w:val="21"/>
                      <w:szCs w:val="21"/>
                      <w:highlight w:val="none"/>
                      <w:vertAlign w:val="superscript"/>
                    </w:rPr>
                    <w:t xml:space="preserve">-10 </w:t>
                  </w:r>
                  <w:r>
                    <w:rPr>
                      <w:rFonts w:hint="default" w:ascii="Times New Roman" w:hAnsi="Times New Roman" w:eastAsia="宋体" w:cs="Times New Roman"/>
                      <w:color w:val="000000"/>
                      <w:sz w:val="21"/>
                      <w:szCs w:val="21"/>
                      <w:highlight w:val="none"/>
                    </w:rPr>
                    <w:t>cm/s</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设置裙角，裙角要用坚固、防渗的材料建造</w:t>
                  </w:r>
                  <w:r>
                    <w:rPr>
                      <w:rFonts w:hint="eastAsia" w:ascii="Times New Roman" w:hAnsi="Times New Roman" w:eastAsia="宋体" w:cs="Times New Roman"/>
                      <w:color w:val="000000"/>
                      <w:sz w:val="21"/>
                      <w:szCs w:val="21"/>
                      <w:highlight w:val="none"/>
                      <w:lang w:eastAsia="zh-CN"/>
                    </w:rPr>
                    <w:t>。</w:t>
                  </w:r>
                </w:p>
              </w:tc>
            </w:tr>
            <w:tr w14:paraId="4BCD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27" w:type="pct"/>
                  <w:noWrap w:val="0"/>
                  <w:vAlign w:val="center"/>
                </w:tcPr>
                <w:p w14:paraId="2023A64D">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辅助车间、化粪池</w:t>
                  </w:r>
                  <w:r>
                    <w:rPr>
                      <w:rFonts w:hint="eastAsia" w:cs="Times New Roman"/>
                      <w:color w:val="000000"/>
                      <w:sz w:val="21"/>
                      <w:szCs w:val="21"/>
                      <w:highlight w:val="none"/>
                      <w:lang w:val="en-US" w:eastAsia="zh-CN"/>
                    </w:rPr>
                    <w:t>、污水处理站</w:t>
                  </w:r>
                </w:p>
              </w:tc>
              <w:tc>
                <w:tcPr>
                  <w:tcW w:w="1124" w:type="pct"/>
                  <w:noWrap w:val="0"/>
                  <w:vAlign w:val="center"/>
                </w:tcPr>
                <w:p w14:paraId="772E1C98">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一般防渗区</w:t>
                  </w:r>
                </w:p>
              </w:tc>
              <w:tc>
                <w:tcPr>
                  <w:tcW w:w="2247" w:type="pct"/>
                  <w:shd w:val="clear" w:color="auto" w:fill="auto"/>
                  <w:noWrap w:val="0"/>
                  <w:vAlign w:val="center"/>
                </w:tcPr>
                <w:p w14:paraId="4A6BBBD7">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sz w:val="21"/>
                      <w:szCs w:val="21"/>
                      <w:highlight w:val="none"/>
                      <w:lang w:val="en-US" w:eastAsia="zh-CN"/>
                    </w:rPr>
                  </w:pPr>
                  <w:r>
                    <w:rPr>
                      <w:rFonts w:hint="eastAsia"/>
                      <w:kern w:val="0"/>
                      <w:szCs w:val="21"/>
                      <w:lang w:val="en-US" w:eastAsia="zh-CN"/>
                    </w:rPr>
                    <w:t>渗透</w:t>
                  </w:r>
                  <w:r>
                    <w:rPr>
                      <w:rFonts w:hint="default"/>
                      <w:kern w:val="0"/>
                      <w:szCs w:val="21"/>
                    </w:rPr>
                    <w:t>系数≤</w:t>
                  </w:r>
                  <w:r>
                    <w:rPr>
                      <w:rFonts w:hint="eastAsia"/>
                      <w:kern w:val="0"/>
                      <w:szCs w:val="21"/>
                      <w:lang w:val="en-US" w:eastAsia="zh-CN"/>
                    </w:rPr>
                    <w:t>1</w:t>
                  </w:r>
                  <w:r>
                    <w:rPr>
                      <w:rFonts w:hint="default" w:ascii="Times New Roman" w:hAnsi="Times New Roman" w:cs="Times New Roman"/>
                      <w:kern w:val="0"/>
                      <w:szCs w:val="21"/>
                      <w:lang w:val="en-US" w:eastAsia="zh-CN"/>
                    </w:rPr>
                    <w:t>×</w:t>
                  </w:r>
                  <w:r>
                    <w:rPr>
                      <w:rFonts w:hint="default"/>
                      <w:kern w:val="0"/>
                      <w:szCs w:val="21"/>
                    </w:rPr>
                    <w:t xml:space="preserve">10 </w:t>
                  </w:r>
                  <w:r>
                    <w:rPr>
                      <w:rFonts w:hint="default"/>
                      <w:kern w:val="0"/>
                      <w:szCs w:val="21"/>
                      <w:vertAlign w:val="superscript"/>
                    </w:rPr>
                    <w:t>-7</w:t>
                  </w:r>
                  <w:r>
                    <w:rPr>
                      <w:rFonts w:hint="default"/>
                      <w:kern w:val="0"/>
                      <w:szCs w:val="21"/>
                    </w:rPr>
                    <w:t xml:space="preserve"> cm/s</w:t>
                  </w:r>
                </w:p>
              </w:tc>
            </w:tr>
            <w:tr w14:paraId="1476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27" w:type="pct"/>
                  <w:shd w:val="clear" w:color="auto" w:fill="auto"/>
                  <w:noWrap w:val="0"/>
                  <w:vAlign w:val="center"/>
                </w:tcPr>
                <w:p w14:paraId="2515B3EF">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其余车间、综合办公楼等</w:t>
                  </w:r>
                </w:p>
              </w:tc>
              <w:tc>
                <w:tcPr>
                  <w:tcW w:w="1124" w:type="pct"/>
                  <w:shd w:val="clear" w:color="auto" w:fill="auto"/>
                  <w:noWrap w:val="0"/>
                  <w:vAlign w:val="center"/>
                </w:tcPr>
                <w:p w14:paraId="46782BFD">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简单</w:t>
                  </w:r>
                  <w:r>
                    <w:rPr>
                      <w:rFonts w:hint="default" w:ascii="Times New Roman" w:hAnsi="Times New Roman" w:eastAsia="宋体" w:cs="Times New Roman"/>
                      <w:color w:val="000000"/>
                      <w:sz w:val="21"/>
                      <w:szCs w:val="21"/>
                      <w:highlight w:val="none"/>
                    </w:rPr>
                    <w:t>防渗区</w:t>
                  </w:r>
                </w:p>
              </w:tc>
              <w:tc>
                <w:tcPr>
                  <w:tcW w:w="2247" w:type="pct"/>
                  <w:shd w:val="clear" w:color="auto" w:fill="auto"/>
                  <w:noWrap w:val="0"/>
                  <w:vAlign w:val="center"/>
                </w:tcPr>
                <w:p w14:paraId="7EC4A68C">
                  <w:pPr>
                    <w:pStyle w:val="83"/>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textAlignment w:val="bottom"/>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地面硬化</w:t>
                  </w:r>
                </w:p>
              </w:tc>
            </w:tr>
          </w:tbl>
          <w:p w14:paraId="1F2D74C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FF"/>
                <w:sz w:val="24"/>
                <w:highlight w:val="none"/>
              </w:rPr>
            </w:pPr>
            <w:r>
              <w:rPr>
                <w:rFonts w:hint="default" w:ascii="Times New Roman" w:hAnsi="Times New Roman" w:eastAsia="宋体" w:cs="Times New Roman"/>
                <w:color w:val="000000"/>
                <w:kern w:val="0"/>
                <w:sz w:val="24"/>
                <w:szCs w:val="24"/>
              </w:rPr>
              <w:t>在建设单位针对土壤、地下水污染源都做出相应的防范措施后，可减轻因项目建设对土壤、地下水产生的影响。综上所述，企业在加强管理，强化防渗措施的前提下，对项目所在区域地下水、土壤环境造成影响较小。</w:t>
            </w:r>
          </w:p>
          <w:p w14:paraId="7E0A4945">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color w:val="auto"/>
                <w:sz w:val="24"/>
                <w:lang w:val="zh-CN" w:bidi="zh-CN"/>
              </w:rPr>
            </w:pPr>
            <w:r>
              <w:rPr>
                <w:rFonts w:hint="default" w:ascii="Times New Roman" w:hAnsi="Times New Roman" w:eastAsia="宋体" w:cs="Times New Roman"/>
                <w:b/>
                <w:bCs/>
                <w:color w:val="auto"/>
                <w:sz w:val="24"/>
                <w:lang w:val="en-US" w:eastAsia="zh-CN"/>
              </w:rPr>
              <w:t>六、</w:t>
            </w:r>
            <w:r>
              <w:rPr>
                <w:rFonts w:hint="default" w:ascii="Times New Roman" w:hAnsi="Times New Roman" w:cs="Times New Roman"/>
                <w:b/>
                <w:bCs/>
                <w:color w:val="auto"/>
                <w:sz w:val="24"/>
                <w:lang w:val="zh-CN" w:bidi="zh-CN"/>
              </w:rPr>
              <w:t>环境风险分析</w:t>
            </w:r>
          </w:p>
          <w:p w14:paraId="27351DD2">
            <w:pPr>
              <w:pStyle w:val="8"/>
              <w:keepNext w:val="0"/>
              <w:keepLines w:val="0"/>
              <w:numPr>
                <w:ilvl w:val="0"/>
                <w:numId w:val="0"/>
              </w:numPr>
              <w:suppressLineNumbers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环境风险</w:t>
            </w:r>
            <w:r>
              <w:rPr>
                <w:rFonts w:hint="default" w:ascii="Times New Roman" w:hAnsi="Times New Roman" w:eastAsia="宋体" w:cs="Times New Roman"/>
                <w:color w:val="000000"/>
                <w:kern w:val="0"/>
                <w:sz w:val="24"/>
                <w:szCs w:val="24"/>
              </w:rPr>
              <w:t>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679DE2C3">
            <w:pPr>
              <w:pStyle w:val="8"/>
              <w:keepNext w:val="0"/>
              <w:keepLines w:val="0"/>
              <w:suppressLineNumbers w:val="0"/>
              <w:adjustRightInd w:val="0"/>
              <w:spacing w:before="0" w:beforeAutospacing="0" w:after="0" w:afterAutospacing="0" w:line="360" w:lineRule="auto"/>
              <w:ind w:left="0" w:right="0" w:firstLine="454"/>
              <w:textAlignment w:val="baseline"/>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lang w:eastAsia="zh-CN"/>
              </w:rPr>
              <w:t>（</w:t>
            </w:r>
            <w:r>
              <w:rPr>
                <w:rFonts w:hint="default" w:ascii="Times New Roman" w:hAnsi="Times New Roman" w:eastAsia="宋体" w:cs="Times New Roman"/>
                <w:b w:val="0"/>
                <w:bCs w:val="0"/>
                <w:color w:val="000000"/>
                <w:kern w:val="0"/>
                <w:sz w:val="24"/>
                <w:szCs w:val="24"/>
                <w:lang w:val="en-US" w:eastAsia="zh-CN"/>
              </w:rPr>
              <w:t>1</w:t>
            </w:r>
            <w:r>
              <w:rPr>
                <w:rFonts w:hint="default" w:ascii="Times New Roman" w:hAnsi="Times New Roman" w:eastAsia="宋体" w:cs="Times New Roman"/>
                <w:b w:val="0"/>
                <w:bCs w:val="0"/>
                <w:color w:val="000000"/>
                <w:kern w:val="0"/>
                <w:sz w:val="24"/>
                <w:szCs w:val="24"/>
                <w:lang w:eastAsia="zh-CN"/>
              </w:rPr>
              <w:t>）</w:t>
            </w:r>
            <w:r>
              <w:rPr>
                <w:rFonts w:hint="default" w:ascii="Times New Roman" w:hAnsi="Times New Roman" w:eastAsia="宋体" w:cs="Times New Roman"/>
                <w:b w:val="0"/>
                <w:bCs w:val="0"/>
                <w:color w:val="000000"/>
                <w:kern w:val="0"/>
                <w:sz w:val="24"/>
                <w:szCs w:val="24"/>
              </w:rPr>
              <w:t>风险调查及风险潜势初判</w:t>
            </w:r>
          </w:p>
          <w:p w14:paraId="5D5B4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000000"/>
                <w:kern w:val="0"/>
                <w:sz w:val="24"/>
                <w:szCs w:val="32"/>
                <w:lang w:eastAsia="zh-CN"/>
              </w:rPr>
            </w:pPr>
            <w:r>
              <w:rPr>
                <w:rFonts w:hint="default" w:hAnsi="宋体" w:eastAsia="宋体"/>
                <w:color w:val="000000"/>
                <w:sz w:val="24"/>
                <w:szCs w:val="21"/>
                <w:highlight w:val="none"/>
              </w:rPr>
              <w:t>根据</w:t>
            </w:r>
            <w:r>
              <w:rPr>
                <w:rFonts w:hint="default" w:hAnsi="宋体" w:eastAsia="宋体"/>
                <w:bCs/>
                <w:color w:val="000000"/>
                <w:sz w:val="24"/>
                <w:highlight w:val="none"/>
              </w:rPr>
              <w:t>《建设项目环境风险评价技术导则（</w:t>
            </w:r>
            <w:r>
              <w:rPr>
                <w:rFonts w:hint="default" w:eastAsia="宋体"/>
                <w:bCs/>
                <w:color w:val="000000"/>
                <w:sz w:val="24"/>
                <w:highlight w:val="none"/>
              </w:rPr>
              <w:t>HJ169-2018</w:t>
            </w:r>
            <w:r>
              <w:rPr>
                <w:rFonts w:hint="default" w:hAnsi="宋体" w:eastAsia="宋体"/>
                <w:bCs/>
                <w:color w:val="000000"/>
                <w:sz w:val="24"/>
                <w:highlight w:val="none"/>
              </w:rPr>
              <w:t>）》</w:t>
            </w:r>
            <w:r>
              <w:rPr>
                <w:rFonts w:hint="default" w:hAnsi="宋体" w:eastAsia="宋体"/>
                <w:color w:val="000000"/>
                <w:sz w:val="24"/>
                <w:szCs w:val="21"/>
                <w:highlight w:val="none"/>
              </w:rPr>
              <w:t>附录</w:t>
            </w:r>
            <w:r>
              <w:rPr>
                <w:rFonts w:hint="default" w:eastAsia="宋体"/>
                <w:color w:val="000000"/>
                <w:sz w:val="24"/>
                <w:szCs w:val="21"/>
                <w:highlight w:val="none"/>
              </w:rPr>
              <w:t>B</w:t>
            </w:r>
            <w:r>
              <w:rPr>
                <w:rFonts w:hint="eastAsia" w:eastAsia="宋体"/>
                <w:color w:val="000000"/>
                <w:sz w:val="24"/>
                <w:szCs w:val="21"/>
                <w:highlight w:val="none"/>
              </w:rPr>
              <w:t>，本项目涉及的风险物质为废</w:t>
            </w:r>
            <w:r>
              <w:rPr>
                <w:rFonts w:hint="eastAsia" w:eastAsia="宋体"/>
                <w:color w:val="000000"/>
                <w:sz w:val="24"/>
                <w:szCs w:val="21"/>
                <w:highlight w:val="none"/>
                <w:lang w:val="en-US" w:eastAsia="zh-CN"/>
              </w:rPr>
              <w:t>润滑油</w:t>
            </w:r>
            <w:r>
              <w:rPr>
                <w:rFonts w:hint="eastAsia" w:eastAsia="宋体"/>
                <w:color w:val="000000"/>
                <w:sz w:val="24"/>
                <w:szCs w:val="21"/>
                <w:highlight w:val="none"/>
                <w:lang w:eastAsia="zh-CN"/>
              </w:rPr>
              <w:t>，</w:t>
            </w:r>
            <w:r>
              <w:rPr>
                <w:rFonts w:hint="eastAsia" w:eastAsia="宋体"/>
                <w:color w:val="000000"/>
                <w:sz w:val="24"/>
                <w:szCs w:val="21"/>
                <w:highlight w:val="none"/>
                <w:lang w:val="en-US" w:eastAsia="zh-CN"/>
              </w:rPr>
              <w:t>废润滑油年产量为0.1t，暂存于危险废物贮存库</w:t>
            </w:r>
            <w:r>
              <w:rPr>
                <w:rFonts w:hint="eastAsia"/>
                <w:color w:val="000000"/>
                <w:sz w:val="24"/>
                <w:szCs w:val="21"/>
                <w:highlight w:val="none"/>
                <w:lang w:eastAsia="zh-CN"/>
              </w:rPr>
              <w:t>。</w:t>
            </w:r>
            <w:r>
              <w:rPr>
                <w:rFonts w:hint="eastAsia"/>
                <w:color w:val="000000"/>
                <w:kern w:val="0"/>
                <w:sz w:val="24"/>
                <w:szCs w:val="32"/>
              </w:rPr>
              <w:t>在储存和使用的过程中，如果管理操作不当或发生意外事故，存在着火、泄露等事故风险</w:t>
            </w:r>
            <w:r>
              <w:rPr>
                <w:rFonts w:hint="eastAsia"/>
                <w:color w:val="000000"/>
                <w:kern w:val="0"/>
                <w:sz w:val="24"/>
                <w:szCs w:val="32"/>
                <w:lang w:eastAsia="zh-CN"/>
              </w:rPr>
              <w:t>。</w:t>
            </w:r>
          </w:p>
          <w:p w14:paraId="5AFA1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108" w:firstLineChars="1000"/>
              <w:jc w:val="left"/>
              <w:textAlignment w:val="auto"/>
              <w:rPr>
                <w:rFonts w:hint="default" w:ascii="Times New Roman" w:hAnsi="Times New Roman" w:eastAsia="宋体" w:cs="Times New Roman"/>
                <w:b/>
                <w:bCs/>
                <w:color w:val="000000"/>
                <w:kern w:val="0"/>
                <w:sz w:val="21"/>
                <w:szCs w:val="24"/>
                <w:lang w:eastAsia="zh-CN"/>
              </w:rPr>
            </w:pPr>
            <w:r>
              <w:rPr>
                <w:rFonts w:hint="default" w:ascii="Times New Roman" w:hAnsi="Times New Roman" w:eastAsia="宋体" w:cs="Times New Roman"/>
                <w:b/>
                <w:bCs/>
                <w:color w:val="000000"/>
                <w:kern w:val="0"/>
                <w:sz w:val="21"/>
                <w:szCs w:val="24"/>
                <w:lang w:eastAsia="zh-CN"/>
              </w:rPr>
              <w:t>表4-</w:t>
            </w:r>
            <w:r>
              <w:rPr>
                <w:rFonts w:hint="eastAsia" w:ascii="Times New Roman" w:hAnsi="Times New Roman" w:eastAsia="宋体" w:cs="Times New Roman"/>
                <w:b/>
                <w:bCs/>
                <w:color w:val="000000"/>
                <w:kern w:val="0"/>
                <w:sz w:val="21"/>
                <w:szCs w:val="24"/>
                <w:lang w:val="en-US" w:eastAsia="zh-CN"/>
              </w:rPr>
              <w:t>15</w:t>
            </w:r>
            <w:r>
              <w:rPr>
                <w:rFonts w:hint="default" w:ascii="Times New Roman" w:hAnsi="Times New Roman" w:eastAsia="宋体" w:cs="Times New Roman"/>
                <w:b/>
                <w:bCs/>
                <w:color w:val="000000"/>
                <w:kern w:val="0"/>
                <w:sz w:val="21"/>
                <w:szCs w:val="24"/>
                <w:lang w:eastAsia="zh-CN"/>
              </w:rPr>
              <w:t xml:space="preserve"> </w:t>
            </w:r>
            <w:r>
              <w:rPr>
                <w:rFonts w:hint="eastAsia" w:ascii="Times New Roman" w:hAnsi="Times New Roman" w:eastAsia="宋体" w:cs="Times New Roman"/>
                <w:b/>
                <w:bCs/>
                <w:color w:val="000000"/>
                <w:kern w:val="0"/>
                <w:sz w:val="21"/>
                <w:szCs w:val="24"/>
                <w:lang w:val="en-US" w:eastAsia="zh-CN"/>
              </w:rPr>
              <w:t xml:space="preserve">   </w:t>
            </w:r>
            <w:r>
              <w:rPr>
                <w:rFonts w:hint="default" w:ascii="Times New Roman" w:hAnsi="Times New Roman" w:eastAsia="宋体" w:cs="Times New Roman"/>
                <w:b/>
                <w:bCs/>
                <w:color w:val="000000"/>
                <w:kern w:val="0"/>
                <w:sz w:val="21"/>
                <w:szCs w:val="24"/>
                <w:lang w:eastAsia="zh-CN"/>
              </w:rPr>
              <w:t xml:space="preserve"> 本项目Q值确定表</w:t>
            </w:r>
          </w:p>
          <w:tbl>
            <w:tblPr>
              <w:tblStyle w:val="35"/>
              <w:tblpPr w:leftFromText="180" w:rightFromText="180" w:vertAnchor="text" w:horzAnchor="page" w:tblpX="202" w:tblpY="31"/>
              <w:tblOverlap w:val="never"/>
              <w:tblW w:w="47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5"/>
              <w:gridCol w:w="1594"/>
              <w:gridCol w:w="1004"/>
              <w:gridCol w:w="1946"/>
              <w:gridCol w:w="1415"/>
              <w:gridCol w:w="1159"/>
            </w:tblGrid>
            <w:tr w14:paraId="3DC77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37" w:type="dxa"/>
                  <w:tcBorders>
                    <w:top w:val="single" w:color="auto" w:sz="6" w:space="0"/>
                    <w:left w:val="single" w:color="auto" w:sz="6" w:space="0"/>
                    <w:bottom w:val="single" w:color="auto" w:sz="6" w:space="0"/>
                    <w:right w:val="single" w:color="auto" w:sz="6" w:space="0"/>
                  </w:tcBorders>
                  <w:noWrap/>
                  <w:vAlign w:val="center"/>
                </w:tcPr>
                <w:p w14:paraId="4AF82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序号</w:t>
                  </w:r>
                </w:p>
              </w:tc>
              <w:tc>
                <w:tcPr>
                  <w:tcW w:w="1578" w:type="dxa"/>
                  <w:tcBorders>
                    <w:top w:val="single" w:color="auto" w:sz="6" w:space="0"/>
                    <w:left w:val="single" w:color="auto" w:sz="6" w:space="0"/>
                    <w:bottom w:val="single" w:color="auto" w:sz="6" w:space="0"/>
                    <w:right w:val="single" w:color="auto" w:sz="6" w:space="0"/>
                  </w:tcBorders>
                  <w:noWrap w:val="0"/>
                  <w:vAlign w:val="center"/>
                </w:tcPr>
                <w:p w14:paraId="6C97C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危险物质名称</w:t>
                  </w:r>
                </w:p>
              </w:tc>
              <w:tc>
                <w:tcPr>
                  <w:tcW w:w="994" w:type="dxa"/>
                  <w:tcBorders>
                    <w:top w:val="single" w:color="auto" w:sz="6" w:space="0"/>
                    <w:left w:val="single" w:color="auto" w:sz="6" w:space="0"/>
                    <w:bottom w:val="single" w:color="auto" w:sz="6" w:space="0"/>
                    <w:right w:val="single" w:color="auto" w:sz="6" w:space="0"/>
                  </w:tcBorders>
                  <w:noWrap/>
                  <w:vAlign w:val="center"/>
                </w:tcPr>
                <w:p w14:paraId="05734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CAS号</w:t>
                  </w:r>
                </w:p>
              </w:tc>
              <w:tc>
                <w:tcPr>
                  <w:tcW w:w="1926" w:type="dxa"/>
                  <w:tcBorders>
                    <w:top w:val="single" w:color="auto" w:sz="6" w:space="0"/>
                    <w:left w:val="single" w:color="auto" w:sz="6" w:space="0"/>
                    <w:bottom w:val="single" w:color="auto" w:sz="6" w:space="0"/>
                    <w:right w:val="single" w:color="auto" w:sz="6" w:space="0"/>
                  </w:tcBorders>
                  <w:noWrap w:val="0"/>
                  <w:vAlign w:val="center"/>
                </w:tcPr>
                <w:p w14:paraId="68824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最大存在总量qn/t</w:t>
                  </w:r>
                </w:p>
              </w:tc>
              <w:tc>
                <w:tcPr>
                  <w:tcW w:w="1376" w:type="dxa"/>
                  <w:tcBorders>
                    <w:top w:val="single" w:color="auto" w:sz="6" w:space="0"/>
                    <w:left w:val="single" w:color="auto" w:sz="6" w:space="0"/>
                    <w:bottom w:val="single" w:color="auto" w:sz="6" w:space="0"/>
                    <w:right w:val="single" w:color="auto" w:sz="6" w:space="0"/>
                  </w:tcBorders>
                  <w:noWrap w:val="0"/>
                  <w:vAlign w:val="center"/>
                </w:tcPr>
                <w:p w14:paraId="6979C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临界量Qn/t</w:t>
                  </w:r>
                </w:p>
              </w:tc>
              <w:tc>
                <w:tcPr>
                  <w:tcW w:w="1375" w:type="dxa"/>
                  <w:tcBorders>
                    <w:top w:val="single" w:color="auto" w:sz="6" w:space="0"/>
                    <w:left w:val="single" w:color="auto" w:sz="6" w:space="0"/>
                    <w:bottom w:val="single" w:color="auto" w:sz="6" w:space="0"/>
                    <w:right w:val="single" w:color="auto" w:sz="6" w:space="0"/>
                  </w:tcBorders>
                  <w:noWrap w:val="0"/>
                  <w:vAlign w:val="center"/>
                </w:tcPr>
                <w:p w14:paraId="13B4D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Q值</w:t>
                  </w:r>
                </w:p>
              </w:tc>
            </w:tr>
            <w:tr w14:paraId="725D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37" w:type="dxa"/>
                  <w:tcBorders>
                    <w:top w:val="single" w:color="auto" w:sz="6" w:space="0"/>
                    <w:left w:val="single" w:color="auto" w:sz="6" w:space="0"/>
                    <w:bottom w:val="single" w:color="auto" w:sz="6" w:space="0"/>
                    <w:right w:val="single" w:color="auto" w:sz="6" w:space="0"/>
                  </w:tcBorders>
                  <w:noWrap/>
                  <w:vAlign w:val="center"/>
                </w:tcPr>
                <w:p w14:paraId="5EB72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1</w:t>
                  </w:r>
                </w:p>
              </w:tc>
              <w:tc>
                <w:tcPr>
                  <w:tcW w:w="1578" w:type="dxa"/>
                  <w:tcBorders>
                    <w:top w:val="single" w:color="auto" w:sz="6" w:space="0"/>
                    <w:left w:val="single" w:color="auto" w:sz="6" w:space="0"/>
                    <w:bottom w:val="single" w:color="auto" w:sz="6" w:space="0"/>
                    <w:right w:val="single" w:color="auto" w:sz="6" w:space="0"/>
                  </w:tcBorders>
                  <w:noWrap w:val="0"/>
                  <w:vAlign w:val="center"/>
                </w:tcPr>
                <w:p w14:paraId="31F53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废</w:t>
                  </w:r>
                  <w:r>
                    <w:rPr>
                      <w:rFonts w:hint="eastAsia" w:ascii="Times New Roman" w:hAnsi="Times New Roman" w:eastAsia="宋体" w:cs="Times New Roman"/>
                      <w:color w:val="000000"/>
                      <w:kern w:val="0"/>
                      <w:sz w:val="21"/>
                      <w:szCs w:val="21"/>
                      <w:lang w:val="en-US" w:eastAsia="zh-CN"/>
                    </w:rPr>
                    <w:t>润滑油</w:t>
                  </w:r>
                </w:p>
              </w:tc>
              <w:tc>
                <w:tcPr>
                  <w:tcW w:w="994" w:type="dxa"/>
                  <w:tcBorders>
                    <w:top w:val="single" w:color="auto" w:sz="6" w:space="0"/>
                    <w:left w:val="single" w:color="auto" w:sz="6" w:space="0"/>
                    <w:bottom w:val="single" w:color="auto" w:sz="6" w:space="0"/>
                    <w:right w:val="single" w:color="auto" w:sz="6" w:space="0"/>
                  </w:tcBorders>
                  <w:noWrap/>
                  <w:vAlign w:val="center"/>
                </w:tcPr>
                <w:p w14:paraId="3DCCB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1926" w:type="dxa"/>
                  <w:tcBorders>
                    <w:top w:val="single" w:color="auto" w:sz="6" w:space="0"/>
                    <w:left w:val="single" w:color="auto" w:sz="6" w:space="0"/>
                    <w:bottom w:val="single" w:color="auto" w:sz="6" w:space="0"/>
                    <w:right w:val="single" w:color="auto" w:sz="6" w:space="0"/>
                  </w:tcBorders>
                  <w:noWrap w:val="0"/>
                  <w:vAlign w:val="center"/>
                </w:tcPr>
                <w:p w14:paraId="2D1F5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w:t>
                  </w:r>
                  <w:r>
                    <w:rPr>
                      <w:rFonts w:hint="eastAsia" w:ascii="Times New Roman" w:hAnsi="Times New Roman" w:eastAsia="宋体" w:cs="Times New Roman"/>
                      <w:color w:val="000000"/>
                      <w:kern w:val="0"/>
                      <w:sz w:val="21"/>
                      <w:szCs w:val="21"/>
                      <w:lang w:val="en-US" w:eastAsia="zh-CN"/>
                    </w:rPr>
                    <w:t>1</w:t>
                  </w:r>
                </w:p>
              </w:tc>
              <w:tc>
                <w:tcPr>
                  <w:tcW w:w="1376" w:type="dxa"/>
                  <w:tcBorders>
                    <w:top w:val="single" w:color="auto" w:sz="6" w:space="0"/>
                    <w:left w:val="single" w:color="auto" w:sz="6" w:space="0"/>
                    <w:bottom w:val="single" w:color="auto" w:sz="6" w:space="0"/>
                    <w:right w:val="single" w:color="auto" w:sz="6" w:space="0"/>
                  </w:tcBorders>
                  <w:noWrap w:val="0"/>
                  <w:vAlign w:val="center"/>
                </w:tcPr>
                <w:p w14:paraId="3F21C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2500</w:t>
                  </w:r>
                </w:p>
              </w:tc>
              <w:tc>
                <w:tcPr>
                  <w:tcW w:w="1375" w:type="dxa"/>
                  <w:tcBorders>
                    <w:top w:val="single" w:color="auto" w:sz="6" w:space="0"/>
                    <w:left w:val="single" w:color="auto" w:sz="6" w:space="0"/>
                    <w:bottom w:val="single" w:color="auto" w:sz="6" w:space="0"/>
                    <w:right w:val="single" w:color="auto" w:sz="6" w:space="0"/>
                  </w:tcBorders>
                  <w:noWrap w:val="0"/>
                  <w:vAlign w:val="center"/>
                </w:tcPr>
                <w:p w14:paraId="16618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0.00</w:t>
                  </w:r>
                  <w:r>
                    <w:rPr>
                      <w:rFonts w:hint="default" w:ascii="Times New Roman" w:hAnsi="Times New Roman" w:eastAsia="宋体" w:cs="Times New Roman"/>
                      <w:color w:val="000000"/>
                      <w:kern w:val="0"/>
                      <w:sz w:val="21"/>
                      <w:szCs w:val="21"/>
                      <w:lang w:val="en-US" w:eastAsia="zh-CN"/>
                    </w:rPr>
                    <w:t>00</w:t>
                  </w:r>
                  <w:r>
                    <w:rPr>
                      <w:rFonts w:hint="eastAsia" w:ascii="Times New Roman" w:hAnsi="Times New Roman" w:eastAsia="宋体" w:cs="Times New Roman"/>
                      <w:color w:val="000000"/>
                      <w:kern w:val="0"/>
                      <w:sz w:val="21"/>
                      <w:szCs w:val="21"/>
                      <w:lang w:val="en-US" w:eastAsia="zh-CN"/>
                    </w:rPr>
                    <w:t>4</w:t>
                  </w:r>
                </w:p>
              </w:tc>
            </w:tr>
            <w:tr w14:paraId="7ECF8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6611" w:type="dxa"/>
                  <w:gridSpan w:val="5"/>
                  <w:tcBorders>
                    <w:top w:val="single" w:color="auto" w:sz="6" w:space="0"/>
                    <w:left w:val="single" w:color="auto" w:sz="6" w:space="0"/>
                    <w:bottom w:val="single" w:color="auto" w:sz="6" w:space="0"/>
                    <w:right w:val="single" w:color="auto" w:sz="6" w:space="0"/>
                  </w:tcBorders>
                  <w:noWrap/>
                  <w:vAlign w:val="center"/>
                </w:tcPr>
                <w:p w14:paraId="13088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Q值划分</w:t>
                  </w:r>
                </w:p>
              </w:tc>
              <w:tc>
                <w:tcPr>
                  <w:tcW w:w="1375" w:type="dxa"/>
                  <w:tcBorders>
                    <w:top w:val="single" w:color="auto" w:sz="6" w:space="0"/>
                    <w:left w:val="single" w:color="auto" w:sz="6" w:space="0"/>
                    <w:bottom w:val="single" w:color="auto" w:sz="6" w:space="0"/>
                    <w:right w:val="single" w:color="auto" w:sz="6" w:space="0"/>
                  </w:tcBorders>
                  <w:noWrap w:val="0"/>
                  <w:vAlign w:val="center"/>
                </w:tcPr>
                <w:p w14:paraId="65C3D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0.00</w:t>
                  </w:r>
                  <w:r>
                    <w:rPr>
                      <w:rFonts w:hint="default" w:ascii="Times New Roman" w:hAnsi="Times New Roman" w:eastAsia="宋体" w:cs="Times New Roman"/>
                      <w:color w:val="000000"/>
                      <w:kern w:val="0"/>
                      <w:sz w:val="21"/>
                      <w:szCs w:val="21"/>
                      <w:lang w:val="en-US" w:eastAsia="zh-CN"/>
                    </w:rPr>
                    <w:t>00</w:t>
                  </w:r>
                  <w:r>
                    <w:rPr>
                      <w:rFonts w:hint="eastAsia" w:ascii="Times New Roman" w:hAnsi="Times New Roman" w:eastAsia="宋体" w:cs="Times New Roman"/>
                      <w:color w:val="000000"/>
                      <w:kern w:val="0"/>
                      <w:sz w:val="21"/>
                      <w:szCs w:val="21"/>
                      <w:lang w:val="en-US" w:eastAsia="zh-CN"/>
                    </w:rPr>
                    <w:t>4</w:t>
                  </w:r>
                </w:p>
              </w:tc>
            </w:tr>
          </w:tbl>
          <w:p w14:paraId="5B45C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kern w:val="0"/>
                <w:sz w:val="24"/>
                <w:szCs w:val="32"/>
                <w:lang w:eastAsia="zh-CN"/>
              </w:rPr>
            </w:pPr>
            <w:r>
              <w:rPr>
                <w:rFonts w:hint="default" w:ascii="Times New Roman" w:hAnsi="Times New Roman" w:eastAsia="宋体" w:cs="Times New Roman"/>
                <w:color w:val="000000"/>
                <w:kern w:val="0"/>
                <w:sz w:val="24"/>
                <w:szCs w:val="32"/>
                <w:lang w:eastAsia="zh-CN"/>
              </w:rPr>
              <w:t>由上述表格可知，全厂Q取值范围为Q＜1，该项目环境风险潜势为Ⅰ，评价等级为简单分析。</w:t>
            </w:r>
          </w:p>
          <w:p w14:paraId="1D499786">
            <w:pPr>
              <w:pStyle w:val="8"/>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b w:val="0"/>
                <w:bCs w:val="0"/>
                <w:color w:val="000000"/>
                <w:kern w:val="0"/>
                <w:sz w:val="24"/>
                <w:szCs w:val="22"/>
              </w:rPr>
            </w:pPr>
            <w:r>
              <w:rPr>
                <w:rFonts w:hint="eastAsia"/>
                <w:b w:val="0"/>
                <w:bCs w:val="0"/>
                <w:color w:val="000000"/>
                <w:kern w:val="0"/>
                <w:sz w:val="24"/>
                <w:szCs w:val="22"/>
                <w:lang w:eastAsia="zh-CN"/>
              </w:rPr>
              <w:t>（</w:t>
            </w:r>
            <w:r>
              <w:rPr>
                <w:rFonts w:hint="eastAsia"/>
                <w:b w:val="0"/>
                <w:bCs w:val="0"/>
                <w:color w:val="000000"/>
                <w:kern w:val="0"/>
                <w:sz w:val="24"/>
                <w:szCs w:val="22"/>
                <w:lang w:val="en-US" w:eastAsia="zh-CN"/>
              </w:rPr>
              <w:t>2</w:t>
            </w:r>
            <w:r>
              <w:rPr>
                <w:rFonts w:hint="eastAsia"/>
                <w:b w:val="0"/>
                <w:bCs w:val="0"/>
                <w:color w:val="000000"/>
                <w:kern w:val="0"/>
                <w:sz w:val="24"/>
                <w:szCs w:val="22"/>
                <w:lang w:eastAsia="zh-CN"/>
              </w:rPr>
              <w:t>）</w:t>
            </w:r>
            <w:r>
              <w:rPr>
                <w:rFonts w:hint="eastAsia"/>
                <w:b w:val="0"/>
                <w:bCs w:val="0"/>
                <w:color w:val="000000"/>
                <w:kern w:val="0"/>
                <w:sz w:val="24"/>
                <w:szCs w:val="22"/>
              </w:rPr>
              <w:t>环境风险分析</w:t>
            </w:r>
          </w:p>
          <w:p w14:paraId="6E9607EC">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sz w:val="24"/>
                <w:szCs w:val="24"/>
                <w:lang w:eastAsia="zh-CN"/>
              </w:rPr>
            </w:pPr>
            <w:r>
              <w:rPr>
                <w:rFonts w:hint="eastAsia"/>
                <w:color w:val="000000"/>
                <w:kern w:val="0"/>
                <w:sz w:val="24"/>
              </w:rPr>
              <w:t>废</w:t>
            </w:r>
            <w:r>
              <w:rPr>
                <w:rFonts w:hint="eastAsia"/>
                <w:color w:val="000000"/>
                <w:kern w:val="0"/>
                <w:sz w:val="24"/>
                <w:lang w:val="en-US" w:eastAsia="zh-CN"/>
              </w:rPr>
              <w:t>润滑油</w:t>
            </w:r>
            <w:r>
              <w:rPr>
                <w:rFonts w:hint="eastAsia"/>
                <w:color w:val="000000"/>
                <w:kern w:val="0"/>
                <w:sz w:val="24"/>
              </w:rPr>
              <w:t>如果不按要求进行安全处置，而是随一般固体废物进行处理，则可能污染土壤和水体，</w:t>
            </w:r>
            <w:r>
              <w:rPr>
                <w:rFonts w:hint="eastAsia" w:ascii="宋体" w:hAnsi="宋体" w:cs="宋体"/>
                <w:color w:val="000000"/>
                <w:kern w:val="0"/>
                <w:sz w:val="24"/>
                <w:lang w:bidi="ar"/>
              </w:rPr>
              <w:t>油烃及其组分通过土壤向地下水的迁移，会造成地下水环境中石油烃组分的不同程度检出，降低地下水的品质，影响其使用功能。</w:t>
            </w:r>
            <w:r>
              <w:rPr>
                <w:rFonts w:hint="eastAsia" w:ascii="Times New Roman" w:hAnsi="Times New Roman" w:eastAsia="宋体" w:cs="Times New Roman"/>
                <w:color w:val="000000"/>
                <w:sz w:val="24"/>
                <w:szCs w:val="24"/>
              </w:rPr>
              <w:t>其次</w:t>
            </w:r>
            <w:r>
              <w:rPr>
                <w:rFonts w:hint="eastAsia" w:ascii="Times New Roman" w:hAnsi="Times New Roman" w:eastAsia="宋体" w:cs="Times New Roman"/>
                <w:color w:val="000000"/>
                <w:sz w:val="24"/>
                <w:szCs w:val="24"/>
                <w:lang w:eastAsia="zh-CN"/>
              </w:rPr>
              <w:t>危废贮存库</w:t>
            </w:r>
            <w:r>
              <w:rPr>
                <w:rFonts w:hint="eastAsia" w:ascii="Times New Roman" w:hAnsi="Times New Roman" w:eastAsia="宋体" w:cs="Times New Roman"/>
                <w:color w:val="000000"/>
                <w:sz w:val="24"/>
                <w:szCs w:val="24"/>
              </w:rPr>
              <w:t>的废</w:t>
            </w:r>
            <w:r>
              <w:rPr>
                <w:rFonts w:hint="eastAsia" w:ascii="Times New Roman" w:hAnsi="Times New Roman" w:eastAsia="宋体" w:cs="Times New Roman"/>
                <w:color w:val="000000"/>
                <w:sz w:val="24"/>
                <w:szCs w:val="24"/>
                <w:lang w:val="en-US" w:eastAsia="zh-CN"/>
              </w:rPr>
              <w:t>润滑油</w:t>
            </w:r>
            <w:r>
              <w:rPr>
                <w:rFonts w:hint="eastAsia" w:ascii="Times New Roman" w:hAnsi="Times New Roman" w:eastAsia="宋体" w:cs="Times New Roman"/>
                <w:color w:val="000000"/>
                <w:sz w:val="24"/>
                <w:szCs w:val="24"/>
              </w:rPr>
              <w:t>一旦遇到明火，如施工人员吸烟、厂区中有明火等，均可能导致火灾的发生，危害人身安全</w:t>
            </w:r>
            <w:r>
              <w:rPr>
                <w:rFonts w:hint="eastAsia" w:ascii="Times New Roman" w:hAnsi="Times New Roman" w:eastAsia="宋体" w:cs="Times New Roman"/>
                <w:color w:val="000000"/>
                <w:sz w:val="24"/>
                <w:szCs w:val="24"/>
                <w:lang w:eastAsia="zh-CN"/>
              </w:rPr>
              <w:t>。</w:t>
            </w:r>
          </w:p>
          <w:p w14:paraId="7F04D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综上，</w:t>
            </w:r>
            <w:r>
              <w:rPr>
                <w:rFonts w:hint="eastAsia" w:ascii="Times New Roman" w:hAnsi="Times New Roman" w:eastAsia="宋体" w:cs="Times New Roman"/>
                <w:color w:val="000000"/>
                <w:sz w:val="24"/>
                <w:szCs w:val="24"/>
              </w:rPr>
              <w:t>本项目</w:t>
            </w:r>
            <w:r>
              <w:rPr>
                <w:rFonts w:hint="eastAsia" w:ascii="Times New Roman" w:hAnsi="Times New Roman" w:eastAsia="宋体" w:cs="Times New Roman"/>
                <w:color w:val="000000"/>
                <w:sz w:val="24"/>
                <w:szCs w:val="24"/>
                <w:lang w:val="en-US" w:eastAsia="zh-CN"/>
              </w:rPr>
              <w:t>的</w:t>
            </w:r>
            <w:r>
              <w:rPr>
                <w:rFonts w:hint="eastAsia" w:ascii="Times New Roman" w:hAnsi="Times New Roman" w:eastAsia="宋体" w:cs="Times New Roman"/>
                <w:color w:val="000000"/>
                <w:sz w:val="24"/>
                <w:szCs w:val="24"/>
              </w:rPr>
              <w:t>环境风险主要为</w:t>
            </w:r>
            <w:r>
              <w:rPr>
                <w:rFonts w:hint="eastAsia" w:ascii="Times New Roman" w:hAnsi="Times New Roman" w:eastAsia="宋体" w:cs="Times New Roman"/>
                <w:color w:val="000000"/>
                <w:sz w:val="24"/>
                <w:szCs w:val="24"/>
                <w:lang w:eastAsia="zh-CN"/>
              </w:rPr>
              <w:t>危废贮存库</w:t>
            </w:r>
            <w:r>
              <w:rPr>
                <w:rFonts w:hint="eastAsia" w:ascii="Times New Roman" w:hAnsi="Times New Roman" w:eastAsia="宋体" w:cs="Times New Roman"/>
                <w:color w:val="000000"/>
                <w:sz w:val="24"/>
                <w:szCs w:val="24"/>
              </w:rPr>
              <w:t>的废机油发生泄漏引起的火灾、爆炸等引起的伴生/次生污染物排放。</w:t>
            </w:r>
          </w:p>
          <w:p w14:paraId="11520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环境</w:t>
            </w:r>
            <w:r>
              <w:rPr>
                <w:rFonts w:hint="eastAsia" w:ascii="Times New Roman" w:hAnsi="Times New Roman" w:eastAsia="宋体" w:cs="Times New Roman"/>
                <w:color w:val="000000"/>
                <w:sz w:val="24"/>
                <w:szCs w:val="24"/>
              </w:rPr>
              <w:t>风险防范措施</w:t>
            </w:r>
          </w:p>
          <w:p w14:paraId="2F5E5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①</w:t>
            </w:r>
            <w:r>
              <w:rPr>
                <w:rFonts w:hint="default" w:ascii="Times New Roman" w:hAnsi="Times New Roman" w:eastAsia="宋体" w:cs="Times New Roman"/>
                <w:color w:val="000000"/>
                <w:sz w:val="24"/>
                <w:szCs w:val="24"/>
                <w:lang w:val="en-US" w:eastAsia="zh-CN"/>
              </w:rPr>
              <w:t>为确保安全生产，防止灾害和事故的发生和蔓延，在项目建设中，充分设置各种足够的、必须的安全和消防措施。</w:t>
            </w:r>
          </w:p>
          <w:p w14:paraId="558A4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②</w:t>
            </w:r>
            <w:r>
              <w:rPr>
                <w:rFonts w:hint="default" w:ascii="Times New Roman" w:hAnsi="Times New Roman" w:eastAsia="宋体" w:cs="Times New Roman"/>
                <w:color w:val="000000"/>
                <w:sz w:val="24"/>
                <w:szCs w:val="24"/>
                <w:lang w:val="en-US" w:eastAsia="zh-CN"/>
              </w:rPr>
              <w:t>选择优质的设备、材料，保证工程质量，确保生产安全、正常。杜绝不正常的泄漏。</w:t>
            </w:r>
          </w:p>
          <w:p w14:paraId="47F52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w:t>
            </w:r>
            <w:r>
              <w:rPr>
                <w:rFonts w:hint="eastAsia" w:ascii="Times New Roman" w:hAnsi="Times New Roman" w:eastAsia="宋体" w:cs="Times New Roman"/>
                <w:color w:val="000000"/>
                <w:sz w:val="24"/>
                <w:szCs w:val="24"/>
                <w:lang w:val="en-US" w:eastAsia="zh-CN"/>
              </w:rPr>
              <w:t>危废贮存库</w:t>
            </w:r>
            <w:r>
              <w:rPr>
                <w:rFonts w:hint="default" w:ascii="Times New Roman" w:hAnsi="Times New Roman" w:eastAsia="宋体" w:cs="Times New Roman"/>
                <w:color w:val="000000"/>
                <w:sz w:val="24"/>
                <w:szCs w:val="24"/>
                <w:lang w:val="en-US" w:eastAsia="zh-CN"/>
              </w:rPr>
              <w:t>严格按照相关技术规范进行设计建设，设置渗漏收集沟渠，确保事故状态下能够有效防治油品溢流。</w:t>
            </w:r>
            <w:r>
              <w:rPr>
                <w:rFonts w:hint="default" w:ascii="Times New Roman" w:hAnsi="Times New Roman" w:eastAsia="宋体" w:cs="Times New Roman"/>
                <w:color w:val="000000"/>
                <w:sz w:val="24"/>
                <w:szCs w:val="24"/>
              </w:rPr>
              <w:t>并储备一些应急救援物资，如沙袋、吸附棉等。</w:t>
            </w:r>
          </w:p>
          <w:p w14:paraId="7BDD6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④定期对危险废物</w:t>
            </w:r>
            <w:r>
              <w:rPr>
                <w:rFonts w:hint="eastAsia" w:ascii="Times New Roman" w:hAnsi="Times New Roman" w:eastAsia="宋体" w:cs="Times New Roman"/>
                <w:color w:val="000000"/>
                <w:sz w:val="24"/>
                <w:szCs w:val="24"/>
                <w:lang w:val="en-US" w:eastAsia="zh-CN"/>
              </w:rPr>
              <w:t>贮存库</w:t>
            </w:r>
            <w:r>
              <w:rPr>
                <w:rFonts w:hint="default" w:ascii="Times New Roman" w:hAnsi="Times New Roman" w:eastAsia="宋体" w:cs="Times New Roman"/>
                <w:color w:val="000000"/>
                <w:sz w:val="24"/>
                <w:szCs w:val="24"/>
              </w:rPr>
              <w:t>进行检查，减少事故隐患；</w:t>
            </w:r>
          </w:p>
          <w:p w14:paraId="2B739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⑤加强对员工的职业素养教育，搞好岗位技术培训，强化应急救援预案的演练，增强员工的应变能力，进一步提高员工的生产意识和自我防范能力；</w:t>
            </w:r>
          </w:p>
          <w:p w14:paraId="05934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⑥加强明火管理，严防火种进入，在醒目的位置应该设置“严禁烟火”“禁火区”等标语和标牌；</w:t>
            </w:r>
          </w:p>
          <w:p w14:paraId="014877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危废贮存库</w:t>
            </w:r>
            <w:r>
              <w:rPr>
                <w:rFonts w:hint="default" w:ascii="Times New Roman" w:hAnsi="Times New Roman" w:eastAsia="宋体" w:cs="Times New Roman"/>
                <w:color w:val="000000"/>
                <w:sz w:val="24"/>
                <w:szCs w:val="24"/>
                <w:lang w:val="en-US" w:eastAsia="zh-CN"/>
              </w:rPr>
              <w:t>危险废物暂存量较少，只要加强日常管理，发生环境风险事件的概率极小，项目运营期环境风险处于可接受水平</w:t>
            </w:r>
            <w:r>
              <w:rPr>
                <w:rFonts w:hint="eastAsia" w:ascii="Times New Roman" w:hAnsi="Times New Roman" w:eastAsia="宋体" w:cs="Times New Roman"/>
                <w:color w:val="000000"/>
                <w:sz w:val="24"/>
                <w:szCs w:val="24"/>
                <w:lang w:val="en-US" w:eastAsia="zh-CN"/>
              </w:rPr>
              <w:t>。</w:t>
            </w:r>
          </w:p>
          <w:p w14:paraId="58FC4FC1">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七</w:t>
            </w:r>
            <w:r>
              <w:rPr>
                <w:rFonts w:hint="default" w:ascii="Times New Roman" w:hAnsi="Times New Roman" w:cs="Times New Roman"/>
                <w:b/>
                <w:bCs/>
                <w:color w:val="auto"/>
                <w:sz w:val="24"/>
                <w:szCs w:val="24"/>
                <w:highlight w:val="none"/>
              </w:rPr>
              <w:t>、环保投资</w:t>
            </w:r>
          </w:p>
          <w:p w14:paraId="2E0F6832">
            <w:pPr>
              <w:keepNext w:val="0"/>
              <w:keepLines w:val="0"/>
              <w:suppressLineNumbers w:val="0"/>
              <w:tabs>
                <w:tab w:val="left" w:pos="-57"/>
                <w:tab w:val="left" w:pos="0"/>
              </w:tabs>
              <w:autoSpaceDE w:val="0"/>
              <w:autoSpaceDN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lang w:val="zh-CN" w:bidi="zh-CN"/>
              </w:rPr>
            </w:pPr>
            <w:r>
              <w:rPr>
                <w:rFonts w:hint="default" w:ascii="Times New Roman" w:hAnsi="Times New Roman" w:eastAsia="宋体" w:cs="Times New Roman"/>
                <w:color w:val="FF0000"/>
                <w:sz w:val="24"/>
                <w:highlight w:val="none"/>
                <w:lang w:val="zh-CN" w:bidi="zh-CN"/>
              </w:rPr>
              <w:t>项目总投资</w:t>
            </w:r>
            <w:r>
              <w:rPr>
                <w:rFonts w:hint="eastAsia" w:cs="Times New Roman"/>
                <w:color w:val="FF0000"/>
                <w:sz w:val="24"/>
                <w:highlight w:val="none"/>
                <w:lang w:val="en-US" w:eastAsia="zh-CN" w:bidi="zh-CN"/>
              </w:rPr>
              <w:t>20000</w:t>
            </w:r>
            <w:r>
              <w:rPr>
                <w:rFonts w:hint="default" w:ascii="Times New Roman" w:hAnsi="Times New Roman" w:eastAsia="宋体" w:cs="Times New Roman"/>
                <w:color w:val="FF0000"/>
                <w:sz w:val="24"/>
                <w:highlight w:val="none"/>
                <w:lang w:val="zh-CN" w:bidi="zh-CN"/>
              </w:rPr>
              <w:t>万元，环保投资</w:t>
            </w:r>
            <w:r>
              <w:rPr>
                <w:rFonts w:hint="eastAsia" w:cs="Times New Roman"/>
                <w:color w:val="FF0000"/>
                <w:sz w:val="24"/>
                <w:highlight w:val="none"/>
                <w:lang w:val="en-US" w:eastAsia="zh-CN" w:bidi="zh-CN"/>
              </w:rPr>
              <w:t>177.6</w:t>
            </w:r>
            <w:r>
              <w:rPr>
                <w:rFonts w:hint="default" w:ascii="Times New Roman" w:hAnsi="Times New Roman" w:eastAsia="宋体" w:cs="Times New Roman"/>
                <w:color w:val="FF0000"/>
                <w:sz w:val="24"/>
                <w:highlight w:val="none"/>
                <w:lang w:val="zh-CN" w:bidi="zh-CN"/>
              </w:rPr>
              <w:t>万元，占总投资的</w:t>
            </w:r>
            <w:r>
              <w:rPr>
                <w:rFonts w:hint="eastAsia" w:cs="Times New Roman"/>
                <w:color w:val="FF0000"/>
                <w:sz w:val="24"/>
                <w:highlight w:val="none"/>
                <w:lang w:val="en-US" w:eastAsia="zh-CN" w:bidi="zh-CN"/>
              </w:rPr>
              <w:t>0.89</w:t>
            </w:r>
            <w:r>
              <w:rPr>
                <w:rFonts w:hint="default" w:ascii="Times New Roman" w:hAnsi="Times New Roman" w:eastAsia="宋体" w:cs="Times New Roman"/>
                <w:color w:val="FF0000"/>
                <w:sz w:val="24"/>
                <w:highlight w:val="none"/>
                <w:lang w:val="zh-CN" w:bidi="zh-CN"/>
              </w:rPr>
              <w:t>%</w:t>
            </w:r>
            <w:r>
              <w:rPr>
                <w:rFonts w:hint="default" w:ascii="Times New Roman" w:hAnsi="Times New Roman" w:eastAsia="宋体" w:cs="Times New Roman"/>
                <w:color w:val="auto"/>
                <w:sz w:val="24"/>
                <w:highlight w:val="none"/>
                <w:lang w:val="zh-CN" w:bidi="zh-CN"/>
              </w:rPr>
              <w:t>，具体见下表。</w:t>
            </w:r>
          </w:p>
          <w:p w14:paraId="6F7F3D3C">
            <w:pPr>
              <w:keepNext w:val="0"/>
              <w:keepLines w:val="0"/>
              <w:pageBreakBefore w:val="0"/>
              <w:widowControl w:val="0"/>
              <w:numPr>
                <w:ilvl w:val="0"/>
                <w:numId w:val="0"/>
              </w:numPr>
              <w:suppressLineNumbers w:val="0"/>
              <w:tabs>
                <w:tab w:val="left" w:pos="9345"/>
              </w:tabs>
              <w:kinsoku/>
              <w:wordWrap/>
              <w:overflowPunct/>
              <w:topLinePunct w:val="0"/>
              <w:autoSpaceDE/>
              <w:autoSpaceDN/>
              <w:bidi w:val="0"/>
              <w:adjustRightInd/>
              <w:snapToGrid/>
              <w:spacing w:before="0" w:beforeAutospacing="0" w:after="0" w:afterAutospacing="0" w:line="360" w:lineRule="auto"/>
              <w:ind w:left="0" w:leftChars="0" w:right="0" w:rightChars="0" w:firstLine="1476" w:firstLineChars="700"/>
              <w:jc w:val="both"/>
              <w:textAlignment w:val="auto"/>
              <w:rPr>
                <w:rFonts w:hint="default" w:ascii="Times New Roman" w:hAnsi="Times New Roman" w:eastAsia="宋体" w:cs="Times New Roman"/>
                <w:b/>
                <w:bCs/>
                <w:color w:val="000000" w:themeColor="text1"/>
                <w:sz w:val="21"/>
                <w:szCs w:val="21"/>
                <w:lang w:val="en-GB"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 xml:space="preserve">表4-16   </w:t>
            </w:r>
            <w:r>
              <w:rPr>
                <w:rFonts w:hint="default" w:ascii="Times New Roman" w:hAnsi="Times New Roman" w:eastAsia="宋体" w:cs="Times New Roman"/>
                <w:b/>
                <w:bCs/>
                <w:color w:val="000000" w:themeColor="text1"/>
                <w:sz w:val="21"/>
                <w:szCs w:val="21"/>
                <w:lang w:val="en-GB" w:eastAsia="zh-CN"/>
                <w14:textFill>
                  <w14:solidFill>
                    <w14:schemeClr w14:val="tx1"/>
                  </w14:solidFill>
                </w14:textFill>
              </w:rPr>
              <w:t xml:space="preserve"> 建设项目环保投资估算一览表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0"/>
              <w:gridCol w:w="515"/>
              <w:gridCol w:w="1629"/>
              <w:gridCol w:w="3096"/>
              <w:gridCol w:w="960"/>
              <w:gridCol w:w="1484"/>
            </w:tblGrid>
            <w:tr w14:paraId="14D6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tcBorders>
                    <w:tl2br w:val="nil"/>
                    <w:tr2bl w:val="nil"/>
                  </w:tcBorders>
                  <w:vAlign w:val="center"/>
                </w:tcPr>
                <w:p w14:paraId="20B9D75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3174" w:type="pct"/>
                  <w:gridSpan w:val="3"/>
                  <w:tcBorders>
                    <w:tl2br w:val="nil"/>
                    <w:tr2bl w:val="nil"/>
                  </w:tcBorders>
                  <w:vAlign w:val="center"/>
                </w:tcPr>
                <w:p w14:paraId="5CB800F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治理内容</w:t>
                  </w:r>
                </w:p>
              </w:tc>
              <w:tc>
                <w:tcPr>
                  <w:tcW w:w="581" w:type="pct"/>
                  <w:tcBorders>
                    <w:tl2br w:val="nil"/>
                    <w:tr2bl w:val="nil"/>
                  </w:tcBorders>
                  <w:vAlign w:val="center"/>
                </w:tcPr>
                <w:p w14:paraId="2110C6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数量</w:t>
                  </w:r>
                </w:p>
              </w:tc>
              <w:tc>
                <w:tcPr>
                  <w:tcW w:w="898" w:type="pct"/>
                  <w:tcBorders>
                    <w:tl2br w:val="nil"/>
                    <w:tr2bl w:val="nil"/>
                  </w:tcBorders>
                  <w:vAlign w:val="center"/>
                </w:tcPr>
                <w:p w14:paraId="6B0DB53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投资额（万元）</w:t>
                  </w:r>
                </w:p>
              </w:tc>
            </w:tr>
            <w:tr w14:paraId="0D4A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restart"/>
                  <w:tcBorders>
                    <w:tl2br w:val="nil"/>
                    <w:tr2bl w:val="nil"/>
                  </w:tcBorders>
                  <w:vAlign w:val="center"/>
                </w:tcPr>
                <w:p w14:paraId="663C5E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p>
              </w:tc>
              <w:tc>
                <w:tcPr>
                  <w:tcW w:w="311" w:type="pct"/>
                  <w:vMerge w:val="restart"/>
                  <w:tcBorders>
                    <w:tl2br w:val="nil"/>
                    <w:tr2bl w:val="nil"/>
                  </w:tcBorders>
                  <w:vAlign w:val="center"/>
                </w:tcPr>
                <w:p w14:paraId="5962E9D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986" w:type="pct"/>
                  <w:tcBorders>
                    <w:tl2br w:val="nil"/>
                    <w:tr2bl w:val="nil"/>
                  </w:tcBorders>
                  <w:vAlign w:val="center"/>
                </w:tcPr>
                <w:p w14:paraId="18DC10B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注塑废气</w:t>
                  </w:r>
                </w:p>
              </w:tc>
              <w:tc>
                <w:tcPr>
                  <w:tcW w:w="1875" w:type="pct"/>
                  <w:tcBorders>
                    <w:tl2br w:val="nil"/>
                    <w:tr2bl w:val="nil"/>
                  </w:tcBorders>
                  <w:vAlign w:val="center"/>
                </w:tcPr>
                <w:p w14:paraId="50AF0B85">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000000"/>
                      <w:kern w:val="0"/>
                      <w:sz w:val="21"/>
                      <w:szCs w:val="21"/>
                      <w:lang w:val="en-US" w:eastAsia="zh-CN" w:bidi="ar"/>
                    </w:rPr>
                    <w:t>封闭车间+</w:t>
                  </w:r>
                  <w:r>
                    <w:rPr>
                      <w:rFonts w:hint="eastAsia" w:cs="Times New Roman"/>
                      <w:color w:val="000000"/>
                      <w:kern w:val="0"/>
                      <w:sz w:val="21"/>
                      <w:szCs w:val="21"/>
                      <w:lang w:val="en-US" w:eastAsia="zh-CN" w:bidi="ar"/>
                    </w:rPr>
                    <w:t>集气罩（30个）+二级活性炭</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30</w:t>
                  </w:r>
                  <w:r>
                    <w:rPr>
                      <w:rFonts w:hint="default" w:ascii="Times New Roman" w:hAnsi="Times New Roman" w:eastAsia="宋体" w:cs="Times New Roman"/>
                      <w:color w:val="000000"/>
                      <w:kern w:val="0"/>
                      <w:sz w:val="21"/>
                      <w:szCs w:val="21"/>
                      <w:lang w:val="en-US" w:eastAsia="zh-CN" w:bidi="ar"/>
                    </w:rPr>
                    <w:t>m排气筒</w:t>
                  </w:r>
                  <w:r>
                    <w:rPr>
                      <w:rFonts w:hint="eastAsia" w:cs="Times New Roman"/>
                      <w:color w:val="000000"/>
                      <w:kern w:val="0"/>
                      <w:sz w:val="21"/>
                      <w:szCs w:val="21"/>
                      <w:lang w:val="en-US" w:eastAsia="zh-CN" w:bidi="ar"/>
                    </w:rPr>
                    <w:t>（DA001）</w:t>
                  </w:r>
                </w:p>
              </w:tc>
              <w:tc>
                <w:tcPr>
                  <w:tcW w:w="581" w:type="pct"/>
                  <w:tcBorders>
                    <w:tl2br w:val="nil"/>
                    <w:tr2bl w:val="nil"/>
                  </w:tcBorders>
                  <w:vAlign w:val="center"/>
                </w:tcPr>
                <w:p w14:paraId="2E03EC8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98" w:type="pct"/>
                  <w:tcBorders>
                    <w:tl2br w:val="nil"/>
                    <w:tr2bl w:val="nil"/>
                  </w:tcBorders>
                  <w:vAlign w:val="center"/>
                </w:tcPr>
                <w:p w14:paraId="6AACB5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r>
            <w:tr w14:paraId="18C8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391655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11" w:type="pct"/>
                  <w:vMerge w:val="continue"/>
                  <w:tcBorders>
                    <w:tl2br w:val="nil"/>
                    <w:tr2bl w:val="nil"/>
                  </w:tcBorders>
                  <w:vAlign w:val="center"/>
                </w:tcPr>
                <w:p w14:paraId="3D7B03A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86" w:type="pct"/>
                  <w:tcBorders>
                    <w:tl2br w:val="nil"/>
                    <w:tr2bl w:val="nil"/>
                  </w:tcBorders>
                  <w:vAlign w:val="center"/>
                </w:tcPr>
                <w:p w14:paraId="74BBC01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焊接废气</w:t>
                  </w:r>
                </w:p>
              </w:tc>
              <w:tc>
                <w:tcPr>
                  <w:tcW w:w="1875" w:type="pct"/>
                  <w:tcBorders>
                    <w:tl2br w:val="nil"/>
                    <w:tr2bl w:val="nil"/>
                  </w:tcBorders>
                  <w:vAlign w:val="center"/>
                </w:tcPr>
                <w:p w14:paraId="7D29F630">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封闭车间+集气罩（31个）+布袋除尘器+30m排气筒（DA002）</w:t>
                  </w:r>
                </w:p>
              </w:tc>
              <w:tc>
                <w:tcPr>
                  <w:tcW w:w="581" w:type="pct"/>
                  <w:tcBorders>
                    <w:tl2br w:val="nil"/>
                    <w:tr2bl w:val="nil"/>
                  </w:tcBorders>
                  <w:vAlign w:val="center"/>
                </w:tcPr>
                <w:p w14:paraId="2E853DF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98" w:type="pct"/>
                  <w:tcBorders>
                    <w:tl2br w:val="nil"/>
                    <w:tr2bl w:val="nil"/>
                  </w:tcBorders>
                  <w:vAlign w:val="center"/>
                </w:tcPr>
                <w:p w14:paraId="3BF35F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52.0</w:t>
                  </w:r>
                </w:p>
              </w:tc>
            </w:tr>
            <w:tr w14:paraId="200F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5A4B4E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11" w:type="pct"/>
                  <w:vMerge w:val="continue"/>
                  <w:tcBorders>
                    <w:tl2br w:val="nil"/>
                    <w:tr2bl w:val="nil"/>
                  </w:tcBorders>
                  <w:vAlign w:val="center"/>
                </w:tcPr>
                <w:p w14:paraId="035A3CC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86" w:type="pct"/>
                  <w:tcBorders>
                    <w:tl2br w:val="nil"/>
                    <w:tr2bl w:val="nil"/>
                  </w:tcBorders>
                  <w:vAlign w:val="center"/>
                </w:tcPr>
                <w:p w14:paraId="2AF26AAE">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点胶固化废气</w:t>
                  </w:r>
                </w:p>
              </w:tc>
              <w:tc>
                <w:tcPr>
                  <w:tcW w:w="1875" w:type="pct"/>
                  <w:tcBorders>
                    <w:tl2br w:val="nil"/>
                    <w:tr2bl w:val="nil"/>
                  </w:tcBorders>
                  <w:vAlign w:val="center"/>
                </w:tcPr>
                <w:p w14:paraId="3D754E97">
                  <w:pPr>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封闭车间</w:t>
                  </w:r>
                </w:p>
              </w:tc>
              <w:tc>
                <w:tcPr>
                  <w:tcW w:w="581" w:type="pct"/>
                  <w:tcBorders>
                    <w:tl2br w:val="nil"/>
                    <w:tr2bl w:val="nil"/>
                  </w:tcBorders>
                  <w:vAlign w:val="center"/>
                </w:tcPr>
                <w:p w14:paraId="217964E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98" w:type="pct"/>
                  <w:tcBorders>
                    <w:tl2br w:val="nil"/>
                    <w:tr2bl w:val="nil"/>
                  </w:tcBorders>
                  <w:vAlign w:val="center"/>
                </w:tcPr>
                <w:p w14:paraId="5193B3F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计入主体工程</w:t>
                  </w:r>
                </w:p>
              </w:tc>
            </w:tr>
            <w:tr w14:paraId="64AD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772A79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11" w:type="pct"/>
                  <w:vMerge w:val="continue"/>
                  <w:tcBorders>
                    <w:tl2br w:val="nil"/>
                    <w:tr2bl w:val="nil"/>
                  </w:tcBorders>
                  <w:vAlign w:val="center"/>
                </w:tcPr>
                <w:p w14:paraId="1646AFD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86" w:type="pct"/>
                  <w:tcBorders>
                    <w:tl2br w:val="nil"/>
                    <w:tr2bl w:val="nil"/>
                  </w:tcBorders>
                  <w:vAlign w:val="center"/>
                </w:tcPr>
                <w:p w14:paraId="2B40EC25">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粉碎废气</w:t>
                  </w:r>
                </w:p>
              </w:tc>
              <w:tc>
                <w:tcPr>
                  <w:tcW w:w="1875" w:type="pct"/>
                  <w:tcBorders>
                    <w:tl2br w:val="nil"/>
                    <w:tr2bl w:val="nil"/>
                  </w:tcBorders>
                  <w:vAlign w:val="center"/>
                </w:tcPr>
                <w:p w14:paraId="78D28BEB">
                  <w:pPr>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封闭车间+带盖粉碎机</w:t>
                  </w:r>
                </w:p>
              </w:tc>
              <w:tc>
                <w:tcPr>
                  <w:tcW w:w="581" w:type="pct"/>
                  <w:tcBorders>
                    <w:tl2br w:val="nil"/>
                    <w:tr2bl w:val="nil"/>
                  </w:tcBorders>
                  <w:vAlign w:val="center"/>
                </w:tcPr>
                <w:p w14:paraId="69D11F5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98" w:type="pct"/>
                  <w:tcBorders>
                    <w:tl2br w:val="nil"/>
                    <w:tr2bl w:val="nil"/>
                  </w:tcBorders>
                  <w:vAlign w:val="center"/>
                </w:tcPr>
                <w:p w14:paraId="45A9EAE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计入主体工程</w:t>
                  </w:r>
                </w:p>
              </w:tc>
            </w:tr>
            <w:tr w14:paraId="04D3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22EA9F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11" w:type="pct"/>
                  <w:vMerge w:val="continue"/>
                  <w:tcBorders>
                    <w:tl2br w:val="nil"/>
                    <w:tr2bl w:val="nil"/>
                  </w:tcBorders>
                  <w:vAlign w:val="center"/>
                </w:tcPr>
                <w:p w14:paraId="716DD22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86" w:type="pct"/>
                  <w:tcBorders>
                    <w:tl2br w:val="nil"/>
                    <w:tr2bl w:val="nil"/>
                  </w:tcBorders>
                  <w:vAlign w:val="center"/>
                </w:tcPr>
                <w:p w14:paraId="4771329C">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食堂油烟</w:t>
                  </w:r>
                </w:p>
              </w:tc>
              <w:tc>
                <w:tcPr>
                  <w:tcW w:w="1875" w:type="pct"/>
                  <w:tcBorders>
                    <w:tl2br w:val="nil"/>
                    <w:tr2bl w:val="nil"/>
                  </w:tcBorders>
                  <w:vAlign w:val="center"/>
                </w:tcPr>
                <w:p w14:paraId="7033D036">
                  <w:pPr>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FF0000"/>
                      <w:kern w:val="0"/>
                      <w:sz w:val="21"/>
                      <w:szCs w:val="21"/>
                      <w:lang w:val="en-US" w:eastAsia="zh-CN" w:bidi="ar"/>
                    </w:rPr>
                  </w:pPr>
                  <w:r>
                    <w:rPr>
                      <w:rFonts w:hint="eastAsia" w:cs="Times New Roman"/>
                      <w:color w:val="FF0000"/>
                      <w:kern w:val="0"/>
                      <w:sz w:val="21"/>
                      <w:szCs w:val="21"/>
                      <w:lang w:val="en-US" w:eastAsia="zh-CN" w:bidi="ar"/>
                    </w:rPr>
                    <w:t>油烟净化器，去除效率不低于75%</w:t>
                  </w:r>
                </w:p>
              </w:tc>
              <w:tc>
                <w:tcPr>
                  <w:tcW w:w="581" w:type="pct"/>
                  <w:tcBorders>
                    <w:tl2br w:val="nil"/>
                    <w:tr2bl w:val="nil"/>
                  </w:tcBorders>
                  <w:vAlign w:val="center"/>
                </w:tcPr>
                <w:p w14:paraId="5DE40CF7">
                  <w:pPr>
                    <w:keepNext w:val="0"/>
                    <w:keepLines w:val="0"/>
                    <w:suppressLineNumbers w:val="0"/>
                    <w:spacing w:before="0" w:beforeAutospacing="0" w:after="0" w:afterAutospacing="0" w:line="240" w:lineRule="auto"/>
                    <w:ind w:left="0" w:right="0"/>
                    <w:jc w:val="center"/>
                    <w:rPr>
                      <w:rFonts w:hint="default" w:cs="Times New Roman"/>
                      <w:color w:val="FF0000"/>
                      <w:sz w:val="21"/>
                      <w:szCs w:val="21"/>
                      <w:highlight w:val="none"/>
                      <w:lang w:val="en-US" w:eastAsia="zh-CN"/>
                    </w:rPr>
                  </w:pPr>
                  <w:r>
                    <w:rPr>
                      <w:rFonts w:hint="eastAsia" w:cs="Times New Roman"/>
                      <w:color w:val="FF0000"/>
                      <w:sz w:val="21"/>
                      <w:szCs w:val="21"/>
                      <w:highlight w:val="none"/>
                      <w:lang w:val="en-US" w:eastAsia="zh-CN"/>
                    </w:rPr>
                    <w:t>1</w:t>
                  </w:r>
                </w:p>
              </w:tc>
              <w:tc>
                <w:tcPr>
                  <w:tcW w:w="898" w:type="pct"/>
                  <w:tcBorders>
                    <w:tl2br w:val="nil"/>
                    <w:tr2bl w:val="nil"/>
                  </w:tcBorders>
                  <w:vAlign w:val="center"/>
                </w:tcPr>
                <w:p w14:paraId="45DAD1B4">
                  <w:pPr>
                    <w:keepNext w:val="0"/>
                    <w:keepLines w:val="0"/>
                    <w:suppressLineNumbers w:val="0"/>
                    <w:spacing w:before="0" w:beforeAutospacing="0" w:after="0" w:afterAutospacing="0" w:line="240" w:lineRule="auto"/>
                    <w:ind w:left="0" w:right="0"/>
                    <w:jc w:val="center"/>
                    <w:rPr>
                      <w:rFonts w:hint="default" w:cs="Times New Roman"/>
                      <w:color w:val="FF0000"/>
                      <w:sz w:val="21"/>
                      <w:szCs w:val="21"/>
                      <w:highlight w:val="none"/>
                      <w:lang w:val="en-US" w:eastAsia="zh-CN"/>
                    </w:rPr>
                  </w:pPr>
                  <w:r>
                    <w:rPr>
                      <w:rFonts w:hint="eastAsia" w:cs="Times New Roman"/>
                      <w:color w:val="FF0000"/>
                      <w:sz w:val="21"/>
                      <w:szCs w:val="21"/>
                      <w:highlight w:val="none"/>
                      <w:lang w:val="en-US" w:eastAsia="zh-CN"/>
                    </w:rPr>
                    <w:t>2.5</w:t>
                  </w:r>
                </w:p>
              </w:tc>
            </w:tr>
            <w:tr w14:paraId="6FE2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restart"/>
                  <w:tcBorders>
                    <w:tl2br w:val="nil"/>
                    <w:tr2bl w:val="nil"/>
                  </w:tcBorders>
                  <w:vAlign w:val="center"/>
                </w:tcPr>
                <w:p w14:paraId="517A2F8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11" w:type="pct"/>
                  <w:vMerge w:val="restart"/>
                  <w:tcBorders>
                    <w:tl2br w:val="nil"/>
                    <w:tr2bl w:val="nil"/>
                  </w:tcBorders>
                  <w:vAlign w:val="center"/>
                </w:tcPr>
                <w:p w14:paraId="0BDA7D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986" w:type="pct"/>
                  <w:tcBorders>
                    <w:tl2br w:val="nil"/>
                    <w:tr2bl w:val="nil"/>
                  </w:tcBorders>
                  <w:vAlign w:val="center"/>
                </w:tcPr>
                <w:p w14:paraId="634DEBD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1875" w:type="pct"/>
                  <w:tcBorders>
                    <w:tl2br w:val="nil"/>
                    <w:tr2bl w:val="nil"/>
                  </w:tcBorders>
                  <w:vAlign w:val="center"/>
                </w:tcPr>
                <w:p w14:paraId="4954FF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化粪池1座，200m</w:t>
                  </w:r>
                  <w:r>
                    <w:rPr>
                      <w:rFonts w:hint="eastAsia" w:cs="Times New Roman"/>
                      <w:color w:val="FF0000"/>
                      <w:sz w:val="21"/>
                      <w:szCs w:val="21"/>
                      <w:highlight w:val="none"/>
                      <w:vertAlign w:val="superscript"/>
                      <w:lang w:val="en-US" w:eastAsia="zh-CN"/>
                    </w:rPr>
                    <w:t>3</w:t>
                  </w:r>
                </w:p>
              </w:tc>
              <w:tc>
                <w:tcPr>
                  <w:tcW w:w="581" w:type="pct"/>
                  <w:tcBorders>
                    <w:tl2br w:val="nil"/>
                    <w:tr2bl w:val="nil"/>
                  </w:tcBorders>
                  <w:vAlign w:val="center"/>
                </w:tcPr>
                <w:p w14:paraId="679350D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1</w:t>
                  </w:r>
                </w:p>
              </w:tc>
              <w:tc>
                <w:tcPr>
                  <w:tcW w:w="898" w:type="pct"/>
                  <w:tcBorders>
                    <w:tl2br w:val="nil"/>
                    <w:tr2bl w:val="nil"/>
                  </w:tcBorders>
                  <w:vAlign w:val="center"/>
                </w:tcPr>
                <w:p w14:paraId="3CEC789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20.0</w:t>
                  </w:r>
                </w:p>
              </w:tc>
            </w:tr>
            <w:tr w14:paraId="1328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76B5F2B8">
                  <w:pPr>
                    <w:keepNext w:val="0"/>
                    <w:keepLines w:val="0"/>
                    <w:suppressLineNumbers w:val="0"/>
                    <w:spacing w:before="0" w:beforeAutospacing="0" w:after="0" w:afterAutospacing="0" w:line="240" w:lineRule="auto"/>
                    <w:ind w:left="0" w:right="0"/>
                    <w:jc w:val="center"/>
                    <w:rPr>
                      <w:rFonts w:hint="eastAsia" w:cs="Times New Roman"/>
                      <w:color w:val="auto"/>
                      <w:sz w:val="21"/>
                      <w:szCs w:val="21"/>
                      <w:highlight w:val="none"/>
                      <w:lang w:val="en-US" w:eastAsia="zh-CN"/>
                    </w:rPr>
                  </w:pPr>
                </w:p>
              </w:tc>
              <w:tc>
                <w:tcPr>
                  <w:tcW w:w="311" w:type="pct"/>
                  <w:vMerge w:val="continue"/>
                  <w:tcBorders>
                    <w:tl2br w:val="nil"/>
                    <w:tr2bl w:val="nil"/>
                  </w:tcBorders>
                  <w:vAlign w:val="center"/>
                </w:tcPr>
                <w:p w14:paraId="5DCC5E1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986" w:type="pct"/>
                  <w:tcBorders>
                    <w:tl2br w:val="nil"/>
                    <w:tr2bl w:val="nil"/>
                  </w:tcBorders>
                  <w:vAlign w:val="center"/>
                </w:tcPr>
                <w:p w14:paraId="4F7A2DB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清洗废水</w:t>
                  </w:r>
                </w:p>
              </w:tc>
              <w:tc>
                <w:tcPr>
                  <w:tcW w:w="1875" w:type="pct"/>
                  <w:tcBorders>
                    <w:tl2br w:val="nil"/>
                    <w:tr2bl w:val="nil"/>
                  </w:tcBorders>
                  <w:vAlign w:val="center"/>
                </w:tcPr>
                <w:p w14:paraId="411A06D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污水处理站</w:t>
                  </w:r>
                </w:p>
              </w:tc>
              <w:tc>
                <w:tcPr>
                  <w:tcW w:w="581" w:type="pct"/>
                  <w:tcBorders>
                    <w:tl2br w:val="nil"/>
                    <w:tr2bl w:val="nil"/>
                  </w:tcBorders>
                  <w:vAlign w:val="center"/>
                </w:tcPr>
                <w:p w14:paraId="75611C0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1</w:t>
                  </w:r>
                </w:p>
              </w:tc>
              <w:tc>
                <w:tcPr>
                  <w:tcW w:w="898" w:type="pct"/>
                  <w:tcBorders>
                    <w:tl2br w:val="nil"/>
                    <w:tr2bl w:val="nil"/>
                  </w:tcBorders>
                  <w:vAlign w:val="center"/>
                </w:tcPr>
                <w:p w14:paraId="608AC48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15.0</w:t>
                  </w:r>
                </w:p>
              </w:tc>
            </w:tr>
            <w:tr w14:paraId="3A1E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tcBorders>
                    <w:tl2br w:val="nil"/>
                    <w:tr2bl w:val="nil"/>
                  </w:tcBorders>
                  <w:vAlign w:val="center"/>
                </w:tcPr>
                <w:p w14:paraId="145AD30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98" w:type="pct"/>
                  <w:gridSpan w:val="2"/>
                  <w:tcBorders>
                    <w:tl2br w:val="nil"/>
                    <w:tr2bl w:val="nil"/>
                  </w:tcBorders>
                  <w:vAlign w:val="center"/>
                </w:tcPr>
                <w:p w14:paraId="67C0AE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1875" w:type="pct"/>
                  <w:tcBorders>
                    <w:tl2br w:val="nil"/>
                    <w:tr2bl w:val="nil"/>
                  </w:tcBorders>
                  <w:vAlign w:val="center"/>
                </w:tcPr>
                <w:p w14:paraId="64EAEBD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选用低噪声设备、安装于车间内、基础减振、风机安装消声装置</w:t>
                  </w:r>
                </w:p>
              </w:tc>
              <w:tc>
                <w:tcPr>
                  <w:tcW w:w="581" w:type="pct"/>
                  <w:tcBorders>
                    <w:tl2br w:val="nil"/>
                    <w:tr2bl w:val="nil"/>
                  </w:tcBorders>
                  <w:vAlign w:val="center"/>
                </w:tcPr>
                <w:p w14:paraId="56625F5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w:t>
                  </w:r>
                </w:p>
              </w:tc>
              <w:tc>
                <w:tcPr>
                  <w:tcW w:w="898" w:type="pct"/>
                  <w:tcBorders>
                    <w:tl2br w:val="nil"/>
                    <w:tr2bl w:val="nil"/>
                  </w:tcBorders>
                  <w:vAlign w:val="center"/>
                </w:tcPr>
                <w:p w14:paraId="152C332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计入工程投资</w:t>
                  </w:r>
                </w:p>
              </w:tc>
            </w:tr>
            <w:tr w14:paraId="62A1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restart"/>
                  <w:tcBorders>
                    <w:tl2br w:val="nil"/>
                    <w:tr2bl w:val="nil"/>
                  </w:tcBorders>
                  <w:vAlign w:val="center"/>
                </w:tcPr>
                <w:p w14:paraId="79FD95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1298" w:type="pct"/>
                  <w:gridSpan w:val="2"/>
                  <w:vMerge w:val="restart"/>
                  <w:tcBorders>
                    <w:left w:val="single" w:color="auto" w:sz="4" w:space="0"/>
                    <w:tl2br w:val="nil"/>
                    <w:tr2bl w:val="nil"/>
                  </w:tcBorders>
                  <w:vAlign w:val="center"/>
                </w:tcPr>
                <w:p w14:paraId="1D3CE8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固废</w:t>
                  </w:r>
                </w:p>
              </w:tc>
              <w:tc>
                <w:tcPr>
                  <w:tcW w:w="1875" w:type="pct"/>
                  <w:tcBorders>
                    <w:tl2br w:val="nil"/>
                    <w:tr2bl w:val="nil"/>
                  </w:tcBorders>
                  <w:vAlign w:val="center"/>
                </w:tcPr>
                <w:p w14:paraId="7019EC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一般固体废物暂存库20m</w:t>
                  </w:r>
                  <w:r>
                    <w:rPr>
                      <w:rFonts w:hint="eastAsia" w:cs="Times New Roman"/>
                      <w:color w:val="FF0000"/>
                      <w:sz w:val="21"/>
                      <w:szCs w:val="21"/>
                      <w:highlight w:val="none"/>
                      <w:vertAlign w:val="superscript"/>
                      <w:lang w:val="en-US" w:eastAsia="zh-CN"/>
                    </w:rPr>
                    <w:t>2</w:t>
                  </w:r>
                </w:p>
              </w:tc>
              <w:tc>
                <w:tcPr>
                  <w:tcW w:w="581" w:type="pct"/>
                  <w:tcBorders>
                    <w:tl2br w:val="nil"/>
                    <w:tr2bl w:val="nil"/>
                  </w:tcBorders>
                  <w:vAlign w:val="center"/>
                </w:tcPr>
                <w:p w14:paraId="308F1EC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1</w:t>
                  </w:r>
                </w:p>
              </w:tc>
              <w:tc>
                <w:tcPr>
                  <w:tcW w:w="898" w:type="pct"/>
                  <w:tcBorders>
                    <w:tl2br w:val="nil"/>
                    <w:tr2bl w:val="nil"/>
                  </w:tcBorders>
                  <w:vAlign w:val="center"/>
                </w:tcPr>
                <w:p w14:paraId="52EB09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2.0</w:t>
                  </w:r>
                </w:p>
              </w:tc>
            </w:tr>
            <w:tr w14:paraId="0713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09A7D185">
                  <w:pPr>
                    <w:keepNext w:val="0"/>
                    <w:keepLines w:val="0"/>
                    <w:suppressLineNumbers w:val="0"/>
                    <w:spacing w:before="0" w:beforeAutospacing="0" w:after="0" w:afterAutospacing="0" w:line="240" w:lineRule="auto"/>
                    <w:ind w:left="0" w:right="0"/>
                    <w:jc w:val="center"/>
                    <w:rPr>
                      <w:rFonts w:hint="eastAsia" w:cs="Times New Roman"/>
                      <w:color w:val="auto"/>
                      <w:sz w:val="21"/>
                      <w:szCs w:val="21"/>
                      <w:highlight w:val="none"/>
                      <w:lang w:val="en-US" w:eastAsia="zh-CN"/>
                    </w:rPr>
                  </w:pPr>
                </w:p>
              </w:tc>
              <w:tc>
                <w:tcPr>
                  <w:tcW w:w="1298" w:type="pct"/>
                  <w:gridSpan w:val="2"/>
                  <w:vMerge w:val="continue"/>
                  <w:tcBorders>
                    <w:left w:val="single" w:color="auto" w:sz="4" w:space="0"/>
                    <w:tl2br w:val="nil"/>
                    <w:tr2bl w:val="nil"/>
                  </w:tcBorders>
                  <w:vAlign w:val="center"/>
                </w:tcPr>
                <w:p w14:paraId="07F42002">
                  <w:pPr>
                    <w:keepNext w:val="0"/>
                    <w:keepLines w:val="0"/>
                    <w:suppressLineNumbers w:val="0"/>
                    <w:spacing w:before="0" w:beforeAutospacing="0" w:after="0" w:afterAutospacing="0" w:line="240" w:lineRule="auto"/>
                    <w:ind w:left="0" w:right="0"/>
                    <w:jc w:val="center"/>
                    <w:rPr>
                      <w:rFonts w:hint="eastAsia" w:cs="Times New Roman"/>
                      <w:color w:val="auto"/>
                      <w:sz w:val="21"/>
                      <w:szCs w:val="21"/>
                      <w:highlight w:val="none"/>
                      <w:lang w:val="en-US" w:eastAsia="zh-CN"/>
                    </w:rPr>
                  </w:pPr>
                </w:p>
              </w:tc>
              <w:tc>
                <w:tcPr>
                  <w:tcW w:w="1875" w:type="pct"/>
                  <w:tcBorders>
                    <w:tl2br w:val="nil"/>
                    <w:tr2bl w:val="nil"/>
                  </w:tcBorders>
                  <w:vAlign w:val="center"/>
                </w:tcPr>
                <w:p w14:paraId="34921DB0">
                  <w:pPr>
                    <w:keepNext w:val="0"/>
                    <w:keepLines w:val="0"/>
                    <w:suppressLineNumbers w:val="0"/>
                    <w:spacing w:before="0" w:beforeAutospacing="0" w:after="0" w:afterAutospacing="0" w:line="240" w:lineRule="auto"/>
                    <w:ind w:left="0" w:right="0"/>
                    <w:jc w:val="center"/>
                    <w:rPr>
                      <w:rFonts w:hint="eastAsia" w:cs="Times New Roman"/>
                      <w:color w:val="FF0000"/>
                      <w:sz w:val="21"/>
                      <w:szCs w:val="21"/>
                      <w:highlight w:val="none"/>
                      <w:lang w:val="en-US" w:eastAsia="zh-CN"/>
                    </w:rPr>
                  </w:pPr>
                  <w:r>
                    <w:rPr>
                      <w:rFonts w:hint="eastAsia" w:cs="Times New Roman"/>
                      <w:color w:val="FF0000"/>
                      <w:sz w:val="21"/>
                      <w:szCs w:val="21"/>
                      <w:highlight w:val="none"/>
                      <w:lang w:val="en-US" w:eastAsia="zh-CN"/>
                    </w:rPr>
                    <w:t>危废贮存库20m</w:t>
                  </w:r>
                  <w:r>
                    <w:rPr>
                      <w:rFonts w:hint="eastAsia" w:cs="Times New Roman"/>
                      <w:color w:val="FF0000"/>
                      <w:sz w:val="21"/>
                      <w:szCs w:val="21"/>
                      <w:highlight w:val="none"/>
                      <w:vertAlign w:val="superscript"/>
                      <w:lang w:val="en-US" w:eastAsia="zh-CN"/>
                    </w:rPr>
                    <w:t>2</w:t>
                  </w:r>
                </w:p>
              </w:tc>
              <w:tc>
                <w:tcPr>
                  <w:tcW w:w="581" w:type="pct"/>
                  <w:tcBorders>
                    <w:tl2br w:val="nil"/>
                    <w:tr2bl w:val="nil"/>
                  </w:tcBorders>
                  <w:shd w:val="clear" w:color="auto" w:fill="auto"/>
                  <w:vAlign w:val="center"/>
                </w:tcPr>
                <w:p w14:paraId="5E249D0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FF0000"/>
                      <w:kern w:val="2"/>
                      <w:sz w:val="21"/>
                      <w:szCs w:val="21"/>
                      <w:highlight w:val="none"/>
                      <w:lang w:val="en-US" w:eastAsia="zh-CN" w:bidi="ar-SA"/>
                    </w:rPr>
                  </w:pPr>
                  <w:r>
                    <w:rPr>
                      <w:rFonts w:hint="eastAsia" w:cs="Times New Roman"/>
                      <w:color w:val="FF0000"/>
                      <w:sz w:val="21"/>
                      <w:szCs w:val="21"/>
                      <w:highlight w:val="none"/>
                      <w:lang w:val="en-US" w:eastAsia="zh-CN"/>
                    </w:rPr>
                    <w:t>1</w:t>
                  </w:r>
                </w:p>
              </w:tc>
              <w:tc>
                <w:tcPr>
                  <w:tcW w:w="898" w:type="pct"/>
                  <w:tcBorders>
                    <w:tl2br w:val="nil"/>
                    <w:tr2bl w:val="nil"/>
                  </w:tcBorders>
                  <w:shd w:val="clear" w:color="auto" w:fill="auto"/>
                  <w:vAlign w:val="center"/>
                </w:tcPr>
                <w:p w14:paraId="752D8B8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FF0000"/>
                      <w:kern w:val="2"/>
                      <w:sz w:val="21"/>
                      <w:szCs w:val="21"/>
                      <w:highlight w:val="none"/>
                      <w:lang w:val="en-US" w:eastAsia="zh-CN" w:bidi="ar-SA"/>
                    </w:rPr>
                  </w:pPr>
                  <w:r>
                    <w:rPr>
                      <w:rFonts w:hint="eastAsia" w:cs="Times New Roman"/>
                      <w:color w:val="FF0000"/>
                      <w:sz w:val="21"/>
                      <w:szCs w:val="21"/>
                      <w:highlight w:val="none"/>
                      <w:lang w:val="en-US" w:eastAsia="zh-CN"/>
                    </w:rPr>
                    <w:t>3.0</w:t>
                  </w:r>
                </w:p>
              </w:tc>
            </w:tr>
            <w:tr w14:paraId="2F57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14:paraId="129548E7">
                  <w:pPr>
                    <w:keepNext w:val="0"/>
                    <w:keepLines w:val="0"/>
                    <w:suppressLineNumbers w:val="0"/>
                    <w:spacing w:before="0" w:beforeAutospacing="0" w:after="0" w:afterAutospacing="0" w:line="240" w:lineRule="auto"/>
                    <w:ind w:left="0" w:right="0"/>
                    <w:jc w:val="center"/>
                    <w:rPr>
                      <w:rFonts w:hint="eastAsia" w:cs="Times New Roman"/>
                      <w:color w:val="auto"/>
                      <w:sz w:val="21"/>
                      <w:szCs w:val="21"/>
                      <w:highlight w:val="none"/>
                      <w:lang w:val="en-US" w:eastAsia="zh-CN"/>
                    </w:rPr>
                  </w:pPr>
                </w:p>
              </w:tc>
              <w:tc>
                <w:tcPr>
                  <w:tcW w:w="1298" w:type="pct"/>
                  <w:gridSpan w:val="2"/>
                  <w:vMerge w:val="continue"/>
                  <w:tcBorders>
                    <w:left w:val="single" w:color="auto" w:sz="4" w:space="0"/>
                    <w:tl2br w:val="nil"/>
                    <w:tr2bl w:val="nil"/>
                  </w:tcBorders>
                  <w:vAlign w:val="center"/>
                </w:tcPr>
                <w:p w14:paraId="1CE818BE">
                  <w:pPr>
                    <w:keepNext w:val="0"/>
                    <w:keepLines w:val="0"/>
                    <w:suppressLineNumbers w:val="0"/>
                    <w:spacing w:before="0" w:beforeAutospacing="0" w:after="0" w:afterAutospacing="0" w:line="240" w:lineRule="auto"/>
                    <w:ind w:left="0" w:right="0"/>
                    <w:jc w:val="center"/>
                    <w:rPr>
                      <w:rFonts w:hint="eastAsia" w:cs="Times New Roman"/>
                      <w:color w:val="auto"/>
                      <w:sz w:val="21"/>
                      <w:szCs w:val="21"/>
                      <w:highlight w:val="none"/>
                      <w:lang w:val="en-US" w:eastAsia="zh-CN"/>
                    </w:rPr>
                  </w:pPr>
                </w:p>
              </w:tc>
              <w:tc>
                <w:tcPr>
                  <w:tcW w:w="1875" w:type="pct"/>
                  <w:tcBorders>
                    <w:tl2br w:val="nil"/>
                    <w:tr2bl w:val="nil"/>
                  </w:tcBorders>
                  <w:vAlign w:val="center"/>
                </w:tcPr>
                <w:p w14:paraId="609D516E">
                  <w:pPr>
                    <w:keepNext w:val="0"/>
                    <w:keepLines w:val="0"/>
                    <w:suppressLineNumbers w:val="0"/>
                    <w:spacing w:before="0" w:beforeAutospacing="0" w:after="0" w:afterAutospacing="0" w:line="240" w:lineRule="auto"/>
                    <w:ind w:left="0" w:right="0"/>
                    <w:jc w:val="center"/>
                    <w:rPr>
                      <w:rFonts w:hint="default" w:cs="Times New Roman"/>
                      <w:color w:val="FF0000"/>
                      <w:sz w:val="21"/>
                      <w:szCs w:val="21"/>
                      <w:highlight w:val="none"/>
                      <w:lang w:val="en-US" w:eastAsia="zh-CN"/>
                    </w:rPr>
                  </w:pPr>
                  <w:r>
                    <w:rPr>
                      <w:rFonts w:hint="eastAsia" w:cs="Times New Roman"/>
                      <w:color w:val="FF0000"/>
                      <w:sz w:val="21"/>
                      <w:szCs w:val="21"/>
                      <w:highlight w:val="none"/>
                      <w:lang w:val="en-US" w:eastAsia="zh-CN"/>
                    </w:rPr>
                    <w:t>垃圾桶</w:t>
                  </w:r>
                </w:p>
              </w:tc>
              <w:tc>
                <w:tcPr>
                  <w:tcW w:w="581" w:type="pct"/>
                  <w:tcBorders>
                    <w:tl2br w:val="nil"/>
                    <w:tr2bl w:val="nil"/>
                  </w:tcBorders>
                  <w:vAlign w:val="center"/>
                </w:tcPr>
                <w:p w14:paraId="5A825927">
                  <w:pPr>
                    <w:keepNext w:val="0"/>
                    <w:keepLines w:val="0"/>
                    <w:suppressLineNumbers w:val="0"/>
                    <w:spacing w:before="0" w:beforeAutospacing="0" w:after="0" w:afterAutospacing="0" w:line="240" w:lineRule="auto"/>
                    <w:ind w:left="0" w:right="0"/>
                    <w:jc w:val="center"/>
                    <w:rPr>
                      <w:rFonts w:hint="default" w:cs="Times New Roman"/>
                      <w:color w:val="FF0000"/>
                      <w:sz w:val="21"/>
                      <w:szCs w:val="21"/>
                      <w:highlight w:val="none"/>
                      <w:lang w:val="en-US" w:eastAsia="zh-CN"/>
                    </w:rPr>
                  </w:pPr>
                  <w:r>
                    <w:rPr>
                      <w:rFonts w:hint="eastAsia" w:cs="Times New Roman"/>
                      <w:color w:val="FF0000"/>
                      <w:sz w:val="21"/>
                      <w:szCs w:val="21"/>
                      <w:highlight w:val="none"/>
                      <w:lang w:val="en-US" w:eastAsia="zh-CN"/>
                    </w:rPr>
                    <w:t>若干</w:t>
                  </w:r>
                </w:p>
              </w:tc>
              <w:tc>
                <w:tcPr>
                  <w:tcW w:w="898" w:type="pct"/>
                  <w:tcBorders>
                    <w:tl2br w:val="nil"/>
                    <w:tr2bl w:val="nil"/>
                  </w:tcBorders>
                  <w:vAlign w:val="center"/>
                </w:tcPr>
                <w:p w14:paraId="4A51597E">
                  <w:pPr>
                    <w:keepNext w:val="0"/>
                    <w:keepLines w:val="0"/>
                    <w:suppressLineNumbers w:val="0"/>
                    <w:spacing w:before="0" w:beforeAutospacing="0" w:after="0" w:afterAutospacing="0" w:line="240" w:lineRule="auto"/>
                    <w:ind w:left="0" w:right="0"/>
                    <w:jc w:val="center"/>
                    <w:rPr>
                      <w:rFonts w:hint="default" w:cs="Times New Roman"/>
                      <w:color w:val="FF0000"/>
                      <w:sz w:val="21"/>
                      <w:szCs w:val="21"/>
                      <w:highlight w:val="none"/>
                      <w:lang w:val="en-US" w:eastAsia="zh-CN"/>
                    </w:rPr>
                  </w:pPr>
                  <w:r>
                    <w:rPr>
                      <w:rFonts w:hint="eastAsia" w:cs="Times New Roman"/>
                      <w:color w:val="FF0000"/>
                      <w:sz w:val="21"/>
                      <w:szCs w:val="21"/>
                      <w:highlight w:val="none"/>
                      <w:lang w:val="en-US" w:eastAsia="zh-CN"/>
                    </w:rPr>
                    <w:t>0.1</w:t>
                  </w:r>
                </w:p>
              </w:tc>
            </w:tr>
            <w:tr w14:paraId="10EE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tcBorders>
                    <w:tl2br w:val="nil"/>
                    <w:tr2bl w:val="nil"/>
                  </w:tcBorders>
                  <w:vAlign w:val="center"/>
                </w:tcPr>
                <w:p w14:paraId="5111CAAE">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98" w:type="pct"/>
                  <w:gridSpan w:val="2"/>
                  <w:tcBorders>
                    <w:left w:val="single" w:color="auto" w:sz="4" w:space="0"/>
                    <w:tl2br w:val="nil"/>
                    <w:tr2bl w:val="nil"/>
                  </w:tcBorders>
                  <w:shd w:val="clear" w:color="auto" w:fill="auto"/>
                  <w:vAlign w:val="center"/>
                </w:tcPr>
                <w:p w14:paraId="7AD9DCD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地下水、土壤防治</w:t>
                  </w:r>
                </w:p>
              </w:tc>
              <w:tc>
                <w:tcPr>
                  <w:tcW w:w="1875" w:type="pct"/>
                  <w:tcBorders>
                    <w:tl2br w:val="nil"/>
                    <w:tr2bl w:val="nil"/>
                  </w:tcBorders>
                  <w:shd w:val="clear" w:color="auto" w:fill="auto"/>
                  <w:vAlign w:val="center"/>
                </w:tcPr>
                <w:p w14:paraId="07E26CD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sz w:val="21"/>
                      <w:szCs w:val="21"/>
                      <w:highlight w:val="none"/>
                      <w:lang w:val="en-US" w:eastAsia="zh-CN"/>
                    </w:rPr>
                    <w:t>分区防渗</w:t>
                  </w:r>
                </w:p>
              </w:tc>
              <w:tc>
                <w:tcPr>
                  <w:tcW w:w="581" w:type="pct"/>
                  <w:tcBorders>
                    <w:tl2br w:val="nil"/>
                    <w:tr2bl w:val="nil"/>
                  </w:tcBorders>
                  <w:shd w:val="clear" w:color="auto" w:fill="auto"/>
                  <w:vAlign w:val="center"/>
                </w:tcPr>
                <w:p w14:paraId="009867D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FF0000"/>
                      <w:sz w:val="21"/>
                      <w:szCs w:val="21"/>
                      <w:highlight w:val="none"/>
                      <w:lang w:val="en-US" w:eastAsia="zh-CN"/>
                    </w:rPr>
                    <w:t>/</w:t>
                  </w:r>
                </w:p>
              </w:tc>
              <w:tc>
                <w:tcPr>
                  <w:tcW w:w="898" w:type="pct"/>
                  <w:tcBorders>
                    <w:tl2br w:val="nil"/>
                    <w:tr2bl w:val="nil"/>
                  </w:tcBorders>
                  <w:shd w:val="clear" w:color="auto" w:fill="auto"/>
                  <w:vAlign w:val="center"/>
                </w:tcPr>
                <w:p w14:paraId="6014750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sz w:val="21"/>
                      <w:szCs w:val="21"/>
                      <w:highlight w:val="none"/>
                      <w:lang w:val="en-US" w:eastAsia="zh-CN"/>
                    </w:rPr>
                    <w:t>25.0</w:t>
                  </w:r>
                </w:p>
              </w:tc>
            </w:tr>
            <w:tr w14:paraId="4F54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tcBorders>
                    <w:tl2br w:val="nil"/>
                    <w:tr2bl w:val="nil"/>
                  </w:tcBorders>
                  <w:vAlign w:val="center"/>
                </w:tcPr>
                <w:p w14:paraId="1F32C7C1">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298" w:type="pct"/>
                  <w:gridSpan w:val="2"/>
                  <w:tcBorders>
                    <w:left w:val="single" w:color="auto" w:sz="4" w:space="0"/>
                    <w:tl2br w:val="nil"/>
                    <w:tr2bl w:val="nil"/>
                  </w:tcBorders>
                  <w:shd w:val="clear" w:color="auto" w:fill="auto"/>
                  <w:vAlign w:val="center"/>
                </w:tcPr>
                <w:p w14:paraId="26DDBA2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生态</w:t>
                  </w:r>
                </w:p>
              </w:tc>
              <w:tc>
                <w:tcPr>
                  <w:tcW w:w="1875" w:type="pct"/>
                  <w:tcBorders>
                    <w:tl2br w:val="nil"/>
                    <w:tr2bl w:val="nil"/>
                  </w:tcBorders>
                  <w:shd w:val="clear" w:color="auto" w:fill="auto"/>
                  <w:vAlign w:val="center"/>
                </w:tcPr>
                <w:p w14:paraId="5D42E53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绿化面积3783.43m</w:t>
                  </w:r>
                  <w:r>
                    <w:rPr>
                      <w:rFonts w:hint="eastAsia" w:cs="Times New Roman"/>
                      <w:color w:val="FF0000"/>
                      <w:sz w:val="21"/>
                      <w:szCs w:val="21"/>
                      <w:highlight w:val="none"/>
                      <w:vertAlign w:val="superscript"/>
                      <w:lang w:val="en-US" w:eastAsia="zh-CN"/>
                    </w:rPr>
                    <w:t>2</w:t>
                  </w:r>
                </w:p>
              </w:tc>
              <w:tc>
                <w:tcPr>
                  <w:tcW w:w="581" w:type="pct"/>
                  <w:tcBorders>
                    <w:tl2br w:val="nil"/>
                    <w:tr2bl w:val="nil"/>
                  </w:tcBorders>
                  <w:shd w:val="clear" w:color="auto" w:fill="auto"/>
                  <w:vAlign w:val="center"/>
                </w:tcPr>
                <w:p w14:paraId="4C163FF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w:t>
                  </w:r>
                </w:p>
              </w:tc>
              <w:tc>
                <w:tcPr>
                  <w:tcW w:w="898" w:type="pct"/>
                  <w:tcBorders>
                    <w:tl2br w:val="nil"/>
                    <w:tr2bl w:val="nil"/>
                  </w:tcBorders>
                  <w:shd w:val="clear" w:color="auto" w:fill="auto"/>
                  <w:vAlign w:val="center"/>
                </w:tcPr>
                <w:p w14:paraId="7CFC46C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8.0</w:t>
                  </w:r>
                </w:p>
              </w:tc>
            </w:tr>
            <w:tr w14:paraId="01D8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44" w:type="pct"/>
                  <w:gridSpan w:val="3"/>
                  <w:tcBorders>
                    <w:tl2br w:val="nil"/>
                    <w:tr2bl w:val="nil"/>
                  </w:tcBorders>
                  <w:vAlign w:val="center"/>
                </w:tcPr>
                <w:p w14:paraId="5CD45CF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合计</w:t>
                  </w:r>
                </w:p>
              </w:tc>
              <w:tc>
                <w:tcPr>
                  <w:tcW w:w="1875" w:type="pct"/>
                  <w:tcBorders>
                    <w:tl2br w:val="nil"/>
                    <w:tr2bl w:val="nil"/>
                  </w:tcBorders>
                  <w:vAlign w:val="center"/>
                </w:tcPr>
                <w:p w14:paraId="2530A29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FF0000"/>
                      <w:sz w:val="21"/>
                      <w:szCs w:val="21"/>
                      <w:highlight w:val="none"/>
                    </w:rPr>
                    <w:t>/</w:t>
                  </w:r>
                </w:p>
              </w:tc>
              <w:tc>
                <w:tcPr>
                  <w:tcW w:w="581" w:type="pct"/>
                  <w:tcBorders>
                    <w:tl2br w:val="nil"/>
                    <w:tr2bl w:val="nil"/>
                  </w:tcBorders>
                  <w:vAlign w:val="center"/>
                </w:tcPr>
                <w:p w14:paraId="07248ED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w:t>
                  </w:r>
                </w:p>
              </w:tc>
              <w:tc>
                <w:tcPr>
                  <w:tcW w:w="898" w:type="pct"/>
                  <w:tcBorders>
                    <w:tl2br w:val="nil"/>
                    <w:tr2bl w:val="nil"/>
                  </w:tcBorders>
                  <w:vAlign w:val="center"/>
                </w:tcPr>
                <w:p w14:paraId="52D8EED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177.6</w:t>
                  </w:r>
                </w:p>
              </w:tc>
            </w:tr>
          </w:tbl>
          <w:p w14:paraId="2B5298A9">
            <w:pPr>
              <w:keepNext w:val="0"/>
              <w:keepLines w:val="0"/>
              <w:suppressLineNumbers w:val="0"/>
              <w:bidi w:val="0"/>
              <w:spacing w:before="0" w:beforeAutospacing="0" w:after="0" w:afterAutospacing="0"/>
              <w:ind w:left="0" w:right="0"/>
              <w:rPr>
                <w:rFonts w:hint="default"/>
                <w:lang w:val="en-GB" w:eastAsia="zh-CN"/>
              </w:rPr>
            </w:pPr>
          </w:p>
          <w:p w14:paraId="77DBA389">
            <w:pPr>
              <w:keepNext w:val="0"/>
              <w:keepLines w:val="0"/>
              <w:suppressLineNumbers w:val="0"/>
              <w:bidi w:val="0"/>
              <w:spacing w:before="0" w:beforeAutospacing="0" w:after="0" w:afterAutospacing="0"/>
              <w:ind w:left="0" w:right="0"/>
              <w:rPr>
                <w:rFonts w:hint="default"/>
                <w:lang w:val="en-GB" w:eastAsia="zh-CN"/>
              </w:rPr>
            </w:pPr>
          </w:p>
          <w:p w14:paraId="3CB46E7A">
            <w:pPr>
              <w:keepNext w:val="0"/>
              <w:keepLines w:val="0"/>
              <w:suppressLineNumbers w:val="0"/>
              <w:bidi w:val="0"/>
              <w:spacing w:before="0" w:beforeAutospacing="0" w:after="0" w:afterAutospacing="0"/>
              <w:ind w:left="0" w:right="0"/>
              <w:rPr>
                <w:rFonts w:hint="default"/>
                <w:lang w:val="en-GB" w:eastAsia="zh-CN"/>
              </w:rPr>
            </w:pPr>
          </w:p>
          <w:p w14:paraId="624E403B">
            <w:pPr>
              <w:keepNext w:val="0"/>
              <w:keepLines w:val="0"/>
              <w:suppressLineNumbers w:val="0"/>
              <w:bidi w:val="0"/>
              <w:spacing w:before="0" w:beforeAutospacing="0" w:after="0" w:afterAutospacing="0"/>
              <w:ind w:left="0" w:right="0"/>
              <w:rPr>
                <w:rFonts w:hint="default"/>
                <w:lang w:val="en-GB" w:eastAsia="zh-CN"/>
              </w:rPr>
            </w:pPr>
          </w:p>
          <w:p w14:paraId="2037D09A">
            <w:pPr>
              <w:keepNext w:val="0"/>
              <w:keepLines w:val="0"/>
              <w:suppressLineNumbers w:val="0"/>
              <w:bidi w:val="0"/>
              <w:spacing w:before="0" w:beforeAutospacing="0" w:after="0" w:afterAutospacing="0"/>
              <w:ind w:left="0" w:right="0"/>
              <w:rPr>
                <w:rFonts w:hint="default"/>
                <w:lang w:val="en-GB" w:eastAsia="zh-CN"/>
              </w:rPr>
            </w:pPr>
          </w:p>
          <w:p w14:paraId="29146425">
            <w:pPr>
              <w:keepNext w:val="0"/>
              <w:keepLines w:val="0"/>
              <w:suppressLineNumbers w:val="0"/>
              <w:bidi w:val="0"/>
              <w:spacing w:before="0" w:beforeAutospacing="0" w:after="0" w:afterAutospacing="0"/>
              <w:ind w:left="0" w:right="0"/>
              <w:rPr>
                <w:rFonts w:hint="default"/>
                <w:lang w:val="en-GB" w:eastAsia="zh-CN"/>
              </w:rPr>
            </w:pPr>
          </w:p>
          <w:p w14:paraId="7064EC48">
            <w:pPr>
              <w:keepNext w:val="0"/>
              <w:keepLines w:val="0"/>
              <w:suppressLineNumbers w:val="0"/>
              <w:bidi w:val="0"/>
              <w:spacing w:before="0" w:beforeAutospacing="0" w:after="0" w:afterAutospacing="0"/>
              <w:ind w:left="0" w:right="0"/>
              <w:rPr>
                <w:rFonts w:hint="default"/>
                <w:lang w:val="en-GB" w:eastAsia="zh-CN"/>
              </w:rPr>
            </w:pPr>
          </w:p>
          <w:p w14:paraId="4514A326">
            <w:pPr>
              <w:keepNext w:val="0"/>
              <w:keepLines w:val="0"/>
              <w:suppressLineNumbers w:val="0"/>
              <w:spacing w:before="0" w:beforeAutospacing="0" w:after="0" w:afterAutospacing="0"/>
              <w:ind w:left="0" w:right="0"/>
              <w:rPr>
                <w:rFonts w:hint="default"/>
                <w:lang w:val="en-GB" w:eastAsia="zh-CN"/>
              </w:rPr>
            </w:pPr>
          </w:p>
          <w:p w14:paraId="314B43CC">
            <w:pPr>
              <w:keepNext w:val="0"/>
              <w:keepLines w:val="0"/>
              <w:suppressLineNumbers w:val="0"/>
              <w:bidi w:val="0"/>
              <w:spacing w:before="0" w:beforeAutospacing="0" w:after="0" w:afterAutospacing="0"/>
              <w:ind w:left="0" w:right="0"/>
              <w:rPr>
                <w:rFonts w:hint="default"/>
                <w:lang w:val="en-GB" w:eastAsia="zh-CN"/>
              </w:rPr>
            </w:pPr>
          </w:p>
          <w:p w14:paraId="297016E2">
            <w:pPr>
              <w:keepNext w:val="0"/>
              <w:keepLines w:val="0"/>
              <w:suppressLineNumbers w:val="0"/>
              <w:bidi w:val="0"/>
              <w:spacing w:before="0" w:beforeAutospacing="0" w:after="0" w:afterAutospacing="0"/>
              <w:ind w:left="0" w:right="0"/>
              <w:rPr>
                <w:rFonts w:hint="default"/>
                <w:lang w:val="en-GB" w:eastAsia="zh-CN"/>
              </w:rPr>
            </w:pPr>
          </w:p>
          <w:p w14:paraId="5BC0D377">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auto"/>
                <w:lang w:val="en-US"/>
              </w:rPr>
            </w:pPr>
          </w:p>
        </w:tc>
      </w:tr>
    </w:tbl>
    <w:p w14:paraId="0A2171A1">
      <w:pPr>
        <w:pStyle w:val="30"/>
        <w:jc w:val="both"/>
        <w:outlineLvl w:val="0"/>
        <w:rPr>
          <w:rFonts w:hint="default" w:ascii="Times New Roman" w:hAnsi="Times New Roman" w:eastAsia="黑体" w:cs="Times New Roman"/>
          <w:snapToGrid w:val="0"/>
          <w:color w:val="auto"/>
          <w:kern w:val="21"/>
          <w:sz w:val="30"/>
          <w:szCs w:val="30"/>
        </w:rPr>
        <w:sectPr>
          <w:pgSz w:w="11906" w:h="16838"/>
          <w:pgMar w:top="1418" w:right="1418" w:bottom="1418" w:left="1701" w:header="992" w:footer="992" w:gutter="0"/>
          <w:pgBorders>
            <w:top w:val="none" w:sz="0" w:space="0"/>
            <w:left w:val="none" w:sz="0" w:space="0"/>
            <w:bottom w:val="none" w:sz="0" w:space="0"/>
            <w:right w:val="none" w:sz="0" w:space="0"/>
          </w:pgBorders>
          <w:cols w:space="720" w:num="1"/>
          <w:docGrid w:linePitch="312" w:charSpace="0"/>
        </w:sectPr>
      </w:pPr>
    </w:p>
    <w:p w14:paraId="38D78239">
      <w:pPr>
        <w:pStyle w:val="3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3" w:name="_Hlk54167917"/>
      <w:r>
        <w:rPr>
          <w:rFonts w:hint="default" w:ascii="Times New Roman" w:hAnsi="Times New Roman" w:eastAsia="黑体" w:cs="Times New Roman"/>
          <w:snapToGrid w:val="0"/>
          <w:color w:val="auto"/>
          <w:sz w:val="30"/>
          <w:szCs w:val="30"/>
          <w:highlight w:val="none"/>
        </w:rPr>
        <w:t>环境保护措施监督检查清单</w:t>
      </w:r>
      <w:bookmarkEnd w:id="3"/>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362"/>
        <w:gridCol w:w="1255"/>
        <w:gridCol w:w="2633"/>
        <w:gridCol w:w="2191"/>
      </w:tblGrid>
      <w:tr w14:paraId="55DA1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tcBorders>
              <w:tl2br w:val="single" w:color="auto" w:sz="4" w:space="0"/>
            </w:tcBorders>
            <w:noWrap w:val="0"/>
            <w:vAlign w:val="center"/>
          </w:tcPr>
          <w:p w14:paraId="66F34B62">
            <w:pPr>
              <w:keepNext w:val="0"/>
              <w:keepLines w:val="0"/>
              <w:suppressLineNumbers w:val="0"/>
              <w:adjustRightInd w:val="0"/>
              <w:snapToGrid w:val="0"/>
              <w:spacing w:before="0" w:beforeAutospacing="0" w:after="0" w:afterAutospacing="0"/>
              <w:ind w:left="0" w:right="0" w:firstLine="630" w:firstLineChars="3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内容</w:t>
            </w:r>
          </w:p>
          <w:p w14:paraId="53C5D6AC">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要素</w:t>
            </w:r>
          </w:p>
        </w:tc>
        <w:tc>
          <w:tcPr>
            <w:tcW w:w="756" w:type="pct"/>
            <w:noWrap w:val="0"/>
            <w:vAlign w:val="center"/>
          </w:tcPr>
          <w:p w14:paraId="10D389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排放口</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编号、名称</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/污染源</w:t>
            </w:r>
          </w:p>
        </w:tc>
        <w:tc>
          <w:tcPr>
            <w:tcW w:w="697" w:type="pct"/>
            <w:noWrap w:val="0"/>
            <w:vAlign w:val="center"/>
          </w:tcPr>
          <w:p w14:paraId="0979D3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污染物项目</w:t>
            </w:r>
          </w:p>
        </w:tc>
        <w:tc>
          <w:tcPr>
            <w:tcW w:w="1462" w:type="pct"/>
            <w:noWrap w:val="0"/>
            <w:vAlign w:val="center"/>
          </w:tcPr>
          <w:p w14:paraId="76FB8D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环境保护措施</w:t>
            </w:r>
          </w:p>
        </w:tc>
        <w:tc>
          <w:tcPr>
            <w:tcW w:w="1217" w:type="pct"/>
            <w:noWrap w:val="0"/>
            <w:vAlign w:val="center"/>
          </w:tcPr>
          <w:p w14:paraId="256240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执行标准</w:t>
            </w:r>
          </w:p>
        </w:tc>
      </w:tr>
      <w:tr w14:paraId="47E92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vMerge w:val="restart"/>
            <w:noWrap w:val="0"/>
            <w:vAlign w:val="center"/>
          </w:tcPr>
          <w:p w14:paraId="4A19BC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大气环境</w:t>
            </w:r>
          </w:p>
        </w:tc>
        <w:tc>
          <w:tcPr>
            <w:tcW w:w="756" w:type="pct"/>
            <w:noWrap w:val="0"/>
            <w:vAlign w:val="center"/>
          </w:tcPr>
          <w:p w14:paraId="386B214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注塑废气</w:t>
            </w:r>
            <w:r>
              <w:rPr>
                <w:rFonts w:hint="eastAsia" w:ascii="Times New Roman" w:hAnsi="Times New Roman" w:cs="Times New Roman" w:eastAsiaTheme="minorEastAsia"/>
                <w:color w:val="auto"/>
                <w:sz w:val="21"/>
                <w:szCs w:val="21"/>
                <w:highlight w:val="none"/>
                <w:lang w:val="en-US" w:eastAsia="zh-CN"/>
              </w:rPr>
              <w:t>DA001</w:t>
            </w:r>
          </w:p>
        </w:tc>
        <w:tc>
          <w:tcPr>
            <w:tcW w:w="697" w:type="pct"/>
            <w:noWrap w:val="0"/>
            <w:vAlign w:val="center"/>
          </w:tcPr>
          <w:p w14:paraId="2C4942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非甲烷总烃</w:t>
            </w:r>
          </w:p>
        </w:tc>
        <w:tc>
          <w:tcPr>
            <w:tcW w:w="1462" w:type="pct"/>
            <w:noWrap w:val="0"/>
            <w:vAlign w:val="center"/>
          </w:tcPr>
          <w:p w14:paraId="3EDB9C3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集气罩收集+</w:t>
            </w:r>
            <w:r>
              <w:rPr>
                <w:rFonts w:hint="eastAsia" w:cs="Times New Roman" w:eastAsiaTheme="minorEastAsia"/>
                <w:color w:val="auto"/>
                <w:sz w:val="21"/>
                <w:szCs w:val="21"/>
                <w:highlight w:val="none"/>
                <w:lang w:val="en-US" w:eastAsia="zh-CN"/>
              </w:rPr>
              <w:t>二级活性炭</w:t>
            </w:r>
            <w:r>
              <w:rPr>
                <w:rFonts w:hint="eastAsia" w:ascii="Times New Roman" w:hAnsi="Times New Roman"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30</w:t>
            </w:r>
            <w:r>
              <w:rPr>
                <w:rFonts w:hint="eastAsia" w:ascii="Times New Roman" w:hAnsi="Times New Roman" w:cs="Times New Roman" w:eastAsiaTheme="minorEastAsia"/>
                <w:color w:val="auto"/>
                <w:sz w:val="21"/>
                <w:szCs w:val="21"/>
                <w:highlight w:val="none"/>
                <w:lang w:val="en-US" w:eastAsia="zh-CN"/>
              </w:rPr>
              <w:t>m高排气筒</w:t>
            </w:r>
            <w:r>
              <w:rPr>
                <w:rFonts w:hint="eastAsia" w:cs="Times New Roman" w:eastAsiaTheme="minorEastAsia"/>
                <w:color w:val="auto"/>
                <w:sz w:val="21"/>
                <w:szCs w:val="21"/>
                <w:highlight w:val="none"/>
                <w:lang w:val="en-US" w:eastAsia="zh-CN"/>
              </w:rPr>
              <w:t>，共1套</w:t>
            </w:r>
          </w:p>
        </w:tc>
        <w:tc>
          <w:tcPr>
            <w:tcW w:w="1217" w:type="pct"/>
            <w:noWrap w:val="0"/>
            <w:vAlign w:val="center"/>
          </w:tcPr>
          <w:p w14:paraId="1032CCF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color w:val="auto"/>
                <w:sz w:val="21"/>
                <w:szCs w:val="21"/>
                <w:highlight w:val="none"/>
                <w:lang w:val="en-US" w:eastAsia="zh-CN"/>
              </w:rPr>
              <w:t>《合成树脂工业污染物排放标准》（GB31572-2015）及2024修改单中的表4</w:t>
            </w:r>
          </w:p>
        </w:tc>
      </w:tr>
      <w:tr w14:paraId="433284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66" w:type="pct"/>
            <w:vMerge w:val="continue"/>
            <w:noWrap w:val="0"/>
            <w:vAlign w:val="center"/>
          </w:tcPr>
          <w:p w14:paraId="225BF4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756" w:type="pct"/>
            <w:vMerge w:val="restart"/>
            <w:noWrap w:val="0"/>
            <w:vAlign w:val="center"/>
          </w:tcPr>
          <w:p w14:paraId="0B06D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焊接废气</w:t>
            </w:r>
            <w:r>
              <w:rPr>
                <w:rFonts w:hint="eastAsia" w:ascii="Times New Roman" w:hAnsi="Times New Roman" w:cs="Times New Roman" w:eastAsiaTheme="minorEastAsia"/>
                <w:color w:val="auto"/>
                <w:sz w:val="21"/>
                <w:szCs w:val="21"/>
                <w:vertAlign w:val="baseline"/>
                <w:lang w:val="en-US" w:eastAsia="zh-CN"/>
              </w:rPr>
              <w:t>DA002</w:t>
            </w:r>
          </w:p>
        </w:tc>
        <w:tc>
          <w:tcPr>
            <w:tcW w:w="697" w:type="pct"/>
            <w:noWrap w:val="0"/>
            <w:vAlign w:val="center"/>
          </w:tcPr>
          <w:p w14:paraId="37F7B2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1462" w:type="pct"/>
            <w:noWrap w:val="0"/>
            <w:vAlign w:val="center"/>
          </w:tcPr>
          <w:p w14:paraId="621612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集气罩收集+布袋除尘器+</w:t>
            </w:r>
            <w:r>
              <w:rPr>
                <w:rFonts w:hint="eastAsia" w:cs="Times New Roman" w:eastAsiaTheme="minorEastAsia"/>
                <w:color w:val="auto"/>
                <w:sz w:val="21"/>
                <w:szCs w:val="21"/>
                <w:highlight w:val="none"/>
                <w:lang w:val="en-US" w:eastAsia="zh-CN"/>
              </w:rPr>
              <w:t>30</w:t>
            </w:r>
            <w:r>
              <w:rPr>
                <w:rFonts w:hint="eastAsia" w:ascii="Times New Roman" w:hAnsi="Times New Roman" w:cs="Times New Roman" w:eastAsiaTheme="minorEastAsia"/>
                <w:color w:val="auto"/>
                <w:sz w:val="21"/>
                <w:szCs w:val="21"/>
                <w:highlight w:val="none"/>
                <w:lang w:val="en-US" w:eastAsia="zh-CN"/>
              </w:rPr>
              <w:t>m高排气筒</w:t>
            </w:r>
            <w:r>
              <w:rPr>
                <w:rFonts w:hint="eastAsia" w:cs="Times New Roman" w:eastAsiaTheme="minorEastAsia"/>
                <w:color w:val="auto"/>
                <w:sz w:val="21"/>
                <w:szCs w:val="21"/>
                <w:highlight w:val="none"/>
                <w:lang w:val="en-US" w:eastAsia="zh-CN"/>
              </w:rPr>
              <w:t>，共1套</w:t>
            </w:r>
          </w:p>
        </w:tc>
        <w:tc>
          <w:tcPr>
            <w:tcW w:w="1217" w:type="pct"/>
            <w:noWrap w:val="0"/>
            <w:vAlign w:val="center"/>
          </w:tcPr>
          <w:p w14:paraId="083D61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《大气污染物综合排放标准》（GB16297-1996）</w:t>
            </w:r>
            <w:r>
              <w:rPr>
                <w:rFonts w:hint="eastAsia" w:cs="Times New Roman" w:eastAsiaTheme="minorEastAsia"/>
                <w:color w:val="auto"/>
                <w:sz w:val="21"/>
                <w:szCs w:val="21"/>
                <w:highlight w:val="none"/>
                <w:lang w:val="en-US" w:eastAsia="zh-CN"/>
              </w:rPr>
              <w:t>表2</w:t>
            </w:r>
          </w:p>
        </w:tc>
      </w:tr>
      <w:tr w14:paraId="21280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66" w:type="pct"/>
            <w:vMerge w:val="continue"/>
            <w:noWrap w:val="0"/>
            <w:vAlign w:val="center"/>
          </w:tcPr>
          <w:p w14:paraId="0E645D34">
            <w:pPr>
              <w:keepNext w:val="0"/>
              <w:keepLines w:val="0"/>
              <w:suppressLineNumbers w:val="0"/>
              <w:adjustRightInd w:val="0"/>
              <w:snapToGrid w:val="0"/>
              <w:spacing w:before="0" w:beforeAutospacing="0" w:after="0" w:afterAutospacing="0"/>
              <w:ind w:left="0" w:right="0"/>
              <w:jc w:val="center"/>
              <w:rPr>
                <w:rFonts w:hint="default"/>
              </w:rPr>
            </w:pPr>
          </w:p>
        </w:tc>
        <w:tc>
          <w:tcPr>
            <w:tcW w:w="756" w:type="pct"/>
            <w:vMerge w:val="continue"/>
            <w:noWrap w:val="0"/>
            <w:vAlign w:val="center"/>
          </w:tcPr>
          <w:p w14:paraId="324BDEEC">
            <w:pPr>
              <w:keepNext w:val="0"/>
              <w:keepLines w:val="0"/>
              <w:suppressLineNumbers w:val="0"/>
              <w:adjustRightInd w:val="0"/>
              <w:snapToGrid w:val="0"/>
              <w:spacing w:before="0" w:beforeAutospacing="0" w:after="0" w:afterAutospacing="0"/>
              <w:ind w:left="0" w:right="0"/>
              <w:jc w:val="center"/>
              <w:rPr>
                <w:rFonts w:hint="default"/>
              </w:rPr>
            </w:pPr>
          </w:p>
        </w:tc>
        <w:tc>
          <w:tcPr>
            <w:tcW w:w="697" w:type="pct"/>
            <w:noWrap w:val="0"/>
            <w:vAlign w:val="center"/>
          </w:tcPr>
          <w:p w14:paraId="69CF43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非甲烷总烃</w:t>
            </w:r>
          </w:p>
        </w:tc>
        <w:tc>
          <w:tcPr>
            <w:tcW w:w="1462" w:type="pct"/>
            <w:noWrap w:val="0"/>
            <w:vAlign w:val="center"/>
          </w:tcPr>
          <w:p w14:paraId="026BEF8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封闭车间</w:t>
            </w:r>
          </w:p>
        </w:tc>
        <w:tc>
          <w:tcPr>
            <w:tcW w:w="1217" w:type="pct"/>
            <w:noWrap w:val="0"/>
            <w:vAlign w:val="center"/>
          </w:tcPr>
          <w:p w14:paraId="0AB953C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color w:val="auto"/>
                <w:sz w:val="21"/>
                <w:szCs w:val="21"/>
                <w:highlight w:val="none"/>
                <w:lang w:val="en-US" w:eastAsia="zh-CN"/>
              </w:rPr>
              <w:t>《挥发性有机物无组织排放控制标准》（GB37822-2019）中表A.1中的排放限值</w:t>
            </w:r>
          </w:p>
        </w:tc>
      </w:tr>
      <w:tr w14:paraId="45182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vMerge w:val="continue"/>
            <w:noWrap w:val="0"/>
            <w:vAlign w:val="center"/>
          </w:tcPr>
          <w:p w14:paraId="36F89D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756" w:type="pct"/>
            <w:noWrap w:val="0"/>
            <w:vAlign w:val="center"/>
          </w:tcPr>
          <w:p w14:paraId="3096F09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点胶固化废气</w:t>
            </w:r>
          </w:p>
        </w:tc>
        <w:tc>
          <w:tcPr>
            <w:tcW w:w="697" w:type="pct"/>
            <w:noWrap w:val="0"/>
            <w:vAlign w:val="center"/>
          </w:tcPr>
          <w:p w14:paraId="46FC4F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非甲烷总烃</w:t>
            </w:r>
          </w:p>
        </w:tc>
        <w:tc>
          <w:tcPr>
            <w:tcW w:w="1462" w:type="pct"/>
            <w:noWrap w:val="0"/>
            <w:vAlign w:val="center"/>
          </w:tcPr>
          <w:p w14:paraId="17307E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封闭车间</w:t>
            </w:r>
          </w:p>
        </w:tc>
        <w:tc>
          <w:tcPr>
            <w:tcW w:w="1217" w:type="pct"/>
            <w:noWrap w:val="0"/>
            <w:vAlign w:val="center"/>
          </w:tcPr>
          <w:p w14:paraId="56CD79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《挥发性有机物无组织排放控制标准》（GB37822-2019）中表A.1中的排放限值</w:t>
            </w:r>
          </w:p>
        </w:tc>
      </w:tr>
      <w:tr w14:paraId="37096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vMerge w:val="continue"/>
            <w:noWrap w:val="0"/>
            <w:vAlign w:val="center"/>
          </w:tcPr>
          <w:p w14:paraId="1E428C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756" w:type="pct"/>
            <w:noWrap w:val="0"/>
            <w:vAlign w:val="center"/>
          </w:tcPr>
          <w:p w14:paraId="19521ED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粉碎废气</w:t>
            </w:r>
          </w:p>
        </w:tc>
        <w:tc>
          <w:tcPr>
            <w:tcW w:w="697" w:type="pct"/>
            <w:noWrap w:val="0"/>
            <w:vAlign w:val="center"/>
          </w:tcPr>
          <w:p w14:paraId="25B9A71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1462" w:type="pct"/>
            <w:noWrap w:val="0"/>
            <w:vAlign w:val="center"/>
          </w:tcPr>
          <w:p w14:paraId="070228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带盖粉碎机+封闭车间</w:t>
            </w:r>
          </w:p>
        </w:tc>
        <w:tc>
          <w:tcPr>
            <w:tcW w:w="1217" w:type="pct"/>
            <w:noWrap w:val="0"/>
            <w:vAlign w:val="center"/>
          </w:tcPr>
          <w:p w14:paraId="7277C9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《合成树脂工业污染物排放标准》（GB31572-2015）及2024修改单中的表9</w:t>
            </w:r>
          </w:p>
        </w:tc>
      </w:tr>
      <w:tr w14:paraId="6A82C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vMerge w:val="continue"/>
            <w:noWrap w:val="0"/>
            <w:vAlign w:val="center"/>
          </w:tcPr>
          <w:p w14:paraId="3C24FC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756" w:type="pct"/>
            <w:noWrap w:val="0"/>
            <w:vAlign w:val="center"/>
          </w:tcPr>
          <w:p w14:paraId="037C06E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食堂油烟</w:t>
            </w:r>
          </w:p>
        </w:tc>
        <w:tc>
          <w:tcPr>
            <w:tcW w:w="697" w:type="pct"/>
            <w:noWrap w:val="0"/>
            <w:vAlign w:val="center"/>
          </w:tcPr>
          <w:p w14:paraId="61A4BB6F">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油烟</w:t>
            </w:r>
          </w:p>
        </w:tc>
        <w:tc>
          <w:tcPr>
            <w:tcW w:w="1462" w:type="pct"/>
            <w:noWrap w:val="0"/>
            <w:vAlign w:val="center"/>
          </w:tcPr>
          <w:p w14:paraId="547C88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油烟净化器1套，净化效率不低于</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5%</w:t>
            </w:r>
          </w:p>
        </w:tc>
        <w:tc>
          <w:tcPr>
            <w:tcW w:w="1217" w:type="pct"/>
            <w:noWrap w:val="0"/>
            <w:vAlign w:val="center"/>
          </w:tcPr>
          <w:p w14:paraId="672C93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color w:val="auto"/>
                <w:sz w:val="21"/>
                <w:szCs w:val="21"/>
                <w:highlight w:val="none"/>
                <w:lang w:val="en-US" w:eastAsia="zh-CN"/>
              </w:rPr>
              <w:t>饮食业油烟排放标准（试行）》（GB18483-2001）</w:t>
            </w:r>
          </w:p>
        </w:tc>
      </w:tr>
      <w:tr w14:paraId="7B1E5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noWrap w:val="0"/>
            <w:vAlign w:val="center"/>
          </w:tcPr>
          <w:p w14:paraId="45862B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地表水环境</w:t>
            </w:r>
          </w:p>
        </w:tc>
        <w:tc>
          <w:tcPr>
            <w:tcW w:w="756" w:type="pct"/>
            <w:noWrap w:val="0"/>
            <w:vAlign w:val="center"/>
          </w:tcPr>
          <w:p w14:paraId="3EEE00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废水</w:t>
            </w:r>
            <w:r>
              <w:rPr>
                <w:rFonts w:hint="eastAsia" w:cs="Times New Roman" w:eastAsiaTheme="minorEastAsia"/>
                <w:color w:val="auto"/>
                <w:kern w:val="0"/>
                <w:sz w:val="21"/>
                <w:szCs w:val="21"/>
                <w:highlight w:val="none"/>
                <w:lang w:val="en-US" w:eastAsia="zh-CN"/>
              </w:rPr>
              <w:t>总排放口（DW001）</w:t>
            </w:r>
          </w:p>
        </w:tc>
        <w:tc>
          <w:tcPr>
            <w:tcW w:w="697" w:type="pct"/>
            <w:noWrap w:val="0"/>
            <w:vAlign w:val="center"/>
          </w:tcPr>
          <w:p w14:paraId="1EDDD0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FF0000"/>
                <w:kern w:val="0"/>
                <w:sz w:val="21"/>
                <w:szCs w:val="21"/>
                <w:highlight w:val="none"/>
                <w:lang w:val="en-US" w:eastAsia="zh-CN"/>
              </w:rPr>
              <w:t>SS</w:t>
            </w:r>
            <w:r>
              <w:rPr>
                <w:rFonts w:hint="eastAsia" w:cs="Times New Roman" w:eastAsiaTheme="minorEastAsia"/>
                <w:color w:val="FF0000"/>
                <w:kern w:val="0"/>
                <w:sz w:val="21"/>
                <w:szCs w:val="21"/>
                <w:highlight w:val="none"/>
                <w:lang w:val="en-US" w:eastAsia="zh-CN"/>
              </w:rPr>
              <w:t>、</w:t>
            </w:r>
            <w:r>
              <w:rPr>
                <w:rFonts w:hint="eastAsia" w:ascii="Times New Roman" w:hAnsi="Times New Roman" w:cs="Times New Roman" w:eastAsiaTheme="minorEastAsia"/>
                <w:color w:val="FF0000"/>
                <w:kern w:val="0"/>
                <w:sz w:val="21"/>
                <w:szCs w:val="21"/>
                <w:highlight w:val="none"/>
                <w:lang w:val="en-US" w:eastAsia="zh-CN"/>
              </w:rPr>
              <w:t>COD、NH</w:t>
            </w:r>
            <w:r>
              <w:rPr>
                <w:rFonts w:hint="eastAsia" w:ascii="Times New Roman" w:hAnsi="Times New Roman" w:cs="Times New Roman" w:eastAsiaTheme="minorEastAsia"/>
                <w:color w:val="FF0000"/>
                <w:kern w:val="0"/>
                <w:sz w:val="21"/>
                <w:szCs w:val="21"/>
                <w:highlight w:val="none"/>
                <w:vertAlign w:val="subscript"/>
                <w:lang w:val="en-US" w:eastAsia="zh-CN"/>
              </w:rPr>
              <w:t>3</w:t>
            </w:r>
            <w:r>
              <w:rPr>
                <w:rFonts w:hint="eastAsia" w:ascii="Times New Roman" w:hAnsi="Times New Roman" w:cs="Times New Roman" w:eastAsiaTheme="minorEastAsia"/>
                <w:color w:val="FF0000"/>
                <w:kern w:val="0"/>
                <w:sz w:val="21"/>
                <w:szCs w:val="21"/>
                <w:highlight w:val="none"/>
                <w:lang w:val="en-US" w:eastAsia="zh-CN"/>
              </w:rPr>
              <w:t>-N、BOD、pH</w:t>
            </w:r>
            <w:r>
              <w:rPr>
                <w:rFonts w:hint="eastAsia" w:cs="Times New Roman" w:eastAsiaTheme="minorEastAsia"/>
                <w:color w:val="FF0000"/>
                <w:kern w:val="0"/>
                <w:sz w:val="21"/>
                <w:szCs w:val="21"/>
                <w:highlight w:val="none"/>
                <w:lang w:val="en-US" w:eastAsia="zh-CN"/>
              </w:rPr>
              <w:t>、总磷、总氮石油类</w:t>
            </w:r>
          </w:p>
        </w:tc>
        <w:tc>
          <w:tcPr>
            <w:tcW w:w="1462" w:type="pct"/>
            <w:noWrap w:val="0"/>
            <w:vAlign w:val="center"/>
          </w:tcPr>
          <w:p w14:paraId="7FBDF4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生活污水经厂区化粪池预处理后排入市政污水管网；生产废水经污水处理站处理后排入市政污水管网，污水处理站处理工艺为“</w:t>
            </w:r>
            <w:r>
              <w:rPr>
                <w:rFonts w:hint="default" w:ascii="Times New Roman" w:hAnsi="Times New Roman" w:eastAsia="宋体" w:cs="Times New Roman"/>
                <w:sz w:val="21"/>
                <w:szCs w:val="21"/>
                <w:lang w:val="en-US" w:eastAsia="zh-CN"/>
              </w:rPr>
              <w:t>沉淀+中和+隔油+沉淀</w:t>
            </w:r>
            <w:r>
              <w:rPr>
                <w:rFonts w:hint="eastAsia" w:cs="Times New Roman" w:eastAsiaTheme="minorEastAsia"/>
                <w:color w:val="auto"/>
                <w:kern w:val="0"/>
                <w:sz w:val="21"/>
                <w:szCs w:val="21"/>
                <w:highlight w:val="none"/>
                <w:lang w:val="en-US" w:eastAsia="zh-CN"/>
              </w:rPr>
              <w:t>”。</w:t>
            </w:r>
          </w:p>
        </w:tc>
        <w:tc>
          <w:tcPr>
            <w:tcW w:w="1217" w:type="pct"/>
            <w:noWrap w:val="0"/>
            <w:vAlign w:val="center"/>
          </w:tcPr>
          <w:p w14:paraId="473DD3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spacing w:val="-6"/>
                <w:sz w:val="21"/>
                <w:szCs w:val="21"/>
              </w:rPr>
              <w:t>《污水综合排放标准》（GB8978-1996）三级标准</w:t>
            </w:r>
            <w:r>
              <w:rPr>
                <w:rFonts w:hint="eastAsia"/>
                <w:spacing w:val="-6"/>
                <w:sz w:val="21"/>
                <w:szCs w:val="21"/>
                <w:lang w:val="en-US" w:eastAsia="zh-CN"/>
              </w:rPr>
              <w:t>和</w:t>
            </w:r>
            <w:r>
              <w:rPr>
                <w:rFonts w:hint="default"/>
                <w:spacing w:val="-6"/>
                <w:sz w:val="21"/>
                <w:szCs w:val="21"/>
              </w:rPr>
              <w:t>《污水排入城镇下水道水质标准》（GB/T31962-2015）B级标准</w:t>
            </w:r>
          </w:p>
        </w:tc>
      </w:tr>
      <w:tr w14:paraId="0E36D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6" w:type="pct"/>
            <w:noWrap w:val="0"/>
            <w:vAlign w:val="center"/>
          </w:tcPr>
          <w:p w14:paraId="7F05B5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声环境</w:t>
            </w:r>
          </w:p>
        </w:tc>
        <w:tc>
          <w:tcPr>
            <w:tcW w:w="756" w:type="pct"/>
            <w:noWrap w:val="0"/>
            <w:vAlign w:val="center"/>
          </w:tcPr>
          <w:p w14:paraId="7C61A68A">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设备噪声</w:t>
            </w:r>
          </w:p>
        </w:tc>
        <w:tc>
          <w:tcPr>
            <w:tcW w:w="697" w:type="pct"/>
            <w:noWrap w:val="0"/>
            <w:vAlign w:val="center"/>
          </w:tcPr>
          <w:p w14:paraId="5238AB91">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噪声</w:t>
            </w:r>
          </w:p>
        </w:tc>
        <w:tc>
          <w:tcPr>
            <w:tcW w:w="1462" w:type="pct"/>
            <w:noWrap w:val="0"/>
            <w:vAlign w:val="center"/>
          </w:tcPr>
          <w:p w14:paraId="7276765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bCs/>
                <w:color w:val="auto"/>
                <w:szCs w:val="21"/>
              </w:rPr>
              <w:t>选用低噪声设备，生产车间内布置、基础减振、厂房隔声</w:t>
            </w:r>
          </w:p>
        </w:tc>
        <w:tc>
          <w:tcPr>
            <w:tcW w:w="1217" w:type="pct"/>
            <w:noWrap w:val="0"/>
            <w:vAlign w:val="center"/>
          </w:tcPr>
          <w:p w14:paraId="6356611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《工业企业厂界环境噪声排放标准》（GB12348-2008）</w:t>
            </w:r>
            <w:r>
              <w:rPr>
                <w:rFonts w:hint="eastAsia" w:cs="Times New Roman" w:eastAsiaTheme="minorEastAsia"/>
                <w:color w:val="auto"/>
                <w:kern w:val="0"/>
                <w:sz w:val="21"/>
                <w:szCs w:val="21"/>
                <w:highlight w:val="none"/>
                <w:lang w:val="en-US" w:eastAsia="zh-CN"/>
              </w:rPr>
              <w:t>3</w:t>
            </w:r>
            <w:r>
              <w:rPr>
                <w:rFonts w:hint="default" w:ascii="Times New Roman" w:hAnsi="Times New Roman" w:cs="Times New Roman" w:eastAsiaTheme="minorEastAsia"/>
                <w:color w:val="auto"/>
                <w:kern w:val="0"/>
                <w:sz w:val="21"/>
                <w:szCs w:val="21"/>
                <w:highlight w:val="none"/>
              </w:rPr>
              <w:t>类标准</w:t>
            </w:r>
          </w:p>
        </w:tc>
      </w:tr>
      <w:tr w14:paraId="2B9A5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866" w:type="pct"/>
            <w:vMerge w:val="restart"/>
            <w:noWrap w:val="0"/>
            <w:vAlign w:val="center"/>
          </w:tcPr>
          <w:p w14:paraId="69EDB7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固体废物</w:t>
            </w:r>
          </w:p>
        </w:tc>
        <w:tc>
          <w:tcPr>
            <w:tcW w:w="2916" w:type="pct"/>
            <w:gridSpan w:val="3"/>
            <w:noWrap w:val="0"/>
            <w:vAlign w:val="center"/>
          </w:tcPr>
          <w:p w14:paraId="138F8C3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注塑工段产生的塑料残次品，统一收集后粉碎处理，混入原料回收利用；钢材冲压成型过程中的废边角料，统一收集外售废品回收部门综合利用；</w:t>
            </w:r>
            <w:r>
              <w:rPr>
                <w:rFonts w:hint="eastAsia" w:ascii="Times New Roman" w:hAnsi="Times New Roman" w:eastAsia="宋体" w:cs="Times New Roman"/>
                <w:color w:val="auto"/>
                <w:sz w:val="21"/>
                <w:szCs w:val="21"/>
                <w:lang w:val="en-US" w:eastAsia="zh-CN"/>
              </w:rPr>
              <w:t>绕线工段会产生</w:t>
            </w:r>
            <w:r>
              <w:rPr>
                <w:rFonts w:hint="eastAsia" w:cs="Times New Roman"/>
                <w:color w:val="auto"/>
                <w:sz w:val="21"/>
                <w:szCs w:val="21"/>
                <w:lang w:val="en-US" w:eastAsia="zh-CN"/>
              </w:rPr>
              <w:t>的废漆包线，统一收集后交由漆包线生产厂家回收利用；</w:t>
            </w:r>
          </w:p>
          <w:p w14:paraId="7DD8C749">
            <w:pPr>
              <w:pStyle w:val="77"/>
              <w:keepNext w:val="0"/>
              <w:keepLines w:val="0"/>
              <w:pageBreakBefore w:val="0"/>
              <w:widowControl w:val="0"/>
              <w:suppressLineNumbers w:val="0"/>
              <w:kinsoku/>
              <w:topLinePunct w:val="0"/>
              <w:autoSpaceDE/>
              <w:autoSpaceDN/>
              <w:bidi w:val="0"/>
              <w:adjustRightInd/>
              <w:snapToGrid/>
              <w:spacing w:before="0" w:beforeAutospacing="0" w:after="0" w:afterAutospacing="0"/>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lang w:val="en-US" w:eastAsia="zh-CN"/>
              </w:rPr>
              <w:t>产品包装过程产生的废包装材料，分类收集，可资源利用的外售至废品回收部门，不可回收的集中收集交由环卫部门清运处置；废气治理过程中产生的除尘灰，统一收集后交由固废处置单位处置；纯水制备设</w:t>
            </w:r>
            <w:bookmarkStart w:id="4" w:name="_GoBack"/>
            <w:bookmarkEnd w:id="4"/>
            <w:r>
              <w:rPr>
                <w:rFonts w:hint="eastAsia" w:cs="Times New Roman"/>
                <w:color w:val="auto"/>
                <w:sz w:val="21"/>
                <w:szCs w:val="21"/>
                <w:lang w:val="en-US" w:eastAsia="zh-CN"/>
              </w:rPr>
              <w:t>备定期更换的废活性炭，交由纯水制备设备厂家回收处置。</w:t>
            </w:r>
            <w:r>
              <w:rPr>
                <w:rFonts w:hint="eastAsia" w:cs="Times New Roman"/>
                <w:color w:val="FF0000"/>
                <w:sz w:val="21"/>
                <w:szCs w:val="21"/>
                <w:lang w:val="en-US" w:eastAsia="zh-CN"/>
              </w:rPr>
              <w:t>制氮机组产生的废滤筒等集中收集后，定期交业内回收单位回收利用。</w:t>
            </w:r>
          </w:p>
        </w:tc>
        <w:tc>
          <w:tcPr>
            <w:tcW w:w="1217" w:type="pct"/>
            <w:noWrap w:val="0"/>
            <w:vAlign w:val="center"/>
          </w:tcPr>
          <w:p w14:paraId="667DE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处置率100%</w:t>
            </w:r>
          </w:p>
        </w:tc>
      </w:tr>
      <w:tr w14:paraId="6DE16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6" w:type="pct"/>
            <w:vMerge w:val="continue"/>
            <w:noWrap w:val="0"/>
            <w:vAlign w:val="center"/>
          </w:tcPr>
          <w:p w14:paraId="21407A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2916" w:type="pct"/>
            <w:gridSpan w:val="3"/>
            <w:noWrap w:val="0"/>
            <w:vAlign w:val="center"/>
          </w:tcPr>
          <w:p w14:paraId="0837EC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危险废物暂存于危废贮存库（20m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），定期交由有资质的单位处置</w:t>
            </w:r>
          </w:p>
        </w:tc>
        <w:tc>
          <w:tcPr>
            <w:tcW w:w="1217" w:type="pct"/>
            <w:noWrap w:val="0"/>
            <w:vAlign w:val="center"/>
          </w:tcPr>
          <w:p w14:paraId="09F8CB1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《危险废物贮存污染控制标准》（GB18597-2023）</w:t>
            </w:r>
          </w:p>
        </w:tc>
      </w:tr>
      <w:tr w14:paraId="7CBEC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66" w:type="pct"/>
            <w:vMerge w:val="continue"/>
            <w:noWrap w:val="0"/>
            <w:vAlign w:val="center"/>
          </w:tcPr>
          <w:p w14:paraId="6165F0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p>
        </w:tc>
        <w:tc>
          <w:tcPr>
            <w:tcW w:w="2916" w:type="pct"/>
            <w:gridSpan w:val="3"/>
            <w:noWrap w:val="0"/>
            <w:vAlign w:val="center"/>
          </w:tcPr>
          <w:p w14:paraId="750A10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color w:val="auto"/>
                <w:sz w:val="21"/>
                <w:szCs w:val="21"/>
                <w:highlight w:val="none"/>
                <w:lang w:val="en-US" w:eastAsia="zh-CN"/>
              </w:rPr>
              <w:t>生活垃圾设</w:t>
            </w:r>
            <w:r>
              <w:rPr>
                <w:rFonts w:hint="eastAsia" w:ascii="Times New Roman" w:hAnsi="Times New Roman" w:eastAsia="宋体" w:cs="Times New Roman"/>
                <w:color w:val="auto"/>
                <w:sz w:val="21"/>
                <w:szCs w:val="21"/>
                <w:highlight w:val="none"/>
                <w:lang w:val="en-US" w:eastAsia="zh-CN"/>
              </w:rPr>
              <w:t>垃圾桶</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分类收集</w:t>
            </w:r>
            <w:r>
              <w:rPr>
                <w:rFonts w:hint="eastAsia" w:cs="Times New Roman"/>
                <w:color w:val="auto"/>
                <w:sz w:val="21"/>
                <w:szCs w:val="21"/>
                <w:highlight w:val="none"/>
                <w:lang w:val="en-US" w:eastAsia="zh-CN"/>
              </w:rPr>
              <w:t>后由环卫部门统一处理</w:t>
            </w:r>
          </w:p>
        </w:tc>
        <w:tc>
          <w:tcPr>
            <w:tcW w:w="1217" w:type="pct"/>
            <w:noWrap w:val="0"/>
            <w:vAlign w:val="center"/>
          </w:tcPr>
          <w:p w14:paraId="523218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处置率100%</w:t>
            </w:r>
          </w:p>
        </w:tc>
      </w:tr>
      <w:tr w14:paraId="075A8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66" w:type="pct"/>
            <w:noWrap w:val="0"/>
            <w:vAlign w:val="center"/>
          </w:tcPr>
          <w:p w14:paraId="0A0F90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电磁辐射</w:t>
            </w:r>
          </w:p>
        </w:tc>
        <w:tc>
          <w:tcPr>
            <w:tcW w:w="756" w:type="pct"/>
            <w:noWrap w:val="0"/>
            <w:vAlign w:val="center"/>
          </w:tcPr>
          <w:p w14:paraId="485026A5">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c>
          <w:tcPr>
            <w:tcW w:w="697" w:type="pct"/>
            <w:noWrap w:val="0"/>
            <w:vAlign w:val="center"/>
          </w:tcPr>
          <w:p w14:paraId="644326E8">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c>
          <w:tcPr>
            <w:tcW w:w="1462" w:type="pct"/>
            <w:noWrap w:val="0"/>
            <w:vAlign w:val="center"/>
          </w:tcPr>
          <w:p w14:paraId="198A0E76">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17" w:type="pct"/>
            <w:noWrap w:val="0"/>
            <w:vAlign w:val="center"/>
          </w:tcPr>
          <w:p w14:paraId="4EA8CC61">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9C74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66" w:type="pct"/>
            <w:noWrap w:val="0"/>
            <w:vAlign w:val="center"/>
          </w:tcPr>
          <w:p w14:paraId="6BDCB1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土壤及地下水污染防治措施</w:t>
            </w:r>
          </w:p>
        </w:tc>
        <w:tc>
          <w:tcPr>
            <w:tcW w:w="4133" w:type="pct"/>
            <w:gridSpan w:val="4"/>
            <w:noWrap w:val="0"/>
            <w:vAlign w:val="center"/>
          </w:tcPr>
          <w:p w14:paraId="070BE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分区防渗</w:t>
            </w:r>
          </w:p>
        </w:tc>
      </w:tr>
      <w:tr w14:paraId="4FA9A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66" w:type="pct"/>
            <w:noWrap w:val="0"/>
            <w:vAlign w:val="center"/>
          </w:tcPr>
          <w:p w14:paraId="78A286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生态保护措施</w:t>
            </w:r>
          </w:p>
        </w:tc>
        <w:tc>
          <w:tcPr>
            <w:tcW w:w="4133" w:type="pct"/>
            <w:gridSpan w:val="4"/>
            <w:noWrap w:val="0"/>
            <w:vAlign w:val="center"/>
          </w:tcPr>
          <w:p w14:paraId="17C765F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绿化面积3783.43</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r>
      <w:tr w14:paraId="602A1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66" w:type="pct"/>
            <w:noWrap w:val="0"/>
            <w:vAlign w:val="center"/>
          </w:tcPr>
          <w:p w14:paraId="024B6D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pacing w:val="-8"/>
                <w:sz w:val="21"/>
                <w:szCs w:val="21"/>
                <w:highlight w:val="none"/>
              </w:rPr>
            </w:pPr>
            <w:r>
              <w:rPr>
                <w:rFonts w:hint="default" w:ascii="Times New Roman" w:hAnsi="Times New Roman" w:cs="Times New Roman" w:eastAsiaTheme="minorEastAsia"/>
                <w:color w:val="auto"/>
                <w:spacing w:val="-8"/>
                <w:sz w:val="21"/>
                <w:szCs w:val="21"/>
                <w:highlight w:val="none"/>
              </w:rPr>
              <w:t>环境风险</w:t>
            </w:r>
          </w:p>
          <w:p w14:paraId="27C17C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pacing w:val="-8"/>
                <w:sz w:val="21"/>
                <w:szCs w:val="21"/>
                <w:highlight w:val="none"/>
              </w:rPr>
            </w:pPr>
            <w:r>
              <w:rPr>
                <w:rFonts w:hint="default" w:ascii="Times New Roman" w:hAnsi="Times New Roman" w:cs="Times New Roman" w:eastAsiaTheme="minorEastAsia"/>
                <w:color w:val="auto"/>
                <w:spacing w:val="-8"/>
                <w:sz w:val="21"/>
                <w:szCs w:val="21"/>
                <w:highlight w:val="none"/>
              </w:rPr>
              <w:t>防范措施</w:t>
            </w:r>
          </w:p>
        </w:tc>
        <w:tc>
          <w:tcPr>
            <w:tcW w:w="4133" w:type="pct"/>
            <w:gridSpan w:val="4"/>
            <w:noWrap w:val="0"/>
            <w:vAlign w:val="center"/>
          </w:tcPr>
          <w:p w14:paraId="2F1825E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21"/>
                <w:szCs w:val="21"/>
                <w:highlight w:val="none"/>
              </w:rPr>
            </w:pPr>
            <w:r>
              <w:rPr>
                <w:rFonts w:hint="eastAsia" w:ascii="Times New Roman" w:hAnsi="Times New Roman" w:eastAsia="宋体" w:cs="Times New Roman"/>
                <w:color w:val="auto"/>
                <w:szCs w:val="21"/>
                <w:lang w:val="en-US" w:eastAsia="zh-CN"/>
              </w:rPr>
              <w:t>（1）加强危废贮存点的检查，并配套设置一定的吸油毡及托盘；（2）加强各装置巡检，污染物泄漏要及时发现及时处理，固废及时处置；（3）参照《环境影响评价技术导则 地下水环境》（HJ610-2016）进行分区防控，从源头上解决污染物垂直入渗。</w:t>
            </w:r>
          </w:p>
        </w:tc>
      </w:tr>
      <w:tr w14:paraId="207E1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66" w:type="pct"/>
            <w:noWrap w:val="0"/>
            <w:vAlign w:val="center"/>
          </w:tcPr>
          <w:p w14:paraId="6F3573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pacing w:val="-8"/>
                <w:sz w:val="21"/>
                <w:szCs w:val="21"/>
                <w:highlight w:val="none"/>
              </w:rPr>
            </w:pPr>
            <w:r>
              <w:rPr>
                <w:rFonts w:hint="default" w:ascii="Times New Roman" w:hAnsi="Times New Roman" w:cs="Times New Roman" w:eastAsiaTheme="minorEastAsia"/>
                <w:color w:val="auto"/>
                <w:spacing w:val="-8"/>
                <w:sz w:val="21"/>
                <w:szCs w:val="21"/>
                <w:highlight w:val="none"/>
              </w:rPr>
              <w:t>其他环境</w:t>
            </w:r>
          </w:p>
          <w:p w14:paraId="56F0FB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pacing w:val="-8"/>
                <w:sz w:val="21"/>
                <w:szCs w:val="21"/>
                <w:highlight w:val="none"/>
              </w:rPr>
            </w:pPr>
            <w:r>
              <w:rPr>
                <w:rFonts w:hint="default" w:ascii="Times New Roman" w:hAnsi="Times New Roman" w:cs="Times New Roman" w:eastAsiaTheme="minorEastAsia"/>
                <w:color w:val="auto"/>
                <w:spacing w:val="-8"/>
                <w:sz w:val="21"/>
                <w:szCs w:val="21"/>
                <w:highlight w:val="none"/>
              </w:rPr>
              <w:t>管理要求</w:t>
            </w:r>
          </w:p>
        </w:tc>
        <w:tc>
          <w:tcPr>
            <w:tcW w:w="4133" w:type="pct"/>
            <w:gridSpan w:val="4"/>
            <w:noWrap w:val="0"/>
            <w:vAlign w:val="center"/>
          </w:tcPr>
          <w:p w14:paraId="41CB9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 xml:space="preserve">（1）环境管理制度 </w:t>
            </w:r>
          </w:p>
          <w:p w14:paraId="1D476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建设方领导必须重视环境保护工作，应制定一系列规章制度以促进治理项目的环境保护工作。制定的环境保护工作条例有：</w:t>
            </w:r>
          </w:p>
          <w:p w14:paraId="78E16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①环境保护职责管理条例</w:t>
            </w:r>
          </w:p>
          <w:p w14:paraId="37AE7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②废气排放管理制度</w:t>
            </w:r>
          </w:p>
          <w:p w14:paraId="3C095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③固废的管理与处置制度</w:t>
            </w:r>
          </w:p>
          <w:p w14:paraId="3BDFD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④环保教育制度</w:t>
            </w:r>
          </w:p>
          <w:p w14:paraId="47CC5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（2）环境管理机构设置与职责</w:t>
            </w:r>
          </w:p>
          <w:p w14:paraId="39786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根据《建设项目环境保护设计规范》等要求，本项目需设立专门的环境管理机构及专职负责人员一名，管理负责全厂环保相关工作。环保专职管理人员的职能是：</w:t>
            </w:r>
          </w:p>
          <w:p w14:paraId="34A03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 xml:space="preserve">①负责贯彻实施国家环保法规和有关地方环保法令。 </w:t>
            </w:r>
          </w:p>
          <w:p w14:paraId="66450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 xml:space="preserve">②加强环保管理，建立健全企业的环境管理制度，确保污染治理和生态环境保护工作顺利实施，并实施检查和监督。 </w:t>
            </w:r>
          </w:p>
          <w:p w14:paraId="58359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③组织开展环境监测，及时了解施工区及工程运行后环境质量状况及生态恢复状况。</w:t>
            </w:r>
          </w:p>
          <w:p w14:paraId="3A0FA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（3）环境监测计划</w:t>
            </w:r>
          </w:p>
          <w:p w14:paraId="4E59D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企业应当严格执行本次评价提出的监测要求，应定期委托有环境监测资质的单位进行环境监测工作，监测时必须保证所有装置稳定运行，并记录操作工况。环境监测计划的制定依据项目内容和企业实际情况，制定相应切实可行的方案，向有关环境保护主管部门上报监测结果。</w:t>
            </w:r>
          </w:p>
          <w:p w14:paraId="1E8911D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排污许可</w:t>
            </w:r>
            <w:r>
              <w:rPr>
                <w:rFonts w:hint="eastAsia" w:cs="Times New Roman"/>
                <w:color w:val="000000" w:themeColor="text1"/>
                <w:lang w:val="en-US" w:eastAsia="zh-CN"/>
                <w14:textFill>
                  <w14:solidFill>
                    <w14:schemeClr w14:val="tx1"/>
                  </w14:solidFill>
                </w14:textFill>
              </w:rPr>
              <w:t>及排污口管理要求</w:t>
            </w:r>
          </w:p>
          <w:p w14:paraId="520552C2">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企业应当按照国家环保总局环监（1996）470号文《排污口规范化整治技术要求》对废气、噪声、固体废物排放口进行实行规范化管理，排污口必须按照国家《环境保护图形标志》相关规定，设置环保图形标志牌</w:t>
            </w:r>
            <w:r>
              <w:rPr>
                <w:rFonts w:hint="eastAsia" w:cs="Times New Roman"/>
                <w:color w:val="000000" w:themeColor="text1"/>
                <w:lang w:eastAsia="zh-CN"/>
                <w14:textFill>
                  <w14:solidFill>
                    <w14:schemeClr w14:val="tx1"/>
                  </w14:solidFill>
                </w14:textFill>
              </w:rPr>
              <w:t>。</w:t>
            </w:r>
          </w:p>
          <w:p w14:paraId="40A6E0A8">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根据《关于做好环境影响评价制度与排污许可</w:t>
            </w:r>
            <w:r>
              <w:rPr>
                <w:rFonts w:hint="eastAsia" w:ascii="Times New Roman" w:hAnsi="Times New Roman" w:cs="Times New Roman"/>
                <w:color w:val="000000" w:themeColor="text1"/>
                <w:lang w:eastAsia="zh-CN"/>
                <w14:textFill>
                  <w14:solidFill>
                    <w14:schemeClr w14:val="tx1"/>
                  </w14:solidFill>
                </w14:textFill>
              </w:rPr>
              <w:t>制度</w:t>
            </w:r>
            <w:r>
              <w:rPr>
                <w:rFonts w:hint="default" w:ascii="Times New Roman" w:hAnsi="Times New Roman" w:cs="Times New Roman"/>
                <w:color w:val="000000" w:themeColor="text1"/>
                <w14:textFill>
                  <w14:solidFill>
                    <w14:schemeClr w14:val="tx1"/>
                  </w14:solidFill>
                </w14:textFill>
              </w:rPr>
              <w:t>衔接相关工作的通知》（环办环评〔2017〕84号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提出：建设项目发生实际排污行为之前，排污单位应当按照国家环境保护相关法律法规以及相关排污许可证申请与核发技术规范要求申请排污许可证，不得无证排污或不按证排污。排污许可证执行报告、台账记录以及自行监测执行情况等应作为开展建设项目环境影响后评价的重要依据。</w:t>
            </w:r>
          </w:p>
          <w:p w14:paraId="401AD888">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应急预案</w:t>
            </w:r>
          </w:p>
          <w:p w14:paraId="4EA73A3E">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根据《企事业单位突发环境事件应急预案编制备案管理办法（试行</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（环发〔2015〕4号</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，建设单位须</w:t>
            </w:r>
            <w:r>
              <w:rPr>
                <w:rFonts w:hint="default" w:ascii="Times New Roman" w:hAnsi="Times New Roman" w:cs="Times New Roman"/>
                <w:color w:val="000000" w:themeColor="text1"/>
                <w:sz w:val="21"/>
                <w:szCs w:val="21"/>
                <w:lang w:eastAsia="zh-CN"/>
                <w14:textFill>
                  <w14:solidFill>
                    <w14:schemeClr w14:val="tx1"/>
                  </w14:solidFill>
                </w14:textFill>
              </w:rPr>
              <w:t>制定</w:t>
            </w:r>
            <w:r>
              <w:rPr>
                <w:rFonts w:hint="default" w:ascii="Times New Roman" w:hAnsi="Times New Roman" w:cs="Times New Roman"/>
                <w:color w:val="000000" w:themeColor="text1"/>
                <w:sz w:val="21"/>
                <w:szCs w:val="21"/>
                <w14:textFill>
                  <w14:solidFill>
                    <w14:schemeClr w14:val="tx1"/>
                  </w14:solidFill>
                </w14:textFill>
              </w:rPr>
              <w:t>环境突发事故应急预案，并到当地受理部门进行备案，一旦突发环境风险事故，必须立即按应急预案提到的紧急处理、救援、监测方案等进行紧急救援，救援人员采取相应的防护措施，以避免造成人员伤亡事故。</w:t>
            </w:r>
          </w:p>
          <w:p w14:paraId="0DBF464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项目竣工环境保护验收</w:t>
            </w:r>
          </w:p>
          <w:p w14:paraId="58A0A39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建设项目需要配套</w:t>
            </w:r>
            <w:r>
              <w:rPr>
                <w:rFonts w:hint="eastAsia" w:ascii="Times New Roman" w:hAnsi="Times New Roman"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环境保护设施，必须与主体工程同时设计、同时施工、同步投产使用。建设单位应按照环境保护行政主管部门规定的标准和程序，对配套建设的环境保护设施进行验收，编制验收报告。除按照国家规定需要保密的情形外，建设单位应当依法向社会公开验收报告。建设项目配套建设的环境保护设施经验收合格，方可投入生产或者使用；未经验收或者验收不合格的，不得投入生产或者使用。</w:t>
            </w:r>
          </w:p>
          <w:p w14:paraId="2157AC2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53DC9A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56E4727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2F94B1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810D48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4AE34B49">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2C9D481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14250C9B">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048F4C9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6219105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413D0C0C">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color w:val="000000" w:themeColor="text1"/>
                <w14:textFill>
                  <w14:solidFill>
                    <w14:schemeClr w14:val="tx1"/>
                  </w14:solidFill>
                </w14:textFill>
              </w:rPr>
            </w:pPr>
          </w:p>
          <w:p w14:paraId="20CDA423">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color w:val="000000" w:themeColor="text1"/>
                <w14:textFill>
                  <w14:solidFill>
                    <w14:schemeClr w14:val="tx1"/>
                  </w14:solidFill>
                </w14:textFill>
              </w:rPr>
            </w:pPr>
          </w:p>
          <w:p w14:paraId="6FE6F0CD">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0C52FDDC">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color w:val="000000" w:themeColor="text1"/>
                <w14:textFill>
                  <w14:solidFill>
                    <w14:schemeClr w14:val="tx1"/>
                  </w14:solidFill>
                </w14:textFill>
              </w:rPr>
            </w:pPr>
          </w:p>
          <w:p w14:paraId="1335459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14:textFill>
                  <w14:solidFill>
                    <w14:schemeClr w14:val="tx1"/>
                  </w14:solidFill>
                </w14:textFill>
              </w:rPr>
            </w:pPr>
          </w:p>
          <w:p w14:paraId="3E1C7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eastAsiaTheme="minorEastAsia"/>
                <w:color w:val="auto"/>
                <w:sz w:val="21"/>
                <w:szCs w:val="21"/>
                <w:highlight w:val="none"/>
              </w:rPr>
            </w:pPr>
          </w:p>
        </w:tc>
      </w:tr>
    </w:tbl>
    <w:p w14:paraId="15670E13">
      <w:pPr>
        <w:pStyle w:val="30"/>
        <w:adjustRightInd w:val="0"/>
        <w:snapToGrid w:val="0"/>
        <w:jc w:val="center"/>
        <w:outlineLvl w:val="0"/>
        <w:rPr>
          <w:rFonts w:hint="default" w:ascii="Times New Roman" w:hAnsi="Times New Roman" w:eastAsia="黑体" w:cs="Times New Roman"/>
          <w:snapToGrid w:val="0"/>
          <w:color w:val="auto"/>
          <w:kern w:val="21"/>
          <w:sz w:val="30"/>
          <w:szCs w:val="30"/>
        </w:rPr>
      </w:pPr>
      <w:r>
        <w:rPr>
          <w:rFonts w:hint="default" w:ascii="Times New Roman" w:hAnsi="Times New Roman" w:cs="Times New Roman" w:eastAsiaTheme="minorEastAsia"/>
          <w:snapToGrid w:val="0"/>
          <w:color w:val="auto"/>
          <w:kern w:val="21"/>
          <w:sz w:val="24"/>
          <w:szCs w:val="24"/>
        </w:rPr>
        <w:br w:type="page"/>
      </w:r>
      <w:r>
        <w:rPr>
          <w:rFonts w:hint="default" w:ascii="Times New Roman" w:hAnsi="Times New Roman" w:eastAsia="黑体" w:cs="Times New Roman"/>
          <w:snapToGrid w:val="0"/>
          <w:color w:val="auto"/>
          <w:kern w:val="21"/>
          <w:sz w:val="30"/>
          <w:szCs w:val="30"/>
        </w:rPr>
        <w:t>六、结论</w:t>
      </w:r>
    </w:p>
    <w:tbl>
      <w:tblPr>
        <w:tblStyle w:val="35"/>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14:paraId="3103E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865" w:type="dxa"/>
            <w:vAlign w:val="center"/>
          </w:tcPr>
          <w:p w14:paraId="0C6D6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rPr>
            </w:pPr>
            <w:r>
              <w:rPr>
                <w:rFonts w:hint="eastAsia" w:cs="Times New Roman"/>
                <w:color w:val="FF0000"/>
                <w:sz w:val="24"/>
                <w:lang w:val="en-US" w:eastAsia="zh-CN"/>
              </w:rPr>
              <w:t>新能源汽车机电产业园</w:t>
            </w:r>
            <w:r>
              <w:rPr>
                <w:rFonts w:hint="default" w:ascii="Times New Roman" w:hAnsi="Times New Roman" w:cs="Times New Roman"/>
                <w:color w:val="FF0000"/>
                <w:kern w:val="2"/>
                <w:sz w:val="24"/>
                <w:szCs w:val="24"/>
                <w:lang w:val="en-US" w:eastAsia="zh-CN" w:bidi="ar"/>
              </w:rPr>
              <w:t>位于安康高新技术产业开发区</w:t>
            </w:r>
            <w:r>
              <w:rPr>
                <w:rFonts w:hint="default" w:ascii="Times New Roman" w:hAnsi="Times New Roman" w:cs="Times New Roman"/>
                <w:color w:val="FF0000"/>
                <w:kern w:val="2"/>
                <w:sz w:val="24"/>
                <w:szCs w:val="24"/>
                <w:highlight w:val="yellow"/>
                <w:lang w:val="en-US" w:eastAsia="zh-CN" w:bidi="ar"/>
              </w:rPr>
              <w:t>，</w:t>
            </w:r>
            <w:r>
              <w:rPr>
                <w:rFonts w:hint="eastAsia" w:cs="Times New Roman"/>
                <w:color w:val="FF0000"/>
                <w:kern w:val="2"/>
                <w:sz w:val="24"/>
                <w:szCs w:val="24"/>
                <w:highlight w:val="yellow"/>
                <w:lang w:val="en-US" w:eastAsia="zh-CN" w:bidi="ar"/>
              </w:rPr>
              <w:t>隶属于装备制造，其电镀工艺外委，符合</w:t>
            </w:r>
            <w:r>
              <w:rPr>
                <w:rFonts w:hint="default" w:ascii="Times New Roman" w:hAnsi="Times New Roman" w:cs="Times New Roman"/>
                <w:color w:val="FF0000"/>
                <w:kern w:val="2"/>
                <w:sz w:val="24"/>
                <w:szCs w:val="24"/>
                <w:highlight w:val="yellow"/>
                <w:lang w:val="en-US" w:eastAsia="zh-CN" w:bidi="ar"/>
              </w:rPr>
              <w:t>安康高新技术产业开发区</w:t>
            </w:r>
            <w:r>
              <w:rPr>
                <w:rFonts w:hint="eastAsia" w:cs="Times New Roman"/>
                <w:color w:val="FF0000"/>
                <w:kern w:val="2"/>
                <w:sz w:val="24"/>
                <w:szCs w:val="24"/>
                <w:highlight w:val="yellow"/>
                <w:lang w:val="en-US" w:eastAsia="zh-CN" w:bidi="ar"/>
              </w:rPr>
              <w:t>的产业发展定位</w:t>
            </w:r>
            <w:r>
              <w:rPr>
                <w:rFonts w:hint="eastAsia" w:cs="Times New Roman"/>
                <w:color w:val="FF0000"/>
                <w:kern w:val="2"/>
                <w:sz w:val="24"/>
                <w:szCs w:val="24"/>
                <w:lang w:val="en-US" w:eastAsia="zh-CN" w:bidi="ar"/>
              </w:rPr>
              <w:t>，</w:t>
            </w:r>
            <w:r>
              <w:rPr>
                <w:rFonts w:hint="default" w:ascii="Times New Roman" w:hAnsi="Times New Roman" w:cs="Times New Roman"/>
                <w:color w:val="auto"/>
                <w:sz w:val="24"/>
              </w:rPr>
              <w:t>符合国家及地方产业政策、满足相关环境管理政策要求。在确保环保设施与主体工程“三同时”的基础上，同时在认真落实本报告提出的各项污染防治措施，加强各项环保措施的运行管理后，各项污染物均能达标排放，从</w:t>
            </w:r>
            <w:r>
              <w:rPr>
                <w:rFonts w:hint="eastAsia" w:cs="Times New Roman"/>
                <w:color w:val="auto"/>
                <w:sz w:val="24"/>
                <w:lang w:val="en-US" w:eastAsia="zh-CN"/>
              </w:rPr>
              <w:t>环境保护</w:t>
            </w:r>
            <w:r>
              <w:rPr>
                <w:rFonts w:hint="default" w:ascii="Times New Roman" w:hAnsi="Times New Roman" w:cs="Times New Roman"/>
                <w:color w:val="auto"/>
                <w:sz w:val="24"/>
              </w:rPr>
              <w:t>角度分析，</w:t>
            </w:r>
            <w:r>
              <w:rPr>
                <w:rFonts w:hint="eastAsia" w:cs="Times New Roman"/>
                <w:color w:val="auto"/>
                <w:sz w:val="24"/>
                <w:lang w:val="en-US" w:eastAsia="zh-CN"/>
              </w:rPr>
              <w:t>建设项目环境影响可行</w:t>
            </w:r>
            <w:r>
              <w:rPr>
                <w:rFonts w:hint="default" w:ascii="Times New Roman" w:hAnsi="Times New Roman" w:cs="Times New Roman"/>
                <w:color w:val="auto"/>
                <w:sz w:val="24"/>
              </w:rPr>
              <w:t>。</w:t>
            </w:r>
          </w:p>
          <w:p w14:paraId="78CD01B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594DAE8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0BDF0BF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48A7A62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16C0DE4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62FD595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0C6A083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152EE5D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3B32A9B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D2DA88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5FEB248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C06045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28F3A94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69C43E1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3A55C4F9">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auto"/>
                <w:sz w:val="24"/>
              </w:rPr>
            </w:pPr>
          </w:p>
          <w:p w14:paraId="68E4C48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22CBF99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1DB943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7C164E9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14:paraId="01727C02">
            <w:pPr>
              <w:pStyle w:val="3"/>
              <w:suppressLineNumbers w:val="0"/>
              <w:spacing w:beforeAutospacing="0" w:afterAutospacing="0"/>
              <w:ind w:left="0" w:right="0"/>
              <w:jc w:val="both"/>
              <w:rPr>
                <w:rFonts w:hint="default" w:ascii="Times New Roman" w:hAnsi="Times New Roman" w:cs="Times New Roman"/>
                <w:color w:val="auto"/>
              </w:rPr>
            </w:pPr>
          </w:p>
          <w:p w14:paraId="48C55F45">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3ABA6C09">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6209E9B">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7DFAC0B0">
            <w:pPr>
              <w:keepNext w:val="0"/>
              <w:keepLines w:val="0"/>
              <w:suppressLineNumbers w:val="0"/>
              <w:spacing w:before="0" w:beforeAutospacing="0" w:after="0" w:afterAutospacing="0"/>
              <w:ind w:left="0" w:right="0"/>
              <w:rPr>
                <w:rFonts w:hint="default" w:ascii="Times New Roman" w:hAnsi="Times New Roman" w:cs="Times New Roman"/>
                <w:color w:val="auto"/>
              </w:rPr>
            </w:pPr>
          </w:p>
        </w:tc>
      </w:tr>
    </w:tbl>
    <w:p w14:paraId="1C7E6A26">
      <w:pPr>
        <w:rPr>
          <w:rFonts w:hint="default" w:ascii="Times New Roman" w:hAnsi="Times New Roman" w:cs="Times New Roman"/>
          <w:color w:val="auto"/>
          <w:kern w:val="21"/>
        </w:rPr>
        <w:sectPr>
          <w:type w:val="nextColumn"/>
          <w:pgSz w:w="11906" w:h="16838"/>
          <w:pgMar w:top="1418" w:right="1418" w:bottom="1418" w:left="1701" w:header="851" w:footer="851" w:gutter="0"/>
          <w:pgBorders>
            <w:top w:val="none" w:sz="0" w:space="0"/>
            <w:left w:val="none" w:sz="0" w:space="0"/>
            <w:bottom w:val="none" w:sz="0" w:space="0"/>
            <w:right w:val="none" w:sz="0" w:space="0"/>
          </w:pgBorders>
          <w:cols w:space="720" w:num="1"/>
          <w:docGrid w:linePitch="312" w:charSpace="0"/>
        </w:sectPr>
      </w:pPr>
    </w:p>
    <w:p w14:paraId="5A96CD40">
      <w:pPr>
        <w:pStyle w:val="30"/>
        <w:adjustRightInd w:val="0"/>
        <w:snapToGrid w:val="0"/>
        <w:spacing w:before="0" w:beforeAutospacing="0" w:after="0" w:afterAutospacing="0"/>
        <w:outlineLvl w:val="0"/>
        <w:rPr>
          <w:rFonts w:hint="default" w:ascii="Times New Roman" w:hAnsi="Times New Roman" w:eastAsia="黑体" w:cs="Times New Roman"/>
          <w:snapToGrid w:val="0"/>
          <w:color w:val="auto"/>
          <w:kern w:val="21"/>
          <w:sz w:val="21"/>
          <w:szCs w:val="21"/>
        </w:rPr>
      </w:pPr>
      <w:r>
        <w:rPr>
          <w:rFonts w:hint="default" w:ascii="Times New Roman" w:hAnsi="Times New Roman" w:eastAsia="黑体" w:cs="Times New Roman"/>
          <w:snapToGrid w:val="0"/>
          <w:color w:val="auto"/>
          <w:kern w:val="21"/>
          <w:sz w:val="32"/>
          <w:szCs w:val="32"/>
        </w:rPr>
        <w:t>附表</w:t>
      </w:r>
    </w:p>
    <w:p w14:paraId="2CDEBCDE">
      <w:pPr>
        <w:pStyle w:val="30"/>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kern w:val="21"/>
          <w:sz w:val="38"/>
          <w:szCs w:val="38"/>
        </w:rPr>
      </w:pPr>
      <w:r>
        <w:rPr>
          <w:rFonts w:hint="default" w:ascii="Times New Roman" w:hAnsi="Times New Roman" w:eastAsia="方正小标宋_GBK" w:cs="Times New Roman"/>
          <w:snapToGrid w:val="0"/>
          <w:color w:val="auto"/>
          <w:kern w:val="21"/>
          <w:sz w:val="38"/>
          <w:szCs w:val="38"/>
        </w:rPr>
        <w:t>建设项目污染物排放量汇总表</w:t>
      </w:r>
    </w:p>
    <w:tbl>
      <w:tblPr>
        <w:tblStyle w:val="35"/>
        <w:tblW w:w="143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533"/>
        <w:gridCol w:w="1525"/>
        <w:gridCol w:w="1276"/>
        <w:gridCol w:w="1701"/>
        <w:gridCol w:w="1559"/>
        <w:gridCol w:w="1635"/>
        <w:gridCol w:w="1848"/>
        <w:gridCol w:w="1063"/>
      </w:tblGrid>
      <w:tr w14:paraId="33326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7" w:type="dxa"/>
            <w:tcBorders>
              <w:tl2br w:val="single" w:color="auto" w:sz="4" w:space="0"/>
            </w:tcBorders>
            <w:tcMar>
              <w:left w:w="28" w:type="dxa"/>
              <w:right w:w="28" w:type="dxa"/>
            </w:tcMar>
            <w:vAlign w:val="center"/>
          </w:tcPr>
          <w:p w14:paraId="1025D95F">
            <w:pPr>
              <w:pStyle w:val="52"/>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项目</w:t>
            </w:r>
          </w:p>
          <w:p w14:paraId="5CDC002C">
            <w:pPr>
              <w:pStyle w:val="52"/>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分类</w:t>
            </w:r>
          </w:p>
        </w:tc>
        <w:tc>
          <w:tcPr>
            <w:tcW w:w="2533" w:type="dxa"/>
            <w:tcMar>
              <w:left w:w="28" w:type="dxa"/>
              <w:right w:w="28" w:type="dxa"/>
            </w:tcMar>
            <w:vAlign w:val="center"/>
          </w:tcPr>
          <w:p w14:paraId="158DCBC7">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污染物名称</w:t>
            </w:r>
          </w:p>
        </w:tc>
        <w:tc>
          <w:tcPr>
            <w:tcW w:w="1525" w:type="dxa"/>
            <w:tcMar>
              <w:left w:w="28" w:type="dxa"/>
              <w:right w:w="28" w:type="dxa"/>
            </w:tcMar>
            <w:vAlign w:val="center"/>
          </w:tcPr>
          <w:p w14:paraId="66DFA0D0">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现有工程</w:t>
            </w:r>
          </w:p>
          <w:p w14:paraId="69BDDAE1">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排放量（固体废物产生量）</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1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①</w:t>
            </w:r>
            <w:r>
              <w:rPr>
                <w:rFonts w:hint="default" w:ascii="Times New Roman" w:hAnsi="Times New Roman" w:eastAsia="黑体" w:cs="Times New Roman"/>
                <w:snapToGrid w:val="0"/>
                <w:color w:val="auto"/>
                <w:kern w:val="21"/>
                <w:szCs w:val="21"/>
              </w:rPr>
              <w:fldChar w:fldCharType="end"/>
            </w:r>
          </w:p>
        </w:tc>
        <w:tc>
          <w:tcPr>
            <w:tcW w:w="1276" w:type="dxa"/>
            <w:tcMar>
              <w:left w:w="28" w:type="dxa"/>
              <w:right w:w="28" w:type="dxa"/>
            </w:tcMar>
            <w:vAlign w:val="center"/>
          </w:tcPr>
          <w:p w14:paraId="2B4A8D19">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现有工程</w:t>
            </w:r>
          </w:p>
          <w:p w14:paraId="0355538C">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许可排放量</w:t>
            </w:r>
          </w:p>
          <w:p w14:paraId="551CD62B">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2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snapToGrid w:val="0"/>
                <w:color w:val="auto"/>
                <w:kern w:val="21"/>
                <w:szCs w:val="21"/>
              </w:rPr>
              <w:t>②</w:t>
            </w:r>
            <w:r>
              <w:rPr>
                <w:rFonts w:hint="default" w:ascii="Times New Roman" w:hAnsi="Times New Roman" w:eastAsia="黑体" w:cs="Times New Roman"/>
                <w:snapToGrid w:val="0"/>
                <w:color w:val="auto"/>
                <w:kern w:val="21"/>
                <w:szCs w:val="21"/>
              </w:rPr>
              <w:fldChar w:fldCharType="end"/>
            </w:r>
          </w:p>
        </w:tc>
        <w:tc>
          <w:tcPr>
            <w:tcW w:w="1701" w:type="dxa"/>
            <w:tcMar>
              <w:left w:w="28" w:type="dxa"/>
              <w:right w:w="28" w:type="dxa"/>
            </w:tcMar>
            <w:vAlign w:val="center"/>
          </w:tcPr>
          <w:p w14:paraId="18FDA37E">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在建工程</w:t>
            </w:r>
          </w:p>
          <w:p w14:paraId="569BE774">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排放量（固体废物产生量）</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3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③</w:t>
            </w:r>
            <w:r>
              <w:rPr>
                <w:rFonts w:hint="default" w:ascii="Times New Roman" w:hAnsi="Times New Roman" w:eastAsia="黑体" w:cs="Times New Roman"/>
                <w:snapToGrid w:val="0"/>
                <w:color w:val="auto"/>
                <w:kern w:val="21"/>
                <w:szCs w:val="21"/>
              </w:rPr>
              <w:fldChar w:fldCharType="end"/>
            </w:r>
          </w:p>
        </w:tc>
        <w:tc>
          <w:tcPr>
            <w:tcW w:w="1559" w:type="dxa"/>
            <w:tcMar>
              <w:left w:w="28" w:type="dxa"/>
              <w:right w:w="28" w:type="dxa"/>
            </w:tcMar>
            <w:vAlign w:val="center"/>
          </w:tcPr>
          <w:p w14:paraId="6DA3B382">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本项目</w:t>
            </w:r>
          </w:p>
          <w:p w14:paraId="296CD419">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排放量（固体废物产生量）</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4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④</w:t>
            </w:r>
            <w:r>
              <w:rPr>
                <w:rFonts w:hint="default" w:ascii="Times New Roman" w:hAnsi="Times New Roman" w:eastAsia="黑体" w:cs="Times New Roman"/>
                <w:snapToGrid w:val="0"/>
                <w:color w:val="auto"/>
                <w:kern w:val="21"/>
                <w:szCs w:val="21"/>
              </w:rPr>
              <w:fldChar w:fldCharType="end"/>
            </w:r>
          </w:p>
        </w:tc>
        <w:tc>
          <w:tcPr>
            <w:tcW w:w="1635" w:type="dxa"/>
            <w:tcMar>
              <w:left w:w="28" w:type="dxa"/>
              <w:right w:w="28" w:type="dxa"/>
            </w:tcMar>
            <w:vAlign w:val="center"/>
          </w:tcPr>
          <w:p w14:paraId="7FE827F0">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以新带老削减量</w:t>
            </w:r>
          </w:p>
          <w:p w14:paraId="3C946CCB">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（新建项目不填）</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5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⑤</w:t>
            </w:r>
            <w:r>
              <w:rPr>
                <w:rFonts w:hint="default" w:ascii="Times New Roman" w:hAnsi="Times New Roman" w:eastAsia="黑体" w:cs="Times New Roman"/>
                <w:snapToGrid w:val="0"/>
                <w:color w:val="auto"/>
                <w:kern w:val="21"/>
                <w:szCs w:val="21"/>
              </w:rPr>
              <w:fldChar w:fldCharType="end"/>
            </w:r>
          </w:p>
        </w:tc>
        <w:tc>
          <w:tcPr>
            <w:tcW w:w="1848" w:type="dxa"/>
            <w:tcMar>
              <w:left w:w="28" w:type="dxa"/>
              <w:right w:w="28" w:type="dxa"/>
            </w:tcMar>
            <w:vAlign w:val="center"/>
          </w:tcPr>
          <w:p w14:paraId="3D69F667">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本项目建成后</w:t>
            </w:r>
          </w:p>
          <w:p w14:paraId="7A2FE197">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全厂排放量（固体废物产生量）</w:t>
            </w: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6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⑥</w:t>
            </w:r>
            <w:r>
              <w:rPr>
                <w:rFonts w:hint="default" w:ascii="Times New Roman" w:hAnsi="Times New Roman" w:eastAsia="黑体" w:cs="Times New Roman"/>
                <w:snapToGrid w:val="0"/>
                <w:color w:val="auto"/>
                <w:kern w:val="21"/>
                <w:szCs w:val="21"/>
              </w:rPr>
              <w:fldChar w:fldCharType="end"/>
            </w:r>
          </w:p>
        </w:tc>
        <w:tc>
          <w:tcPr>
            <w:tcW w:w="1063" w:type="dxa"/>
            <w:tcMar>
              <w:left w:w="28" w:type="dxa"/>
              <w:right w:w="28" w:type="dxa"/>
            </w:tcMar>
            <w:vAlign w:val="center"/>
          </w:tcPr>
          <w:p w14:paraId="7941862A">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t>变化量</w:t>
            </w:r>
          </w:p>
          <w:p w14:paraId="36A5291A">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kern w:val="21"/>
                <w:szCs w:val="21"/>
              </w:rPr>
            </w:pPr>
            <w:r>
              <w:rPr>
                <w:rFonts w:hint="default" w:ascii="Times New Roman" w:hAnsi="Times New Roman" w:eastAsia="黑体" w:cs="Times New Roman"/>
                <w:snapToGrid w:val="0"/>
                <w:color w:val="auto"/>
                <w:kern w:val="21"/>
                <w:szCs w:val="21"/>
              </w:rPr>
              <w:fldChar w:fldCharType="begin"/>
            </w:r>
            <w:r>
              <w:rPr>
                <w:rFonts w:hint="default" w:ascii="Times New Roman" w:hAnsi="Times New Roman" w:eastAsia="黑体" w:cs="Times New Roman"/>
                <w:snapToGrid w:val="0"/>
                <w:color w:val="auto"/>
                <w:kern w:val="21"/>
                <w:szCs w:val="21"/>
              </w:rPr>
              <w:instrText xml:space="preserve"> = 7 \* GB3 \* MERGEFORMAT </w:instrText>
            </w:r>
            <w:r>
              <w:rPr>
                <w:rFonts w:hint="default" w:ascii="Times New Roman" w:hAnsi="Times New Roman" w:eastAsia="黑体" w:cs="Times New Roman"/>
                <w:snapToGrid w:val="0"/>
                <w:color w:val="auto"/>
                <w:kern w:val="21"/>
                <w:szCs w:val="21"/>
              </w:rPr>
              <w:fldChar w:fldCharType="separate"/>
            </w:r>
            <w:r>
              <w:rPr>
                <w:rFonts w:hint="default" w:ascii="Times New Roman" w:hAnsi="Times New Roman" w:eastAsia="黑体" w:cs="Times New Roman"/>
                <w:color w:val="auto"/>
                <w:kern w:val="21"/>
                <w:szCs w:val="21"/>
              </w:rPr>
              <w:t>⑦</w:t>
            </w:r>
            <w:r>
              <w:rPr>
                <w:rFonts w:hint="default" w:ascii="Times New Roman" w:hAnsi="Times New Roman" w:eastAsia="黑体" w:cs="Times New Roman"/>
                <w:snapToGrid w:val="0"/>
                <w:color w:val="auto"/>
                <w:kern w:val="21"/>
                <w:szCs w:val="21"/>
              </w:rPr>
              <w:fldChar w:fldCharType="end"/>
            </w:r>
          </w:p>
        </w:tc>
      </w:tr>
      <w:tr w14:paraId="3C10C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17" w:type="dxa"/>
            <w:vMerge w:val="restart"/>
            <w:vAlign w:val="center"/>
          </w:tcPr>
          <w:p w14:paraId="5D50F28C">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2533" w:type="dxa"/>
            <w:vAlign w:val="center"/>
          </w:tcPr>
          <w:p w14:paraId="53BCA12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非甲烷总烃</w:t>
            </w:r>
          </w:p>
        </w:tc>
        <w:tc>
          <w:tcPr>
            <w:tcW w:w="1525" w:type="dxa"/>
            <w:vAlign w:val="center"/>
          </w:tcPr>
          <w:p w14:paraId="1BE1960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p>
        </w:tc>
        <w:tc>
          <w:tcPr>
            <w:tcW w:w="1276" w:type="dxa"/>
            <w:vAlign w:val="center"/>
          </w:tcPr>
          <w:p w14:paraId="15C51B03">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3464683D">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59A8B38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sz w:val="21"/>
                <w:szCs w:val="21"/>
                <w:lang w:val="en-US" w:eastAsia="zh-CN"/>
              </w:rPr>
              <w:t>0.201t/a</w:t>
            </w:r>
          </w:p>
        </w:tc>
        <w:tc>
          <w:tcPr>
            <w:tcW w:w="1635" w:type="dxa"/>
            <w:vAlign w:val="center"/>
          </w:tcPr>
          <w:p w14:paraId="069ECEF2">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FF0000"/>
                <w:kern w:val="21"/>
                <w:szCs w:val="21"/>
                <w:lang w:val="en-US" w:eastAsia="zh-CN"/>
              </w:rPr>
            </w:pPr>
          </w:p>
        </w:tc>
        <w:tc>
          <w:tcPr>
            <w:tcW w:w="1848" w:type="dxa"/>
            <w:vAlign w:val="center"/>
          </w:tcPr>
          <w:p w14:paraId="54BB6E1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lang w:val="en-US" w:eastAsia="zh-CN"/>
              </w:rPr>
              <w:t>0.201</w:t>
            </w:r>
            <w:r>
              <w:rPr>
                <w:rFonts w:hint="default" w:ascii="Times New Roman" w:hAnsi="Times New Roman" w:cs="Times New Roman"/>
                <w:color w:val="FF0000"/>
                <w:sz w:val="21"/>
                <w:szCs w:val="21"/>
                <w:lang w:val="en-US" w:eastAsia="zh-CN"/>
              </w:rPr>
              <w:t>t/a</w:t>
            </w:r>
          </w:p>
        </w:tc>
        <w:tc>
          <w:tcPr>
            <w:tcW w:w="1063" w:type="dxa"/>
            <w:vAlign w:val="center"/>
          </w:tcPr>
          <w:p w14:paraId="017CF35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snapToGrid w:val="0"/>
                <w:color w:val="auto"/>
                <w:kern w:val="21"/>
                <w:szCs w:val="21"/>
              </w:rPr>
            </w:pPr>
          </w:p>
        </w:tc>
      </w:tr>
      <w:tr w14:paraId="76C37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217" w:type="dxa"/>
            <w:vMerge w:val="continue"/>
            <w:vAlign w:val="center"/>
          </w:tcPr>
          <w:p w14:paraId="7DCABD8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5DCD0E7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525" w:type="dxa"/>
            <w:vAlign w:val="center"/>
          </w:tcPr>
          <w:p w14:paraId="2DD5FCF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p>
        </w:tc>
        <w:tc>
          <w:tcPr>
            <w:tcW w:w="1276" w:type="dxa"/>
            <w:vAlign w:val="center"/>
          </w:tcPr>
          <w:p w14:paraId="3368A728">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18E13E73">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77FF0A8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0.0003</w:t>
            </w:r>
            <w:r>
              <w:rPr>
                <w:rFonts w:hint="default" w:ascii="Times New Roman" w:hAnsi="Times New Roman" w:cs="Times New Roman"/>
                <w:color w:val="FF0000"/>
                <w:sz w:val="21"/>
                <w:szCs w:val="21"/>
                <w:lang w:val="en-US" w:eastAsia="zh-CN"/>
              </w:rPr>
              <w:t>t/a</w:t>
            </w:r>
          </w:p>
        </w:tc>
        <w:tc>
          <w:tcPr>
            <w:tcW w:w="1635" w:type="dxa"/>
            <w:vAlign w:val="center"/>
          </w:tcPr>
          <w:p w14:paraId="7D35A9C6">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FF0000"/>
                <w:kern w:val="21"/>
                <w:szCs w:val="21"/>
                <w:lang w:val="en-US" w:eastAsia="zh-CN"/>
              </w:rPr>
            </w:pPr>
          </w:p>
        </w:tc>
        <w:tc>
          <w:tcPr>
            <w:tcW w:w="1848" w:type="dxa"/>
            <w:vAlign w:val="center"/>
          </w:tcPr>
          <w:p w14:paraId="04DADC0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0.0003</w:t>
            </w:r>
            <w:r>
              <w:rPr>
                <w:rFonts w:hint="default" w:ascii="Times New Roman" w:hAnsi="Times New Roman" w:cs="Times New Roman"/>
                <w:color w:val="FF0000"/>
                <w:sz w:val="21"/>
                <w:szCs w:val="21"/>
                <w:lang w:val="en-US" w:eastAsia="zh-CN"/>
              </w:rPr>
              <w:t>t/a</w:t>
            </w:r>
          </w:p>
        </w:tc>
        <w:tc>
          <w:tcPr>
            <w:tcW w:w="1063" w:type="dxa"/>
            <w:vAlign w:val="center"/>
          </w:tcPr>
          <w:p w14:paraId="5EECB2B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cs="Times New Roman"/>
                <w:color w:val="auto"/>
                <w:lang w:val="en-US" w:eastAsia="zh-CN"/>
              </w:rPr>
            </w:pPr>
          </w:p>
        </w:tc>
      </w:tr>
      <w:tr w14:paraId="29850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17" w:type="dxa"/>
            <w:vMerge w:val="continue"/>
            <w:vAlign w:val="center"/>
          </w:tcPr>
          <w:p w14:paraId="3A6AE955">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3BAF8724">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食堂油烟</w:t>
            </w:r>
          </w:p>
        </w:tc>
        <w:tc>
          <w:tcPr>
            <w:tcW w:w="1525" w:type="dxa"/>
            <w:vAlign w:val="center"/>
          </w:tcPr>
          <w:p w14:paraId="52BDCB3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p>
        </w:tc>
        <w:tc>
          <w:tcPr>
            <w:tcW w:w="1276" w:type="dxa"/>
            <w:vAlign w:val="center"/>
          </w:tcPr>
          <w:p w14:paraId="345E80C8">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057577C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5CBC9A1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0.0318</w:t>
            </w:r>
            <w:r>
              <w:rPr>
                <w:rFonts w:hint="default" w:ascii="Times New Roman" w:hAnsi="Times New Roman" w:cs="Times New Roman"/>
                <w:color w:val="auto"/>
                <w:sz w:val="21"/>
                <w:szCs w:val="21"/>
                <w:lang w:val="en-US" w:eastAsia="zh-CN"/>
              </w:rPr>
              <w:t>t/a</w:t>
            </w:r>
          </w:p>
        </w:tc>
        <w:tc>
          <w:tcPr>
            <w:tcW w:w="1635" w:type="dxa"/>
            <w:vAlign w:val="center"/>
          </w:tcPr>
          <w:p w14:paraId="33CDCD42">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258103A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0.0318</w:t>
            </w:r>
            <w:r>
              <w:rPr>
                <w:rFonts w:hint="default" w:ascii="Times New Roman" w:hAnsi="Times New Roman" w:cs="Times New Roman"/>
                <w:color w:val="auto"/>
                <w:sz w:val="21"/>
                <w:szCs w:val="21"/>
                <w:lang w:val="en-US" w:eastAsia="zh-CN"/>
              </w:rPr>
              <w:t>t/a</w:t>
            </w:r>
          </w:p>
        </w:tc>
        <w:tc>
          <w:tcPr>
            <w:tcW w:w="1063" w:type="dxa"/>
            <w:vAlign w:val="center"/>
          </w:tcPr>
          <w:p w14:paraId="2BDF085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cs="Times New Roman"/>
                <w:color w:val="auto"/>
                <w:lang w:val="en-US" w:eastAsia="zh-CN"/>
              </w:rPr>
            </w:pPr>
          </w:p>
        </w:tc>
      </w:tr>
      <w:tr w14:paraId="0665E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17" w:type="dxa"/>
            <w:vMerge w:val="restart"/>
            <w:vAlign w:val="center"/>
          </w:tcPr>
          <w:p w14:paraId="24898C5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eastAsia="宋体"/>
                <w:lang w:val="en-US" w:eastAsia="zh-CN"/>
              </w:rPr>
            </w:pPr>
            <w:r>
              <w:rPr>
                <w:rFonts w:hint="eastAsia"/>
                <w:lang w:val="en-US" w:eastAsia="zh-CN"/>
              </w:rPr>
              <w:t>废水</w:t>
            </w:r>
          </w:p>
        </w:tc>
        <w:tc>
          <w:tcPr>
            <w:tcW w:w="2533" w:type="dxa"/>
            <w:vAlign w:val="center"/>
          </w:tcPr>
          <w:p w14:paraId="7CF7ADB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color w:val="auto"/>
                <w:szCs w:val="21"/>
                <w:lang w:eastAsia="zh-CN"/>
              </w:rPr>
            </w:pPr>
            <w:r>
              <w:rPr>
                <w:rFonts w:hint="eastAsia" w:hAnsi="宋体" w:cs="宋体"/>
                <w:snapToGrid w:val="0"/>
                <w:color w:val="000000"/>
                <w:kern w:val="21"/>
                <w:szCs w:val="21"/>
              </w:rPr>
              <w:t>废水量</w:t>
            </w:r>
          </w:p>
        </w:tc>
        <w:tc>
          <w:tcPr>
            <w:tcW w:w="1525" w:type="dxa"/>
            <w:vAlign w:val="center"/>
          </w:tcPr>
          <w:p w14:paraId="7CBF1D84">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5106877">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2E03574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71DCBF8C">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9627m</w:t>
            </w:r>
            <w:r>
              <w:rPr>
                <w:rFonts w:hint="default" w:ascii="Times New Roman" w:hAnsi="Times New Roman" w:cs="Times New Roman"/>
                <w:snapToGrid w:val="0"/>
                <w:color w:val="auto"/>
                <w:kern w:val="21"/>
                <w:szCs w:val="21"/>
                <w:vertAlign w:val="superscript"/>
                <w:lang w:val="en-US" w:eastAsia="zh-CN"/>
              </w:rPr>
              <w:t>3</w:t>
            </w:r>
            <w:r>
              <w:rPr>
                <w:rFonts w:hint="default" w:ascii="Times New Roman" w:hAnsi="Times New Roman" w:cs="Times New Roman"/>
                <w:snapToGrid w:val="0"/>
                <w:color w:val="auto"/>
                <w:kern w:val="21"/>
                <w:szCs w:val="21"/>
                <w:lang w:val="en-US" w:eastAsia="zh-CN"/>
              </w:rPr>
              <w:t>/a</w:t>
            </w:r>
          </w:p>
        </w:tc>
        <w:tc>
          <w:tcPr>
            <w:tcW w:w="1635" w:type="dxa"/>
            <w:vAlign w:val="center"/>
          </w:tcPr>
          <w:p w14:paraId="06E013BD">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0689F67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9627m</w:t>
            </w:r>
            <w:r>
              <w:rPr>
                <w:rFonts w:hint="default" w:ascii="Times New Roman" w:hAnsi="Times New Roman" w:cs="Times New Roman"/>
                <w:snapToGrid w:val="0"/>
                <w:color w:val="auto"/>
                <w:kern w:val="21"/>
                <w:szCs w:val="21"/>
                <w:vertAlign w:val="superscript"/>
                <w:lang w:val="en-US" w:eastAsia="zh-CN"/>
              </w:rPr>
              <w:t>3</w:t>
            </w:r>
            <w:r>
              <w:rPr>
                <w:rFonts w:hint="default" w:ascii="Times New Roman" w:hAnsi="Times New Roman" w:cs="Times New Roman"/>
                <w:snapToGrid w:val="0"/>
                <w:color w:val="auto"/>
                <w:kern w:val="21"/>
                <w:szCs w:val="21"/>
                <w:lang w:val="en-US" w:eastAsia="zh-CN"/>
              </w:rPr>
              <w:t>/a</w:t>
            </w:r>
          </w:p>
        </w:tc>
        <w:tc>
          <w:tcPr>
            <w:tcW w:w="1063" w:type="dxa"/>
            <w:vAlign w:val="center"/>
          </w:tcPr>
          <w:p w14:paraId="70AEFCB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rPr>
            </w:pPr>
          </w:p>
        </w:tc>
      </w:tr>
      <w:tr w14:paraId="434BA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17" w:type="dxa"/>
            <w:vMerge w:val="continue"/>
            <w:vAlign w:val="center"/>
          </w:tcPr>
          <w:p w14:paraId="7931B1F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rPr>
            </w:pPr>
          </w:p>
        </w:tc>
        <w:tc>
          <w:tcPr>
            <w:tcW w:w="2533" w:type="dxa"/>
            <w:vAlign w:val="center"/>
          </w:tcPr>
          <w:p w14:paraId="703F400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cs="Times New Roman"/>
                <w:color w:val="auto"/>
                <w:szCs w:val="21"/>
                <w:lang w:val="en-US" w:eastAsia="zh-CN"/>
              </w:rPr>
            </w:pPr>
            <w:r>
              <w:rPr>
                <w:rFonts w:hint="default" w:ascii="Times New Roman"/>
                <w:snapToGrid w:val="0"/>
                <w:color w:val="000000"/>
                <w:kern w:val="21"/>
                <w:szCs w:val="21"/>
              </w:rPr>
              <w:t>COD</w:t>
            </w:r>
          </w:p>
        </w:tc>
        <w:tc>
          <w:tcPr>
            <w:tcW w:w="1525" w:type="dxa"/>
            <w:vAlign w:val="center"/>
          </w:tcPr>
          <w:p w14:paraId="4E6E443A">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0AFD7545">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61714C4C">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40F93898">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8.601</w:t>
            </w:r>
            <w:r>
              <w:rPr>
                <w:rFonts w:hint="default" w:ascii="Times New Roman" w:hAnsi="Times New Roman" w:cs="Times New Roman"/>
                <w:color w:val="auto"/>
                <w:sz w:val="21"/>
                <w:szCs w:val="21"/>
                <w:lang w:val="en-US" w:eastAsia="zh-CN"/>
              </w:rPr>
              <w:t>t/a</w:t>
            </w:r>
          </w:p>
        </w:tc>
        <w:tc>
          <w:tcPr>
            <w:tcW w:w="1635" w:type="dxa"/>
            <w:vAlign w:val="center"/>
          </w:tcPr>
          <w:p w14:paraId="425AC33F">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24E5608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8.601</w:t>
            </w:r>
            <w:r>
              <w:rPr>
                <w:rFonts w:hint="default" w:ascii="Times New Roman" w:hAnsi="Times New Roman" w:cs="Times New Roman"/>
                <w:color w:val="auto"/>
                <w:sz w:val="21"/>
                <w:szCs w:val="21"/>
                <w:lang w:val="en-US" w:eastAsia="zh-CN"/>
              </w:rPr>
              <w:t>t/a</w:t>
            </w:r>
          </w:p>
        </w:tc>
        <w:tc>
          <w:tcPr>
            <w:tcW w:w="1063" w:type="dxa"/>
            <w:vAlign w:val="center"/>
          </w:tcPr>
          <w:p w14:paraId="725031A6">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eastAsia" w:ascii="Times New Roman" w:cs="Times New Roman"/>
                <w:snapToGrid w:val="0"/>
                <w:color w:val="auto"/>
                <w:kern w:val="21"/>
                <w:szCs w:val="21"/>
                <w:lang w:val="en-US" w:eastAsia="zh-CN"/>
              </w:rPr>
            </w:pPr>
          </w:p>
        </w:tc>
      </w:tr>
      <w:tr w14:paraId="7C01E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17" w:type="dxa"/>
            <w:vMerge w:val="continue"/>
            <w:vAlign w:val="center"/>
          </w:tcPr>
          <w:p w14:paraId="4F2C9443">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rPr>
            </w:pPr>
          </w:p>
        </w:tc>
        <w:tc>
          <w:tcPr>
            <w:tcW w:w="2533" w:type="dxa"/>
            <w:vAlign w:val="center"/>
          </w:tcPr>
          <w:p w14:paraId="404C8DA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cs="Times New Roman"/>
                <w:color w:val="auto"/>
                <w:szCs w:val="21"/>
                <w:lang w:val="en-US" w:eastAsia="zh-CN"/>
              </w:rPr>
            </w:pPr>
            <w:r>
              <w:rPr>
                <w:rFonts w:hint="default" w:ascii="Times New Roman"/>
                <w:snapToGrid w:val="0"/>
                <w:color w:val="000000"/>
                <w:kern w:val="21"/>
                <w:szCs w:val="21"/>
              </w:rPr>
              <w:t>BOD</w:t>
            </w:r>
            <w:r>
              <w:rPr>
                <w:rFonts w:hint="default" w:ascii="Times New Roman"/>
                <w:snapToGrid w:val="0"/>
                <w:color w:val="000000"/>
                <w:kern w:val="21"/>
                <w:szCs w:val="21"/>
                <w:vertAlign w:val="subscript"/>
              </w:rPr>
              <w:t>5</w:t>
            </w:r>
          </w:p>
        </w:tc>
        <w:tc>
          <w:tcPr>
            <w:tcW w:w="1525" w:type="dxa"/>
            <w:vAlign w:val="center"/>
          </w:tcPr>
          <w:p w14:paraId="2471F212">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77C5B168">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7450A245">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487FA05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3.428</w:t>
            </w:r>
            <w:r>
              <w:rPr>
                <w:rFonts w:hint="default" w:ascii="Times New Roman" w:hAnsi="Times New Roman" w:cs="Times New Roman"/>
                <w:color w:val="auto"/>
                <w:sz w:val="21"/>
                <w:szCs w:val="21"/>
                <w:lang w:val="en-US" w:eastAsia="zh-CN"/>
              </w:rPr>
              <w:t>t/a</w:t>
            </w:r>
          </w:p>
        </w:tc>
        <w:tc>
          <w:tcPr>
            <w:tcW w:w="1635" w:type="dxa"/>
            <w:vAlign w:val="center"/>
          </w:tcPr>
          <w:p w14:paraId="199CCB46">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2AF5524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3.428</w:t>
            </w:r>
            <w:r>
              <w:rPr>
                <w:rFonts w:hint="default" w:ascii="Times New Roman" w:hAnsi="Times New Roman" w:cs="Times New Roman"/>
                <w:color w:val="auto"/>
                <w:sz w:val="21"/>
                <w:szCs w:val="21"/>
                <w:lang w:val="en-US" w:eastAsia="zh-CN"/>
              </w:rPr>
              <w:t>t/a</w:t>
            </w:r>
          </w:p>
        </w:tc>
        <w:tc>
          <w:tcPr>
            <w:tcW w:w="1063" w:type="dxa"/>
            <w:vAlign w:val="center"/>
          </w:tcPr>
          <w:p w14:paraId="7CCB582A">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eastAsia" w:ascii="Times New Roman" w:cs="Times New Roman"/>
                <w:snapToGrid w:val="0"/>
                <w:color w:val="auto"/>
                <w:kern w:val="21"/>
                <w:szCs w:val="21"/>
                <w:lang w:val="en-US" w:eastAsia="zh-CN"/>
              </w:rPr>
            </w:pPr>
          </w:p>
        </w:tc>
      </w:tr>
      <w:tr w14:paraId="3356A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217" w:type="dxa"/>
            <w:vMerge w:val="continue"/>
            <w:vAlign w:val="center"/>
          </w:tcPr>
          <w:p w14:paraId="0C72ECCC">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rPr>
            </w:pPr>
          </w:p>
        </w:tc>
        <w:tc>
          <w:tcPr>
            <w:tcW w:w="2533" w:type="dxa"/>
            <w:vAlign w:val="center"/>
          </w:tcPr>
          <w:p w14:paraId="50A5E3CD">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cs="Times New Roman"/>
                <w:color w:val="auto"/>
                <w:szCs w:val="21"/>
                <w:lang w:val="en-US" w:eastAsia="zh-CN"/>
              </w:rPr>
            </w:pPr>
            <w:r>
              <w:rPr>
                <w:rFonts w:hint="default" w:ascii="Times New Roman"/>
                <w:szCs w:val="21"/>
              </w:rPr>
              <w:t>SS</w:t>
            </w:r>
          </w:p>
        </w:tc>
        <w:tc>
          <w:tcPr>
            <w:tcW w:w="1525" w:type="dxa"/>
            <w:vAlign w:val="center"/>
          </w:tcPr>
          <w:p w14:paraId="76585E0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59B5100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7790EAE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20D51008">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4.614</w:t>
            </w:r>
            <w:r>
              <w:rPr>
                <w:rFonts w:hint="default" w:ascii="Times New Roman" w:hAnsi="Times New Roman" w:cs="Times New Roman"/>
                <w:color w:val="auto"/>
                <w:sz w:val="21"/>
                <w:szCs w:val="21"/>
                <w:lang w:val="en-US" w:eastAsia="zh-CN"/>
              </w:rPr>
              <w:t>t/a</w:t>
            </w:r>
          </w:p>
        </w:tc>
        <w:tc>
          <w:tcPr>
            <w:tcW w:w="1635" w:type="dxa"/>
            <w:vAlign w:val="center"/>
          </w:tcPr>
          <w:p w14:paraId="3E61D2B0">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03196E75">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4.614</w:t>
            </w:r>
            <w:r>
              <w:rPr>
                <w:rFonts w:hint="default" w:ascii="Times New Roman" w:hAnsi="Times New Roman" w:cs="Times New Roman"/>
                <w:color w:val="auto"/>
                <w:sz w:val="21"/>
                <w:szCs w:val="21"/>
                <w:lang w:val="en-US" w:eastAsia="zh-CN"/>
              </w:rPr>
              <w:t>t/a</w:t>
            </w:r>
          </w:p>
        </w:tc>
        <w:tc>
          <w:tcPr>
            <w:tcW w:w="1063" w:type="dxa"/>
            <w:vAlign w:val="center"/>
          </w:tcPr>
          <w:p w14:paraId="22D78E1D">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eastAsia" w:ascii="Times New Roman" w:cs="Times New Roman"/>
                <w:snapToGrid w:val="0"/>
                <w:color w:val="auto"/>
                <w:kern w:val="21"/>
                <w:szCs w:val="21"/>
                <w:lang w:val="en-US" w:eastAsia="zh-CN"/>
              </w:rPr>
            </w:pPr>
          </w:p>
        </w:tc>
      </w:tr>
      <w:tr w14:paraId="74FCE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17" w:type="dxa"/>
            <w:vMerge w:val="continue"/>
            <w:vAlign w:val="center"/>
          </w:tcPr>
          <w:p w14:paraId="0C4F2B26">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rPr>
            </w:pPr>
          </w:p>
        </w:tc>
        <w:tc>
          <w:tcPr>
            <w:tcW w:w="2533" w:type="dxa"/>
            <w:vAlign w:val="center"/>
          </w:tcPr>
          <w:p w14:paraId="46B83AB3">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cs="Times New Roman"/>
                <w:color w:val="auto"/>
                <w:szCs w:val="21"/>
                <w:lang w:val="en-US" w:eastAsia="zh-CN"/>
              </w:rPr>
            </w:pPr>
            <w:r>
              <w:rPr>
                <w:rFonts w:hint="default" w:ascii="Times New Roman"/>
                <w:szCs w:val="21"/>
              </w:rPr>
              <w:t>氨氮</w:t>
            </w:r>
          </w:p>
        </w:tc>
        <w:tc>
          <w:tcPr>
            <w:tcW w:w="1525" w:type="dxa"/>
            <w:vAlign w:val="center"/>
          </w:tcPr>
          <w:p w14:paraId="5551F24C">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B2FB8F8">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4505BB9C">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17A74D3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0.175</w:t>
            </w:r>
            <w:r>
              <w:rPr>
                <w:rFonts w:hint="default" w:ascii="Times New Roman" w:hAnsi="Times New Roman" w:cs="Times New Roman"/>
                <w:color w:val="auto"/>
                <w:sz w:val="21"/>
                <w:szCs w:val="21"/>
                <w:lang w:val="en-US" w:eastAsia="zh-CN"/>
              </w:rPr>
              <w:t>t/a</w:t>
            </w:r>
          </w:p>
        </w:tc>
        <w:tc>
          <w:tcPr>
            <w:tcW w:w="1635" w:type="dxa"/>
            <w:vAlign w:val="center"/>
          </w:tcPr>
          <w:p w14:paraId="28366600">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108AB7C7">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0.175</w:t>
            </w:r>
            <w:r>
              <w:rPr>
                <w:rFonts w:hint="default" w:ascii="Times New Roman" w:hAnsi="Times New Roman" w:cs="Times New Roman"/>
                <w:color w:val="auto"/>
                <w:sz w:val="21"/>
                <w:szCs w:val="21"/>
                <w:lang w:val="en-US" w:eastAsia="zh-CN"/>
              </w:rPr>
              <w:t>t/a</w:t>
            </w:r>
          </w:p>
        </w:tc>
        <w:tc>
          <w:tcPr>
            <w:tcW w:w="1063" w:type="dxa"/>
            <w:vAlign w:val="center"/>
          </w:tcPr>
          <w:p w14:paraId="4ABFD658">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eastAsia" w:ascii="Times New Roman" w:cs="Times New Roman"/>
                <w:snapToGrid w:val="0"/>
                <w:color w:val="auto"/>
                <w:kern w:val="21"/>
                <w:szCs w:val="21"/>
                <w:lang w:val="en-US" w:eastAsia="zh-CN"/>
              </w:rPr>
            </w:pPr>
          </w:p>
        </w:tc>
      </w:tr>
      <w:tr w14:paraId="779D31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17" w:type="dxa"/>
            <w:vMerge w:val="continue"/>
            <w:vAlign w:val="center"/>
          </w:tcPr>
          <w:p w14:paraId="04F2C12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rPr>
            </w:pPr>
          </w:p>
        </w:tc>
        <w:tc>
          <w:tcPr>
            <w:tcW w:w="2533" w:type="dxa"/>
            <w:vAlign w:val="center"/>
          </w:tcPr>
          <w:p w14:paraId="72D18C9B">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cs="Times New Roman"/>
                <w:color w:val="auto"/>
                <w:szCs w:val="21"/>
                <w:lang w:val="en-US" w:eastAsia="zh-CN"/>
              </w:rPr>
            </w:pPr>
            <w:r>
              <w:rPr>
                <w:rFonts w:hint="eastAsia" w:ascii="Times New Roman"/>
                <w:szCs w:val="21"/>
                <w:lang w:val="en-US" w:eastAsia="zh-CN"/>
              </w:rPr>
              <w:t>总氮</w:t>
            </w:r>
          </w:p>
        </w:tc>
        <w:tc>
          <w:tcPr>
            <w:tcW w:w="1525" w:type="dxa"/>
            <w:vAlign w:val="center"/>
          </w:tcPr>
          <w:p w14:paraId="3041F3B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326AD230">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77EB9A55">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517E5702">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0.230</w:t>
            </w:r>
            <w:r>
              <w:rPr>
                <w:rFonts w:hint="default" w:ascii="Times New Roman" w:hAnsi="Times New Roman" w:cs="Times New Roman"/>
                <w:color w:val="auto"/>
                <w:sz w:val="21"/>
                <w:szCs w:val="21"/>
                <w:lang w:val="en-US" w:eastAsia="zh-CN"/>
              </w:rPr>
              <w:t>t/a</w:t>
            </w:r>
          </w:p>
        </w:tc>
        <w:tc>
          <w:tcPr>
            <w:tcW w:w="1635" w:type="dxa"/>
            <w:vAlign w:val="center"/>
          </w:tcPr>
          <w:p w14:paraId="16EE85C3">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2206D532">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0.230</w:t>
            </w:r>
            <w:r>
              <w:rPr>
                <w:rFonts w:hint="default" w:ascii="Times New Roman" w:hAnsi="Times New Roman" w:cs="Times New Roman"/>
                <w:color w:val="auto"/>
                <w:sz w:val="21"/>
                <w:szCs w:val="21"/>
                <w:lang w:val="en-US" w:eastAsia="zh-CN"/>
              </w:rPr>
              <w:t>t/a</w:t>
            </w:r>
          </w:p>
        </w:tc>
        <w:tc>
          <w:tcPr>
            <w:tcW w:w="1063" w:type="dxa"/>
            <w:vAlign w:val="center"/>
          </w:tcPr>
          <w:p w14:paraId="24FC32F2">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eastAsia" w:ascii="Times New Roman" w:cs="Times New Roman"/>
                <w:snapToGrid w:val="0"/>
                <w:color w:val="auto"/>
                <w:kern w:val="21"/>
                <w:szCs w:val="21"/>
                <w:lang w:val="en-US" w:eastAsia="zh-CN"/>
              </w:rPr>
            </w:pPr>
          </w:p>
        </w:tc>
      </w:tr>
      <w:tr w14:paraId="46E9D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17" w:type="dxa"/>
            <w:vMerge w:val="continue"/>
            <w:vAlign w:val="center"/>
          </w:tcPr>
          <w:p w14:paraId="632738F7">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1FA43E8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cs="Times New Roman"/>
                <w:color w:val="auto"/>
                <w:szCs w:val="21"/>
                <w:lang w:val="en-US" w:eastAsia="zh-CN"/>
              </w:rPr>
            </w:pPr>
            <w:r>
              <w:rPr>
                <w:rFonts w:hint="eastAsia" w:ascii="Times New Roman"/>
                <w:szCs w:val="21"/>
                <w:lang w:val="en-US" w:eastAsia="zh-CN"/>
              </w:rPr>
              <w:t>总磷</w:t>
            </w:r>
          </w:p>
        </w:tc>
        <w:tc>
          <w:tcPr>
            <w:tcW w:w="1525" w:type="dxa"/>
            <w:vAlign w:val="center"/>
          </w:tcPr>
          <w:p w14:paraId="28E846A8">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1560CCC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4F6CE9EC">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3B9FF8D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0.041</w:t>
            </w:r>
            <w:r>
              <w:rPr>
                <w:rFonts w:hint="default" w:ascii="Times New Roman" w:hAnsi="Times New Roman" w:cs="Times New Roman"/>
                <w:color w:val="auto"/>
                <w:sz w:val="21"/>
                <w:szCs w:val="21"/>
                <w:lang w:val="en-US" w:eastAsia="zh-CN"/>
              </w:rPr>
              <w:t>t/a</w:t>
            </w:r>
          </w:p>
        </w:tc>
        <w:tc>
          <w:tcPr>
            <w:tcW w:w="1635" w:type="dxa"/>
            <w:vAlign w:val="center"/>
          </w:tcPr>
          <w:p w14:paraId="1AE4047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2644E9EF">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0.041</w:t>
            </w:r>
            <w:r>
              <w:rPr>
                <w:rFonts w:hint="default" w:ascii="Times New Roman" w:hAnsi="Times New Roman" w:cs="Times New Roman"/>
                <w:color w:val="auto"/>
                <w:sz w:val="21"/>
                <w:szCs w:val="21"/>
                <w:lang w:val="en-US" w:eastAsia="zh-CN"/>
              </w:rPr>
              <w:t>t/a</w:t>
            </w:r>
          </w:p>
        </w:tc>
        <w:tc>
          <w:tcPr>
            <w:tcW w:w="1063" w:type="dxa"/>
            <w:vAlign w:val="center"/>
          </w:tcPr>
          <w:p w14:paraId="03061CC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eastAsia" w:ascii="Times New Roman" w:cs="Times New Roman"/>
                <w:snapToGrid w:val="0"/>
                <w:color w:val="auto"/>
                <w:kern w:val="21"/>
                <w:szCs w:val="21"/>
                <w:lang w:val="en-US" w:eastAsia="zh-CN"/>
              </w:rPr>
            </w:pPr>
          </w:p>
        </w:tc>
      </w:tr>
      <w:tr w14:paraId="1C23B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7" w:type="dxa"/>
            <w:vMerge w:val="continue"/>
            <w:vAlign w:val="center"/>
          </w:tcPr>
          <w:p w14:paraId="02E18B9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354845CB">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cs="Times New Roman"/>
                <w:color w:val="auto"/>
                <w:szCs w:val="21"/>
                <w:lang w:val="en-US" w:eastAsia="zh-CN"/>
              </w:rPr>
            </w:pPr>
            <w:r>
              <w:rPr>
                <w:rFonts w:hint="eastAsia" w:ascii="Times New Roman" w:cs="Times New Roman"/>
                <w:color w:val="auto"/>
                <w:szCs w:val="21"/>
                <w:lang w:val="en-US" w:eastAsia="zh-CN"/>
              </w:rPr>
              <w:t>石油类</w:t>
            </w:r>
          </w:p>
        </w:tc>
        <w:tc>
          <w:tcPr>
            <w:tcW w:w="1525" w:type="dxa"/>
            <w:vAlign w:val="center"/>
          </w:tcPr>
          <w:p w14:paraId="32E80153">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E64CB1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638F952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6A00257D">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0.432</w:t>
            </w:r>
            <w:r>
              <w:rPr>
                <w:rFonts w:hint="default" w:ascii="Times New Roman" w:hAnsi="Times New Roman" w:cs="Times New Roman"/>
                <w:color w:val="auto"/>
                <w:sz w:val="21"/>
                <w:szCs w:val="21"/>
                <w:lang w:val="en-US" w:eastAsia="zh-CN"/>
              </w:rPr>
              <w:t>t/a</w:t>
            </w:r>
          </w:p>
        </w:tc>
        <w:tc>
          <w:tcPr>
            <w:tcW w:w="1635" w:type="dxa"/>
            <w:vAlign w:val="center"/>
          </w:tcPr>
          <w:p w14:paraId="4D019734">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655E2B46">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0.432</w:t>
            </w:r>
            <w:r>
              <w:rPr>
                <w:rFonts w:hint="default" w:ascii="Times New Roman" w:hAnsi="Times New Roman" w:cs="Times New Roman"/>
                <w:color w:val="auto"/>
                <w:sz w:val="21"/>
                <w:szCs w:val="21"/>
                <w:lang w:val="en-US" w:eastAsia="zh-CN"/>
              </w:rPr>
              <w:t>t/a</w:t>
            </w:r>
          </w:p>
        </w:tc>
        <w:tc>
          <w:tcPr>
            <w:tcW w:w="1063" w:type="dxa"/>
            <w:vAlign w:val="center"/>
          </w:tcPr>
          <w:p w14:paraId="43019A13">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textAlignment w:val="auto"/>
              <w:rPr>
                <w:rFonts w:hint="eastAsia" w:ascii="Times New Roman" w:cs="Times New Roman"/>
                <w:snapToGrid w:val="0"/>
                <w:color w:val="auto"/>
                <w:kern w:val="21"/>
                <w:szCs w:val="21"/>
                <w:lang w:val="en-US" w:eastAsia="zh-CN"/>
              </w:rPr>
            </w:pPr>
          </w:p>
        </w:tc>
      </w:tr>
      <w:tr w14:paraId="365F5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restart"/>
            <w:vAlign w:val="center"/>
          </w:tcPr>
          <w:p w14:paraId="62D043CB">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一般固体废物</w:t>
            </w:r>
          </w:p>
        </w:tc>
        <w:tc>
          <w:tcPr>
            <w:tcW w:w="2533" w:type="dxa"/>
            <w:vAlign w:val="center"/>
          </w:tcPr>
          <w:p w14:paraId="617CE085">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废边角料</w:t>
            </w:r>
          </w:p>
        </w:tc>
        <w:tc>
          <w:tcPr>
            <w:tcW w:w="1525" w:type="dxa"/>
            <w:vAlign w:val="center"/>
          </w:tcPr>
          <w:p w14:paraId="5CFC13EF">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F435A5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70E94E9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41D55AAA">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5.3</w:t>
            </w:r>
            <w:r>
              <w:rPr>
                <w:rFonts w:hint="default" w:ascii="Times New Roman" w:hAnsi="Times New Roman" w:cs="Times New Roman"/>
                <w:color w:val="auto"/>
                <w:sz w:val="21"/>
                <w:szCs w:val="21"/>
                <w:lang w:val="en-US" w:eastAsia="zh-CN"/>
              </w:rPr>
              <w:t>t/a</w:t>
            </w:r>
          </w:p>
        </w:tc>
        <w:tc>
          <w:tcPr>
            <w:tcW w:w="1635" w:type="dxa"/>
            <w:vAlign w:val="center"/>
          </w:tcPr>
          <w:p w14:paraId="71CC8087">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56BCD63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5.3</w:t>
            </w:r>
            <w:r>
              <w:rPr>
                <w:rFonts w:hint="default" w:ascii="Times New Roman" w:hAnsi="Times New Roman" w:cs="Times New Roman"/>
                <w:color w:val="auto"/>
                <w:sz w:val="21"/>
                <w:szCs w:val="21"/>
                <w:lang w:val="en-US" w:eastAsia="zh-CN"/>
              </w:rPr>
              <w:t>t/a</w:t>
            </w:r>
          </w:p>
        </w:tc>
        <w:tc>
          <w:tcPr>
            <w:tcW w:w="1063" w:type="dxa"/>
            <w:vAlign w:val="center"/>
          </w:tcPr>
          <w:p w14:paraId="3321EC53">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snapToGrid w:val="0"/>
                <w:color w:val="auto"/>
                <w:kern w:val="21"/>
                <w:szCs w:val="21"/>
              </w:rPr>
            </w:pPr>
          </w:p>
        </w:tc>
      </w:tr>
      <w:tr w14:paraId="67827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2F45A72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358E72B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废包装材料</w:t>
            </w:r>
          </w:p>
        </w:tc>
        <w:tc>
          <w:tcPr>
            <w:tcW w:w="1525" w:type="dxa"/>
            <w:vAlign w:val="center"/>
          </w:tcPr>
          <w:p w14:paraId="07DB3247">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2CB0E6C2">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5A284636">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49123525">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r>
              <w:rPr>
                <w:rFonts w:hint="default" w:ascii="Times New Roman" w:hAnsi="Times New Roman" w:cs="Times New Roman"/>
                <w:color w:val="auto"/>
                <w:sz w:val="21"/>
                <w:szCs w:val="21"/>
                <w:lang w:val="en-US" w:eastAsia="zh-CN"/>
              </w:rPr>
              <w:t>t/a</w:t>
            </w:r>
          </w:p>
        </w:tc>
        <w:tc>
          <w:tcPr>
            <w:tcW w:w="1635" w:type="dxa"/>
            <w:vAlign w:val="center"/>
          </w:tcPr>
          <w:p w14:paraId="0780AB1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16DD943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w:t>
            </w:r>
            <w:r>
              <w:rPr>
                <w:rFonts w:hint="default" w:ascii="Times New Roman" w:hAnsi="Times New Roman" w:cs="Times New Roman"/>
                <w:color w:val="auto"/>
                <w:sz w:val="21"/>
                <w:szCs w:val="21"/>
                <w:lang w:val="en-US" w:eastAsia="zh-CN"/>
              </w:rPr>
              <w:t>t/a</w:t>
            </w:r>
          </w:p>
        </w:tc>
        <w:tc>
          <w:tcPr>
            <w:tcW w:w="1063" w:type="dxa"/>
            <w:vAlign w:val="center"/>
          </w:tcPr>
          <w:p w14:paraId="78FF4676">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snapToGrid w:val="0"/>
                <w:color w:val="auto"/>
                <w:kern w:val="21"/>
                <w:szCs w:val="21"/>
              </w:rPr>
            </w:pPr>
          </w:p>
        </w:tc>
      </w:tr>
      <w:tr w14:paraId="4534B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37CDBEC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63A34CE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除尘器</w:t>
            </w:r>
            <w:r>
              <w:rPr>
                <w:rFonts w:hint="eastAsia" w:cs="Times New Roman"/>
                <w:color w:val="auto"/>
                <w:szCs w:val="21"/>
                <w:lang w:val="en-US" w:eastAsia="zh-CN"/>
              </w:rPr>
              <w:t>除尘灰</w:t>
            </w:r>
          </w:p>
        </w:tc>
        <w:tc>
          <w:tcPr>
            <w:tcW w:w="1525" w:type="dxa"/>
            <w:vAlign w:val="center"/>
          </w:tcPr>
          <w:p w14:paraId="654319C6">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72F62CDE">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6D87489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7A4C2945">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lang w:val="en-US" w:eastAsia="zh-CN"/>
              </w:rPr>
              <w:t>0.001t/a</w:t>
            </w:r>
          </w:p>
        </w:tc>
        <w:tc>
          <w:tcPr>
            <w:tcW w:w="1635" w:type="dxa"/>
            <w:vAlign w:val="center"/>
          </w:tcPr>
          <w:p w14:paraId="34B9371D">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659B47E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0.001t/a</w:t>
            </w:r>
          </w:p>
        </w:tc>
        <w:tc>
          <w:tcPr>
            <w:tcW w:w="1063" w:type="dxa"/>
            <w:vAlign w:val="center"/>
          </w:tcPr>
          <w:p w14:paraId="3A578D3C">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snapToGrid w:val="0"/>
                <w:color w:val="auto"/>
                <w:kern w:val="21"/>
                <w:szCs w:val="21"/>
              </w:rPr>
            </w:pPr>
          </w:p>
        </w:tc>
      </w:tr>
      <w:tr w14:paraId="54AE0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68ED9AC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54124C9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废漆包线</w:t>
            </w:r>
          </w:p>
        </w:tc>
        <w:tc>
          <w:tcPr>
            <w:tcW w:w="1525" w:type="dxa"/>
            <w:vAlign w:val="center"/>
          </w:tcPr>
          <w:p w14:paraId="4AF68A26">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3AB8F96A">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0CA17FFB">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3C6ABD9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0.25</w:t>
            </w:r>
            <w:r>
              <w:rPr>
                <w:rFonts w:hint="default" w:ascii="Times New Roman" w:hAnsi="Times New Roman" w:cs="Times New Roman"/>
                <w:color w:val="auto"/>
                <w:sz w:val="21"/>
                <w:szCs w:val="21"/>
                <w:lang w:val="en-US" w:eastAsia="zh-CN"/>
              </w:rPr>
              <w:t>t/a</w:t>
            </w:r>
          </w:p>
        </w:tc>
        <w:tc>
          <w:tcPr>
            <w:tcW w:w="1635" w:type="dxa"/>
            <w:vAlign w:val="center"/>
          </w:tcPr>
          <w:p w14:paraId="1F80D3B3">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49F03EAC">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0.25</w:t>
            </w:r>
            <w:r>
              <w:rPr>
                <w:rFonts w:hint="default" w:ascii="Times New Roman" w:hAnsi="Times New Roman" w:cs="Times New Roman"/>
                <w:color w:val="auto"/>
                <w:sz w:val="21"/>
                <w:szCs w:val="21"/>
                <w:lang w:val="en-US" w:eastAsia="zh-CN"/>
              </w:rPr>
              <w:t>t/a</w:t>
            </w:r>
          </w:p>
        </w:tc>
        <w:tc>
          <w:tcPr>
            <w:tcW w:w="1063" w:type="dxa"/>
            <w:vAlign w:val="center"/>
          </w:tcPr>
          <w:p w14:paraId="1CF082D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snapToGrid w:val="0"/>
                <w:color w:val="auto"/>
                <w:kern w:val="21"/>
                <w:szCs w:val="21"/>
              </w:rPr>
            </w:pPr>
          </w:p>
        </w:tc>
      </w:tr>
      <w:tr w14:paraId="25F56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5BFC9F23">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6F3F180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color w:val="auto"/>
                <w:szCs w:val="21"/>
                <w:lang w:val="en-US" w:eastAsia="zh-CN"/>
              </w:rPr>
            </w:pPr>
            <w:r>
              <w:rPr>
                <w:rFonts w:hint="eastAsia" w:cs="Times New Roman"/>
                <w:color w:val="auto"/>
                <w:szCs w:val="21"/>
                <w:lang w:val="en-US" w:eastAsia="zh-CN"/>
              </w:rPr>
              <w:t>纯水制备设备更换的废活性炭</w:t>
            </w:r>
          </w:p>
        </w:tc>
        <w:tc>
          <w:tcPr>
            <w:tcW w:w="1525" w:type="dxa"/>
            <w:vAlign w:val="center"/>
          </w:tcPr>
          <w:p w14:paraId="1F3F71D7">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0E28C72C">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3166C04F">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53D0908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0.2</w:t>
            </w:r>
            <w:r>
              <w:rPr>
                <w:rFonts w:hint="default" w:ascii="Times New Roman" w:hAnsi="Times New Roman" w:cs="Times New Roman"/>
                <w:color w:val="auto"/>
                <w:sz w:val="21"/>
                <w:szCs w:val="21"/>
                <w:lang w:val="en-US" w:eastAsia="zh-CN"/>
              </w:rPr>
              <w:t>t/a</w:t>
            </w:r>
          </w:p>
        </w:tc>
        <w:tc>
          <w:tcPr>
            <w:tcW w:w="1635" w:type="dxa"/>
            <w:vAlign w:val="center"/>
          </w:tcPr>
          <w:p w14:paraId="0D1C1415">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3160C48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0.2</w:t>
            </w:r>
            <w:r>
              <w:rPr>
                <w:rFonts w:hint="default" w:ascii="Times New Roman" w:hAnsi="Times New Roman" w:cs="Times New Roman"/>
                <w:color w:val="auto"/>
                <w:sz w:val="21"/>
                <w:szCs w:val="21"/>
                <w:lang w:val="en-US" w:eastAsia="zh-CN"/>
              </w:rPr>
              <w:t>t/a</w:t>
            </w:r>
          </w:p>
        </w:tc>
        <w:tc>
          <w:tcPr>
            <w:tcW w:w="1063" w:type="dxa"/>
            <w:vAlign w:val="center"/>
          </w:tcPr>
          <w:p w14:paraId="424A30F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snapToGrid w:val="0"/>
                <w:color w:val="auto"/>
                <w:kern w:val="21"/>
                <w:szCs w:val="21"/>
              </w:rPr>
            </w:pPr>
          </w:p>
        </w:tc>
      </w:tr>
      <w:tr w14:paraId="4E7B6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1972E7A9">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2533" w:type="dxa"/>
            <w:vAlign w:val="center"/>
          </w:tcPr>
          <w:p w14:paraId="6386ECA6">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color w:val="auto"/>
                <w:szCs w:val="21"/>
                <w:lang w:val="en-US" w:eastAsia="zh-CN"/>
              </w:rPr>
            </w:pPr>
            <w:r>
              <w:rPr>
                <w:rFonts w:hint="eastAsia" w:cs="Times New Roman"/>
                <w:color w:val="FF0000"/>
                <w:szCs w:val="21"/>
                <w:lang w:val="en-US" w:eastAsia="zh-CN"/>
              </w:rPr>
              <w:t>制氮机组更换的废滤筒</w:t>
            </w:r>
            <w:r>
              <w:rPr>
                <w:rFonts w:hint="eastAsia" w:ascii="Times New Roman" w:hAnsi="Times New Roman" w:cs="Times New Roman"/>
                <w:color w:val="FF0000"/>
                <w:spacing w:val="2"/>
                <w:sz w:val="21"/>
                <w:szCs w:val="21"/>
                <w:lang w:val="en-US" w:eastAsia="zh-CN"/>
              </w:rPr>
              <w:t>（含滤布）、碳分子筛</w:t>
            </w:r>
          </w:p>
        </w:tc>
        <w:tc>
          <w:tcPr>
            <w:tcW w:w="1525" w:type="dxa"/>
            <w:vAlign w:val="center"/>
          </w:tcPr>
          <w:p w14:paraId="380EE4AD">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4BBE6CC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701" w:type="dxa"/>
            <w:vAlign w:val="center"/>
          </w:tcPr>
          <w:p w14:paraId="130CE861">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cs="Times New Roman"/>
                <w:snapToGrid w:val="0"/>
                <w:color w:val="auto"/>
                <w:kern w:val="21"/>
                <w:szCs w:val="21"/>
              </w:rPr>
            </w:pPr>
          </w:p>
        </w:tc>
        <w:tc>
          <w:tcPr>
            <w:tcW w:w="1559" w:type="dxa"/>
            <w:vAlign w:val="center"/>
          </w:tcPr>
          <w:p w14:paraId="5ABC76C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cs="Times New Roman"/>
                <w:color w:val="FF0000"/>
                <w:szCs w:val="21"/>
                <w:lang w:val="en-US" w:eastAsia="zh-CN"/>
              </w:rPr>
            </w:pPr>
            <w:r>
              <w:rPr>
                <w:rFonts w:hint="default" w:ascii="Times New Roman" w:hAnsi="Times New Roman" w:cs="Times New Roman"/>
                <w:color w:val="FF0000"/>
                <w:szCs w:val="21"/>
                <w:lang w:val="en-US" w:eastAsia="zh-CN"/>
              </w:rPr>
              <w:t>0.28</w:t>
            </w:r>
            <w:r>
              <w:rPr>
                <w:rFonts w:hint="default" w:ascii="Times New Roman" w:hAnsi="Times New Roman" w:cs="Times New Roman"/>
                <w:color w:val="FF0000"/>
                <w:sz w:val="21"/>
                <w:szCs w:val="21"/>
                <w:lang w:val="en-US" w:eastAsia="zh-CN"/>
              </w:rPr>
              <w:t>t/a</w:t>
            </w:r>
          </w:p>
        </w:tc>
        <w:tc>
          <w:tcPr>
            <w:tcW w:w="1635" w:type="dxa"/>
            <w:vAlign w:val="center"/>
          </w:tcPr>
          <w:p w14:paraId="409463D2">
            <w:pPr>
              <w:pStyle w:val="52"/>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FF0000"/>
                <w:kern w:val="21"/>
                <w:szCs w:val="21"/>
                <w:lang w:val="en-US" w:eastAsia="zh-CN"/>
              </w:rPr>
            </w:pPr>
          </w:p>
        </w:tc>
        <w:tc>
          <w:tcPr>
            <w:tcW w:w="1848" w:type="dxa"/>
            <w:vAlign w:val="center"/>
          </w:tcPr>
          <w:p w14:paraId="41E9124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color w:val="FF0000"/>
                <w:szCs w:val="21"/>
                <w:lang w:val="en-US" w:eastAsia="zh-CN"/>
              </w:rPr>
            </w:pPr>
            <w:r>
              <w:rPr>
                <w:rFonts w:hint="default" w:ascii="Times New Roman" w:hAnsi="Times New Roman" w:cs="Times New Roman"/>
                <w:color w:val="FF0000"/>
                <w:szCs w:val="21"/>
                <w:lang w:val="en-US" w:eastAsia="zh-CN"/>
              </w:rPr>
              <w:t>0.28</w:t>
            </w:r>
            <w:r>
              <w:rPr>
                <w:rFonts w:hint="default" w:ascii="Times New Roman" w:hAnsi="Times New Roman" w:cs="Times New Roman"/>
                <w:color w:val="FF0000"/>
                <w:sz w:val="21"/>
                <w:szCs w:val="21"/>
                <w:lang w:val="en-US" w:eastAsia="zh-CN"/>
              </w:rPr>
              <w:t>t/a</w:t>
            </w:r>
          </w:p>
        </w:tc>
        <w:tc>
          <w:tcPr>
            <w:tcW w:w="1063" w:type="dxa"/>
            <w:vAlign w:val="center"/>
          </w:tcPr>
          <w:p w14:paraId="1B26B321">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snapToGrid w:val="0"/>
                <w:color w:val="auto"/>
                <w:kern w:val="21"/>
                <w:szCs w:val="21"/>
              </w:rPr>
            </w:pPr>
          </w:p>
        </w:tc>
      </w:tr>
      <w:tr w14:paraId="6DE3A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17" w:type="dxa"/>
            <w:vMerge w:val="restart"/>
            <w:vAlign w:val="center"/>
          </w:tcPr>
          <w:p w14:paraId="7526EA21">
            <w:pPr>
              <w:pStyle w:val="52"/>
              <w:keepNext w:val="0"/>
              <w:keepLines w:val="0"/>
              <w:suppressLineNumbers w:val="0"/>
              <w:spacing w:before="24" w:beforeAutospacing="0" w:after="24"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危险废物</w:t>
            </w:r>
          </w:p>
        </w:tc>
        <w:tc>
          <w:tcPr>
            <w:tcW w:w="2533" w:type="dxa"/>
            <w:vAlign w:val="center"/>
          </w:tcPr>
          <w:p w14:paraId="13C93A0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废包装桶</w:t>
            </w:r>
          </w:p>
        </w:tc>
        <w:tc>
          <w:tcPr>
            <w:tcW w:w="1525" w:type="dxa"/>
            <w:vAlign w:val="center"/>
          </w:tcPr>
          <w:p w14:paraId="08D27F58">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19D06822">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6ECC3B48">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002E28B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0.01</w:t>
            </w:r>
            <w:r>
              <w:rPr>
                <w:rFonts w:hint="default" w:ascii="Times New Roman" w:hAnsi="Times New Roman" w:cs="Times New Roman"/>
                <w:color w:val="auto"/>
                <w:sz w:val="21"/>
                <w:szCs w:val="21"/>
                <w:lang w:val="en-US" w:eastAsia="zh-CN"/>
              </w:rPr>
              <w:t>t/a</w:t>
            </w:r>
          </w:p>
        </w:tc>
        <w:tc>
          <w:tcPr>
            <w:tcW w:w="1635" w:type="dxa"/>
            <w:vAlign w:val="center"/>
          </w:tcPr>
          <w:p w14:paraId="1B830720">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p>
        </w:tc>
        <w:tc>
          <w:tcPr>
            <w:tcW w:w="1848" w:type="dxa"/>
            <w:vAlign w:val="center"/>
          </w:tcPr>
          <w:p w14:paraId="739C12F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0.01</w:t>
            </w:r>
            <w:r>
              <w:rPr>
                <w:rFonts w:hint="default" w:ascii="Times New Roman" w:hAnsi="Times New Roman" w:cs="Times New Roman"/>
                <w:color w:val="auto"/>
                <w:sz w:val="21"/>
                <w:szCs w:val="21"/>
                <w:lang w:val="en-US" w:eastAsia="zh-CN"/>
              </w:rPr>
              <w:t>t/a</w:t>
            </w:r>
          </w:p>
        </w:tc>
        <w:tc>
          <w:tcPr>
            <w:tcW w:w="1063" w:type="dxa"/>
            <w:vAlign w:val="center"/>
          </w:tcPr>
          <w:p w14:paraId="7C765BFC">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r>
      <w:tr w14:paraId="468DF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2B5C0225">
            <w:pPr>
              <w:pStyle w:val="52"/>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2533" w:type="dxa"/>
            <w:vAlign w:val="center"/>
          </w:tcPr>
          <w:p w14:paraId="0C7F602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废活性炭</w:t>
            </w:r>
          </w:p>
        </w:tc>
        <w:tc>
          <w:tcPr>
            <w:tcW w:w="1525" w:type="dxa"/>
            <w:vAlign w:val="center"/>
          </w:tcPr>
          <w:p w14:paraId="52B0EF7C">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5333F3E5">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6EEF6BEC">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2B55788D">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0.12</w:t>
            </w:r>
            <w:r>
              <w:rPr>
                <w:rFonts w:hint="eastAsia" w:cs="Times New Roman"/>
                <w:color w:val="auto"/>
                <w:sz w:val="21"/>
                <w:szCs w:val="21"/>
                <w:lang w:val="en-US" w:eastAsia="zh-CN"/>
              </w:rPr>
              <w:t>t/a</w:t>
            </w:r>
          </w:p>
        </w:tc>
        <w:tc>
          <w:tcPr>
            <w:tcW w:w="1635" w:type="dxa"/>
            <w:vAlign w:val="center"/>
          </w:tcPr>
          <w:p w14:paraId="76238A2B">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848" w:type="dxa"/>
            <w:vAlign w:val="center"/>
          </w:tcPr>
          <w:p w14:paraId="16385230">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0.12</w:t>
            </w:r>
            <w:r>
              <w:rPr>
                <w:rFonts w:hint="eastAsia" w:cs="Times New Roman"/>
                <w:color w:val="auto"/>
                <w:sz w:val="21"/>
                <w:szCs w:val="21"/>
                <w:lang w:val="en-US" w:eastAsia="zh-CN"/>
              </w:rPr>
              <w:t>t/a</w:t>
            </w:r>
          </w:p>
        </w:tc>
        <w:tc>
          <w:tcPr>
            <w:tcW w:w="1063" w:type="dxa"/>
            <w:vAlign w:val="center"/>
          </w:tcPr>
          <w:p w14:paraId="6366F8EA">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r>
      <w:tr w14:paraId="5068D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57004D5C">
            <w:pPr>
              <w:pStyle w:val="52"/>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2533" w:type="dxa"/>
            <w:vAlign w:val="center"/>
          </w:tcPr>
          <w:p w14:paraId="1C64BCF6">
            <w:pPr>
              <w:keepNext w:val="0"/>
              <w:keepLines w:val="0"/>
              <w:suppressLineNumbers w:val="0"/>
              <w:spacing w:before="0" w:beforeAutospacing="0" w:after="0" w:afterAutospacing="0"/>
              <w:ind w:left="0" w:right="0"/>
              <w:jc w:val="center"/>
              <w:rPr>
                <w:rFonts w:hint="eastAsia" w:cs="Times New Roman"/>
                <w:color w:val="auto"/>
                <w:szCs w:val="21"/>
                <w:lang w:val="en-US" w:eastAsia="zh-CN"/>
              </w:rPr>
            </w:pPr>
            <w:r>
              <w:rPr>
                <w:rFonts w:hint="eastAsia" w:cs="Times New Roman"/>
                <w:color w:val="auto"/>
                <w:szCs w:val="21"/>
                <w:lang w:val="en-US" w:eastAsia="zh-CN"/>
              </w:rPr>
              <w:t>废润滑油</w:t>
            </w:r>
          </w:p>
        </w:tc>
        <w:tc>
          <w:tcPr>
            <w:tcW w:w="1525" w:type="dxa"/>
            <w:vAlign w:val="center"/>
          </w:tcPr>
          <w:p w14:paraId="30F5DE60">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3BEE9E59">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1CBAF110">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1FCCC9BC">
            <w:pPr>
              <w:keepNext w:val="0"/>
              <w:keepLines w:val="0"/>
              <w:suppressLineNumbers w:val="0"/>
              <w:spacing w:before="0" w:beforeAutospacing="0" w:after="0" w:afterAutospacing="0"/>
              <w:ind w:left="0" w:right="0"/>
              <w:jc w:val="center"/>
              <w:rPr>
                <w:rFonts w:hint="eastAsia" w:cs="Times New Roman"/>
                <w:color w:val="auto"/>
                <w:szCs w:val="21"/>
                <w:lang w:val="en-US" w:eastAsia="zh-CN"/>
              </w:rPr>
            </w:pPr>
            <w:r>
              <w:rPr>
                <w:rFonts w:hint="eastAsia" w:cs="Times New Roman"/>
                <w:color w:val="auto"/>
                <w:szCs w:val="21"/>
                <w:lang w:val="en-US" w:eastAsia="zh-CN"/>
              </w:rPr>
              <w:t>0.10</w:t>
            </w:r>
            <w:r>
              <w:rPr>
                <w:rFonts w:hint="eastAsia" w:cs="Times New Roman"/>
                <w:color w:val="auto"/>
                <w:sz w:val="21"/>
                <w:szCs w:val="21"/>
                <w:lang w:val="en-US" w:eastAsia="zh-CN"/>
              </w:rPr>
              <w:t>t/a</w:t>
            </w:r>
          </w:p>
        </w:tc>
        <w:tc>
          <w:tcPr>
            <w:tcW w:w="1635" w:type="dxa"/>
            <w:vAlign w:val="center"/>
          </w:tcPr>
          <w:p w14:paraId="7DFAC8F7">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848" w:type="dxa"/>
            <w:vAlign w:val="center"/>
          </w:tcPr>
          <w:p w14:paraId="6F321F81">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0.10</w:t>
            </w:r>
            <w:r>
              <w:rPr>
                <w:rFonts w:hint="eastAsia" w:cs="Times New Roman"/>
                <w:color w:val="auto"/>
                <w:sz w:val="21"/>
                <w:szCs w:val="21"/>
                <w:lang w:val="en-US" w:eastAsia="zh-CN"/>
              </w:rPr>
              <w:t>t/a</w:t>
            </w:r>
          </w:p>
        </w:tc>
        <w:tc>
          <w:tcPr>
            <w:tcW w:w="1063" w:type="dxa"/>
            <w:vAlign w:val="center"/>
          </w:tcPr>
          <w:p w14:paraId="5B556A90">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r>
      <w:tr w14:paraId="2E7E1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5CDBB727">
            <w:pPr>
              <w:pStyle w:val="52"/>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2533" w:type="dxa"/>
            <w:vAlign w:val="center"/>
          </w:tcPr>
          <w:p w14:paraId="72296732">
            <w:pPr>
              <w:keepNext w:val="0"/>
              <w:keepLines w:val="0"/>
              <w:suppressLineNumbers w:val="0"/>
              <w:spacing w:before="0" w:beforeAutospacing="0" w:after="0" w:afterAutospacing="0"/>
              <w:ind w:left="0" w:right="0"/>
              <w:jc w:val="center"/>
              <w:rPr>
                <w:rFonts w:hint="default" w:cs="Times New Roman"/>
                <w:color w:val="FF0000"/>
                <w:szCs w:val="21"/>
                <w:lang w:val="en-US" w:eastAsia="zh-CN"/>
              </w:rPr>
            </w:pPr>
            <w:r>
              <w:rPr>
                <w:rFonts w:hint="eastAsia" w:cs="Times New Roman"/>
                <w:color w:val="FF0000"/>
                <w:szCs w:val="21"/>
                <w:lang w:val="en-US" w:eastAsia="zh-CN"/>
              </w:rPr>
              <w:t>废润滑油桶</w:t>
            </w:r>
          </w:p>
        </w:tc>
        <w:tc>
          <w:tcPr>
            <w:tcW w:w="1525" w:type="dxa"/>
            <w:vAlign w:val="center"/>
          </w:tcPr>
          <w:p w14:paraId="030417D7">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FF0000"/>
                <w:kern w:val="21"/>
                <w:szCs w:val="21"/>
                <w:lang w:val="en-US" w:eastAsia="zh-CN"/>
              </w:rPr>
            </w:pPr>
          </w:p>
        </w:tc>
        <w:tc>
          <w:tcPr>
            <w:tcW w:w="1276" w:type="dxa"/>
            <w:vAlign w:val="center"/>
          </w:tcPr>
          <w:p w14:paraId="401B1328">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FF0000"/>
                <w:kern w:val="21"/>
                <w:szCs w:val="21"/>
              </w:rPr>
            </w:pPr>
          </w:p>
        </w:tc>
        <w:tc>
          <w:tcPr>
            <w:tcW w:w="1701" w:type="dxa"/>
            <w:vAlign w:val="center"/>
          </w:tcPr>
          <w:p w14:paraId="31F2F5B6">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FF0000"/>
                <w:kern w:val="21"/>
                <w:szCs w:val="21"/>
              </w:rPr>
            </w:pPr>
          </w:p>
        </w:tc>
        <w:tc>
          <w:tcPr>
            <w:tcW w:w="1559" w:type="dxa"/>
            <w:vAlign w:val="center"/>
          </w:tcPr>
          <w:p w14:paraId="383FB27F">
            <w:pPr>
              <w:keepNext w:val="0"/>
              <w:keepLines w:val="0"/>
              <w:suppressLineNumbers w:val="0"/>
              <w:spacing w:before="0" w:beforeAutospacing="0" w:after="0" w:afterAutospacing="0"/>
              <w:ind w:left="0" w:right="0"/>
              <w:jc w:val="center"/>
              <w:rPr>
                <w:rFonts w:hint="default" w:cs="Times New Roman"/>
                <w:color w:val="FF0000"/>
                <w:szCs w:val="21"/>
                <w:lang w:val="en-US" w:eastAsia="zh-CN"/>
              </w:rPr>
            </w:pPr>
            <w:r>
              <w:rPr>
                <w:rFonts w:hint="eastAsia" w:cs="Times New Roman"/>
                <w:color w:val="FF0000"/>
                <w:szCs w:val="21"/>
                <w:lang w:val="en-US" w:eastAsia="zh-CN"/>
              </w:rPr>
              <w:t>0.02</w:t>
            </w:r>
            <w:r>
              <w:rPr>
                <w:rFonts w:hint="eastAsia" w:cs="Times New Roman"/>
                <w:color w:val="FF0000"/>
                <w:sz w:val="21"/>
                <w:szCs w:val="21"/>
                <w:lang w:val="en-US" w:eastAsia="zh-CN"/>
              </w:rPr>
              <w:t>t/a</w:t>
            </w:r>
          </w:p>
        </w:tc>
        <w:tc>
          <w:tcPr>
            <w:tcW w:w="1635" w:type="dxa"/>
            <w:vAlign w:val="center"/>
          </w:tcPr>
          <w:p w14:paraId="7E695C16">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FF0000"/>
                <w:kern w:val="21"/>
                <w:szCs w:val="21"/>
                <w:lang w:val="en-US" w:eastAsia="zh-CN"/>
              </w:rPr>
            </w:pPr>
          </w:p>
        </w:tc>
        <w:tc>
          <w:tcPr>
            <w:tcW w:w="1848" w:type="dxa"/>
            <w:vAlign w:val="center"/>
          </w:tcPr>
          <w:p w14:paraId="54095D7E">
            <w:pPr>
              <w:keepNext w:val="0"/>
              <w:keepLines w:val="0"/>
              <w:suppressLineNumbers w:val="0"/>
              <w:spacing w:before="0" w:beforeAutospacing="0" w:after="0" w:afterAutospacing="0"/>
              <w:ind w:left="0" w:leftChars="0" w:right="0" w:rightChars="0"/>
              <w:jc w:val="center"/>
              <w:rPr>
                <w:rFonts w:hint="eastAsia" w:cs="Times New Roman"/>
                <w:color w:val="FF0000"/>
                <w:szCs w:val="21"/>
                <w:lang w:val="en-US" w:eastAsia="zh-CN"/>
              </w:rPr>
            </w:pPr>
            <w:r>
              <w:rPr>
                <w:rFonts w:hint="eastAsia" w:cs="Times New Roman"/>
                <w:color w:val="FF0000"/>
                <w:szCs w:val="21"/>
                <w:lang w:val="en-US" w:eastAsia="zh-CN"/>
              </w:rPr>
              <w:t>0.02</w:t>
            </w:r>
            <w:r>
              <w:rPr>
                <w:rFonts w:hint="eastAsia" w:cs="Times New Roman"/>
                <w:color w:val="FF0000"/>
                <w:sz w:val="21"/>
                <w:szCs w:val="21"/>
                <w:lang w:val="en-US" w:eastAsia="zh-CN"/>
              </w:rPr>
              <w:t>t/a</w:t>
            </w:r>
          </w:p>
        </w:tc>
        <w:tc>
          <w:tcPr>
            <w:tcW w:w="1063" w:type="dxa"/>
            <w:vAlign w:val="center"/>
          </w:tcPr>
          <w:p w14:paraId="407C6114">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r>
      <w:tr w14:paraId="185DE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63B05303">
            <w:pPr>
              <w:pStyle w:val="52"/>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2533" w:type="dxa"/>
            <w:vAlign w:val="center"/>
          </w:tcPr>
          <w:p w14:paraId="1D396E65">
            <w:pPr>
              <w:keepNext w:val="0"/>
              <w:keepLines w:val="0"/>
              <w:suppressLineNumbers w:val="0"/>
              <w:spacing w:before="0" w:beforeAutospacing="0" w:after="0" w:afterAutospacing="0"/>
              <w:ind w:left="0" w:right="0"/>
              <w:jc w:val="center"/>
              <w:rPr>
                <w:rFonts w:hint="default" w:cs="Times New Roman"/>
                <w:color w:val="FF0000"/>
                <w:szCs w:val="21"/>
                <w:lang w:val="en-US" w:eastAsia="zh-CN"/>
              </w:rPr>
            </w:pPr>
            <w:r>
              <w:rPr>
                <w:rFonts w:hint="eastAsia" w:cs="Times New Roman"/>
                <w:color w:val="FF0000"/>
                <w:szCs w:val="21"/>
                <w:lang w:val="en-US" w:eastAsia="zh-CN"/>
              </w:rPr>
              <w:t>废含油棉纱及手套</w:t>
            </w:r>
          </w:p>
        </w:tc>
        <w:tc>
          <w:tcPr>
            <w:tcW w:w="1525" w:type="dxa"/>
            <w:vAlign w:val="center"/>
          </w:tcPr>
          <w:p w14:paraId="55C0118D">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FF0000"/>
                <w:kern w:val="21"/>
                <w:szCs w:val="21"/>
                <w:lang w:val="en-US" w:eastAsia="zh-CN"/>
              </w:rPr>
            </w:pPr>
          </w:p>
        </w:tc>
        <w:tc>
          <w:tcPr>
            <w:tcW w:w="1276" w:type="dxa"/>
            <w:vAlign w:val="center"/>
          </w:tcPr>
          <w:p w14:paraId="0FB0B0FE">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FF0000"/>
                <w:kern w:val="21"/>
                <w:szCs w:val="21"/>
              </w:rPr>
            </w:pPr>
          </w:p>
        </w:tc>
        <w:tc>
          <w:tcPr>
            <w:tcW w:w="1701" w:type="dxa"/>
            <w:vAlign w:val="center"/>
          </w:tcPr>
          <w:p w14:paraId="1AD104C9">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FF0000"/>
                <w:kern w:val="21"/>
                <w:szCs w:val="21"/>
              </w:rPr>
            </w:pPr>
          </w:p>
        </w:tc>
        <w:tc>
          <w:tcPr>
            <w:tcW w:w="1559" w:type="dxa"/>
            <w:vAlign w:val="center"/>
          </w:tcPr>
          <w:p w14:paraId="37CA1C82">
            <w:pPr>
              <w:keepNext w:val="0"/>
              <w:keepLines w:val="0"/>
              <w:suppressLineNumbers w:val="0"/>
              <w:spacing w:before="0" w:beforeAutospacing="0" w:after="0" w:afterAutospacing="0"/>
              <w:ind w:left="0" w:right="0"/>
              <w:jc w:val="center"/>
              <w:rPr>
                <w:rFonts w:hint="default" w:cs="Times New Roman"/>
                <w:color w:val="FF0000"/>
                <w:szCs w:val="21"/>
                <w:lang w:val="en-US" w:eastAsia="zh-CN"/>
              </w:rPr>
            </w:pPr>
            <w:r>
              <w:rPr>
                <w:rFonts w:hint="eastAsia" w:cs="Times New Roman"/>
                <w:color w:val="FF0000"/>
                <w:szCs w:val="21"/>
                <w:lang w:val="en-US" w:eastAsia="zh-CN"/>
              </w:rPr>
              <w:t>0.05</w:t>
            </w:r>
            <w:r>
              <w:rPr>
                <w:rFonts w:hint="eastAsia" w:cs="Times New Roman"/>
                <w:color w:val="FF0000"/>
                <w:sz w:val="21"/>
                <w:szCs w:val="21"/>
                <w:lang w:val="en-US" w:eastAsia="zh-CN"/>
              </w:rPr>
              <w:t>t/a</w:t>
            </w:r>
          </w:p>
        </w:tc>
        <w:tc>
          <w:tcPr>
            <w:tcW w:w="1635" w:type="dxa"/>
            <w:vAlign w:val="center"/>
          </w:tcPr>
          <w:p w14:paraId="62C31368">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FF0000"/>
                <w:kern w:val="21"/>
                <w:szCs w:val="21"/>
                <w:lang w:val="en-US" w:eastAsia="zh-CN"/>
              </w:rPr>
            </w:pPr>
          </w:p>
        </w:tc>
        <w:tc>
          <w:tcPr>
            <w:tcW w:w="1848" w:type="dxa"/>
            <w:vAlign w:val="center"/>
          </w:tcPr>
          <w:p w14:paraId="2A1FEE2B">
            <w:pPr>
              <w:keepNext w:val="0"/>
              <w:keepLines w:val="0"/>
              <w:suppressLineNumbers w:val="0"/>
              <w:spacing w:before="0" w:beforeAutospacing="0" w:after="0" w:afterAutospacing="0"/>
              <w:ind w:left="0" w:leftChars="0" w:right="0" w:rightChars="0"/>
              <w:jc w:val="center"/>
              <w:rPr>
                <w:rFonts w:hint="eastAsia" w:cs="Times New Roman"/>
                <w:color w:val="FF0000"/>
                <w:szCs w:val="21"/>
                <w:lang w:val="en-US" w:eastAsia="zh-CN"/>
              </w:rPr>
            </w:pPr>
            <w:r>
              <w:rPr>
                <w:rFonts w:hint="eastAsia" w:cs="Times New Roman"/>
                <w:color w:val="FF0000"/>
                <w:szCs w:val="21"/>
                <w:lang w:val="en-US" w:eastAsia="zh-CN"/>
              </w:rPr>
              <w:t>0.05</w:t>
            </w:r>
            <w:r>
              <w:rPr>
                <w:rFonts w:hint="eastAsia" w:cs="Times New Roman"/>
                <w:color w:val="FF0000"/>
                <w:sz w:val="21"/>
                <w:szCs w:val="21"/>
                <w:lang w:val="en-US" w:eastAsia="zh-CN"/>
              </w:rPr>
              <w:t>t/a</w:t>
            </w:r>
          </w:p>
        </w:tc>
        <w:tc>
          <w:tcPr>
            <w:tcW w:w="1063" w:type="dxa"/>
            <w:vAlign w:val="center"/>
          </w:tcPr>
          <w:p w14:paraId="701DDC18">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r>
      <w:tr w14:paraId="01461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Merge w:val="continue"/>
            <w:vAlign w:val="center"/>
          </w:tcPr>
          <w:p w14:paraId="50C3BE31">
            <w:pPr>
              <w:pStyle w:val="52"/>
              <w:keepNext w:val="0"/>
              <w:keepLines w:val="0"/>
              <w:suppressLineNumbers w:val="0"/>
              <w:spacing w:before="24" w:beforeAutospacing="0" w:after="24" w:afterAutospacing="0" w:line="240" w:lineRule="auto"/>
              <w:ind w:left="0" w:right="0"/>
              <w:rPr>
                <w:rFonts w:hint="default" w:ascii="Times New Roman" w:hAnsi="Times New Roman" w:cs="Times New Roman"/>
                <w:snapToGrid w:val="0"/>
                <w:color w:val="auto"/>
                <w:kern w:val="21"/>
                <w:szCs w:val="21"/>
              </w:rPr>
            </w:pPr>
          </w:p>
        </w:tc>
        <w:tc>
          <w:tcPr>
            <w:tcW w:w="2533" w:type="dxa"/>
            <w:vAlign w:val="center"/>
          </w:tcPr>
          <w:p w14:paraId="5A3D265A">
            <w:pPr>
              <w:keepNext w:val="0"/>
              <w:keepLines w:val="0"/>
              <w:suppressLineNumbers w:val="0"/>
              <w:spacing w:before="0" w:beforeAutospacing="0" w:after="0" w:afterAutospacing="0"/>
              <w:ind w:left="0" w:right="0"/>
              <w:jc w:val="center"/>
              <w:rPr>
                <w:rFonts w:hint="default" w:cs="Times New Roman"/>
                <w:color w:val="FF0000"/>
                <w:szCs w:val="21"/>
                <w:lang w:val="en-US" w:eastAsia="zh-CN"/>
              </w:rPr>
            </w:pPr>
            <w:r>
              <w:rPr>
                <w:rFonts w:hint="eastAsia" w:cs="Times New Roman"/>
                <w:color w:val="FF0000"/>
                <w:szCs w:val="21"/>
                <w:lang w:val="en-US" w:eastAsia="zh-CN"/>
              </w:rPr>
              <w:t>污水处理站污泥</w:t>
            </w:r>
          </w:p>
        </w:tc>
        <w:tc>
          <w:tcPr>
            <w:tcW w:w="1525" w:type="dxa"/>
            <w:vAlign w:val="center"/>
          </w:tcPr>
          <w:p w14:paraId="29AEC2BF">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FF0000"/>
                <w:kern w:val="21"/>
                <w:szCs w:val="21"/>
                <w:lang w:val="en-US" w:eastAsia="zh-CN"/>
              </w:rPr>
            </w:pPr>
          </w:p>
        </w:tc>
        <w:tc>
          <w:tcPr>
            <w:tcW w:w="1276" w:type="dxa"/>
            <w:vAlign w:val="center"/>
          </w:tcPr>
          <w:p w14:paraId="56A03204">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FF0000"/>
                <w:kern w:val="21"/>
                <w:szCs w:val="21"/>
              </w:rPr>
            </w:pPr>
          </w:p>
        </w:tc>
        <w:tc>
          <w:tcPr>
            <w:tcW w:w="1701" w:type="dxa"/>
            <w:vAlign w:val="center"/>
          </w:tcPr>
          <w:p w14:paraId="2C6230AD">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FF0000"/>
                <w:kern w:val="21"/>
                <w:szCs w:val="21"/>
              </w:rPr>
            </w:pPr>
          </w:p>
        </w:tc>
        <w:tc>
          <w:tcPr>
            <w:tcW w:w="1559" w:type="dxa"/>
            <w:vAlign w:val="center"/>
          </w:tcPr>
          <w:p w14:paraId="126AD823">
            <w:pPr>
              <w:keepNext w:val="0"/>
              <w:keepLines w:val="0"/>
              <w:suppressLineNumbers w:val="0"/>
              <w:spacing w:before="0" w:beforeAutospacing="0" w:after="0" w:afterAutospacing="0"/>
              <w:ind w:left="0" w:right="0"/>
              <w:jc w:val="center"/>
              <w:rPr>
                <w:rFonts w:hint="default" w:cs="Times New Roman"/>
                <w:color w:val="FF0000"/>
                <w:szCs w:val="21"/>
                <w:lang w:val="en-US" w:eastAsia="zh-CN"/>
              </w:rPr>
            </w:pPr>
            <w:r>
              <w:rPr>
                <w:rFonts w:hint="eastAsia" w:cs="Times New Roman"/>
                <w:color w:val="FF0000"/>
                <w:szCs w:val="21"/>
                <w:lang w:val="en-US" w:eastAsia="zh-CN"/>
              </w:rPr>
              <w:t>0.027</w:t>
            </w:r>
            <w:r>
              <w:rPr>
                <w:rFonts w:hint="eastAsia" w:cs="Times New Roman"/>
                <w:color w:val="FF0000"/>
                <w:sz w:val="21"/>
                <w:szCs w:val="21"/>
                <w:lang w:val="en-US" w:eastAsia="zh-CN"/>
              </w:rPr>
              <w:t>t/a</w:t>
            </w:r>
          </w:p>
        </w:tc>
        <w:tc>
          <w:tcPr>
            <w:tcW w:w="1635" w:type="dxa"/>
            <w:vAlign w:val="center"/>
          </w:tcPr>
          <w:p w14:paraId="121A239E">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FF0000"/>
                <w:kern w:val="21"/>
                <w:szCs w:val="21"/>
                <w:lang w:val="en-US" w:eastAsia="zh-CN"/>
              </w:rPr>
            </w:pPr>
          </w:p>
        </w:tc>
        <w:tc>
          <w:tcPr>
            <w:tcW w:w="1848" w:type="dxa"/>
            <w:vAlign w:val="center"/>
          </w:tcPr>
          <w:p w14:paraId="791242FF">
            <w:pPr>
              <w:keepNext w:val="0"/>
              <w:keepLines w:val="0"/>
              <w:suppressLineNumbers w:val="0"/>
              <w:spacing w:before="0" w:beforeAutospacing="0" w:after="0" w:afterAutospacing="0"/>
              <w:ind w:left="0" w:leftChars="0" w:right="0" w:rightChars="0"/>
              <w:jc w:val="center"/>
              <w:rPr>
                <w:rFonts w:hint="eastAsia" w:cs="Times New Roman"/>
                <w:color w:val="FF0000"/>
                <w:szCs w:val="21"/>
                <w:lang w:val="en-US" w:eastAsia="zh-CN"/>
              </w:rPr>
            </w:pPr>
            <w:r>
              <w:rPr>
                <w:rFonts w:hint="eastAsia" w:cs="Times New Roman"/>
                <w:color w:val="FF0000"/>
                <w:szCs w:val="21"/>
                <w:lang w:val="en-US" w:eastAsia="zh-CN"/>
              </w:rPr>
              <w:t>0.027</w:t>
            </w:r>
            <w:r>
              <w:rPr>
                <w:rFonts w:hint="eastAsia" w:cs="Times New Roman"/>
                <w:color w:val="FF0000"/>
                <w:sz w:val="21"/>
                <w:szCs w:val="21"/>
                <w:lang w:val="en-US" w:eastAsia="zh-CN"/>
              </w:rPr>
              <w:t>t/a</w:t>
            </w:r>
          </w:p>
        </w:tc>
        <w:tc>
          <w:tcPr>
            <w:tcW w:w="1063" w:type="dxa"/>
            <w:vAlign w:val="center"/>
          </w:tcPr>
          <w:p w14:paraId="047AFEB3">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r>
      <w:tr w14:paraId="3FCA8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17" w:type="dxa"/>
            <w:vAlign w:val="center"/>
          </w:tcPr>
          <w:p w14:paraId="2261A0A2">
            <w:pPr>
              <w:pStyle w:val="52"/>
              <w:keepNext w:val="0"/>
              <w:keepLines w:val="0"/>
              <w:suppressLineNumbers w:val="0"/>
              <w:spacing w:before="24" w:beforeAutospacing="0" w:after="24"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固体废物</w:t>
            </w:r>
          </w:p>
        </w:tc>
        <w:tc>
          <w:tcPr>
            <w:tcW w:w="2533" w:type="dxa"/>
            <w:vAlign w:val="center"/>
          </w:tcPr>
          <w:p w14:paraId="124600F8">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生活垃圾</w:t>
            </w:r>
          </w:p>
        </w:tc>
        <w:tc>
          <w:tcPr>
            <w:tcW w:w="1525" w:type="dxa"/>
            <w:vAlign w:val="center"/>
          </w:tcPr>
          <w:p w14:paraId="15776D09">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276" w:type="dxa"/>
            <w:vAlign w:val="center"/>
          </w:tcPr>
          <w:p w14:paraId="1C5F432F">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701" w:type="dxa"/>
            <w:vAlign w:val="center"/>
          </w:tcPr>
          <w:p w14:paraId="29CFA189">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rPr>
            </w:pPr>
          </w:p>
        </w:tc>
        <w:tc>
          <w:tcPr>
            <w:tcW w:w="1559" w:type="dxa"/>
            <w:vAlign w:val="center"/>
          </w:tcPr>
          <w:p w14:paraId="553CBB2C">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75</w:t>
            </w:r>
            <w:r>
              <w:rPr>
                <w:rFonts w:hint="eastAsia" w:cs="Times New Roman"/>
                <w:color w:val="auto"/>
                <w:sz w:val="21"/>
                <w:szCs w:val="21"/>
                <w:lang w:val="en-US" w:eastAsia="zh-CN"/>
              </w:rPr>
              <w:t>t/a</w:t>
            </w:r>
          </w:p>
        </w:tc>
        <w:tc>
          <w:tcPr>
            <w:tcW w:w="1635" w:type="dxa"/>
            <w:vAlign w:val="center"/>
          </w:tcPr>
          <w:p w14:paraId="742F7266">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lang w:val="en-US" w:eastAsia="zh-CN"/>
              </w:rPr>
            </w:pPr>
          </w:p>
        </w:tc>
        <w:tc>
          <w:tcPr>
            <w:tcW w:w="1848" w:type="dxa"/>
            <w:vAlign w:val="center"/>
          </w:tcPr>
          <w:p w14:paraId="6558E364">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sz w:val="21"/>
                <w:szCs w:val="21"/>
                <w:lang w:val="en-US" w:eastAsia="zh-CN"/>
              </w:rPr>
              <w:t>t/a</w:t>
            </w:r>
          </w:p>
        </w:tc>
        <w:tc>
          <w:tcPr>
            <w:tcW w:w="1063" w:type="dxa"/>
            <w:vAlign w:val="center"/>
          </w:tcPr>
          <w:p w14:paraId="1F97A11F">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r>
    </w:tbl>
    <w:p w14:paraId="1C901683">
      <w:pPr>
        <w:pStyle w:val="52"/>
        <w:spacing w:before="192" w:beforeLines="80" w:after="24"/>
        <w:jc w:val="left"/>
        <w:rPr>
          <w:rFonts w:hint="default" w:ascii="Times New Roman" w:hAnsi="Times New Roman" w:eastAsia="黑体" w:cs="Times New Roman"/>
          <w:color w:val="auto"/>
          <w:kern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6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⑥</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1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①</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3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③</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4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④</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5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⑤</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7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⑦</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6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⑥</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1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color w:val="auto"/>
          <w:kern w:val="21"/>
          <w:szCs w:val="21"/>
        </w:rPr>
        <w:t>①</w:t>
      </w:r>
      <w:r>
        <w:rPr>
          <w:rFonts w:hint="default" w:ascii="Times New Roman" w:hAnsi="Times New Roman" w:cs="Times New Roman"/>
          <w:snapToGrid w:val="0"/>
          <w:color w:val="auto"/>
          <w:kern w:val="21"/>
          <w:szCs w:val="21"/>
        </w:rPr>
        <w:fldChar w:fldCharType="end"/>
      </w:r>
    </w:p>
    <w:sectPr>
      <w:footerReference r:id="rId7" w:type="default"/>
      <w:type w:val="nextColumn"/>
      <w:pgSz w:w="16838" w:h="11906" w:orient="landscape"/>
      <w:pgMar w:top="1134" w:right="1134" w:bottom="1077" w:left="1134" w:header="851"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C949D9-880E-4F68-9BE2-B506C4FB21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9312174-9891-4F17-9A93-F940CDE8108A}"/>
  </w:font>
  <w:font w:name="方正仿宋_GB2312">
    <w:panose1 w:val="02000000000000000000"/>
    <w:charset w:val="86"/>
    <w:family w:val="auto"/>
    <w:pitch w:val="default"/>
    <w:sig w:usb0="A00002BF" w:usb1="184F6CFA" w:usb2="00000012" w:usb3="00000000" w:csb0="00040001" w:csb1="00000000"/>
    <w:embedRegular r:id="rId3" w:fontKey="{307BD56E-CB32-4B7C-9101-1555C2CCD394}"/>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Noto Sans CJK JP Regular">
    <w:altName w:val="Calibri"/>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4" w:fontKey="{02876D33-C637-4B4C-8EF5-2579F1EEED11}"/>
  </w:font>
  <w:font w:name="方正小标宋_GBK">
    <w:panose1 w:val="02000000000000000000"/>
    <w:charset w:val="86"/>
    <w:family w:val="script"/>
    <w:pitch w:val="default"/>
    <w:sig w:usb0="A00002BF" w:usb1="38CF7CFA" w:usb2="00082016" w:usb3="00000000" w:csb0="00040001" w:csb1="00000000"/>
    <w:embedRegular r:id="rId5" w:fontKey="{0CDC86F6-537C-4FE4-9F9A-2585682B02FB}"/>
  </w:font>
  <w:font w:name="仿宋">
    <w:panose1 w:val="02010609060101010101"/>
    <w:charset w:val="86"/>
    <w:family w:val="auto"/>
    <w:pitch w:val="default"/>
    <w:sig w:usb0="800002BF" w:usb1="38CF7CFA" w:usb2="00000016" w:usb3="00000000" w:csb0="00040001" w:csb1="00000000"/>
    <w:embedRegular r:id="rId6" w:fontKey="{BC62428F-0444-46B9-BA87-8E8D1773F393}"/>
  </w:font>
  <w:font w:name="楷体_GB2312">
    <w:panose1 w:val="02010609030101010101"/>
    <w:charset w:val="86"/>
    <w:family w:val="modern"/>
    <w:pitch w:val="default"/>
    <w:sig w:usb0="00000001" w:usb1="080E0000" w:usb2="00000000" w:usb3="00000000" w:csb0="00040000" w:csb1="00000000"/>
    <w:embedRegular r:id="rId7" w:fontKey="{F6E2E6CF-1F12-4295-B92E-434D078942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D2D0E">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9FC65">
    <w:pPr>
      <w:tabs>
        <w:tab w:val="center" w:pos="4153"/>
        <w:tab w:val="right" w:pos="8306"/>
      </w:tabs>
      <w:jc w:val="center"/>
    </w:pPr>
    <w:r>
      <w:fldChar w:fldCharType="begin"/>
    </w:r>
    <w:r>
      <w:instrText xml:space="preserve">PAGE   \* MERGEFORMAT</w:instrText>
    </w:r>
    <w:r>
      <w:fldChar w:fldCharType="separate"/>
    </w:r>
    <w:r>
      <w:rPr>
        <w:lang w:val="zh-CN"/>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816B">
    <w:pPr>
      <w:tabs>
        <w:tab w:val="center" w:pos="4153"/>
        <w:tab w:val="right" w:pos="8306"/>
      </w:tabs>
      <w:jc w:val="center"/>
    </w:pPr>
    <w:r>
      <w:fldChar w:fldCharType="begin"/>
    </w:r>
    <w:r>
      <w:instrText xml:space="preserve">PAGE   \* MERGEFORMAT</w:instrText>
    </w:r>
    <w:r>
      <w:fldChar w:fldCharType="separate"/>
    </w:r>
    <w:r>
      <w:rPr>
        <w:lang w:val="zh-CN"/>
      </w:rPr>
      <w:t>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095BB">
    <w:pPr>
      <w:tabs>
        <w:tab w:val="center" w:pos="4153"/>
        <w:tab w:val="right" w:pos="8306"/>
      </w:tabs>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07B1D4EA">
                          <w:pPr>
                            <w:tabs>
                              <w:tab w:val="center" w:pos="4153"/>
                              <w:tab w:val="right" w:pos="8306"/>
                            </w:tabs>
                          </w:pPr>
                          <w:r>
                            <w:fldChar w:fldCharType="begin"/>
                          </w:r>
                          <w:r>
                            <w:instrText xml:space="preserve"> PAGE  \* MERGEFORMAT </w:instrText>
                          </w:r>
                          <w:r>
                            <w:fldChar w:fldCharType="separate"/>
                          </w:r>
                          <w:r>
                            <w:t>43</w:t>
                          </w:r>
                          <w:r>
                            <w:fldChar w:fldCharType="end"/>
                          </w: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D/wgy9CgIAAAIEAAAOAAAAAAAAAAEAIAAAAB8BAABk&#10;cnMvZTJvRG9jLnhtbFBLBQYAAAAABgAGAFkBAACbBQAAAAA=&#10;">
              <v:fill on="f" focussize="0,0"/>
              <v:stroke on="f"/>
              <v:imagedata o:title=""/>
              <o:lock v:ext="edit" aspectratio="f"/>
              <v:textbox inset="0mm,0mm,0mm,0mm" style="mso-fit-shape-to-text:t;">
                <w:txbxContent>
                  <w:p w14:paraId="07B1D4EA">
                    <w:pPr>
                      <w:tabs>
                        <w:tab w:val="center" w:pos="4153"/>
                        <w:tab w:val="right" w:pos="8306"/>
                      </w:tabs>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0413E">
    <w:pPr>
      <w:tabs>
        <w:tab w:val="center" w:pos="4153"/>
        <w:tab w:val="right" w:pos="8306"/>
      </w:tabs>
      <w:jc w:val="center"/>
    </w:pPr>
    <w:r>
      <w:fldChar w:fldCharType="begin"/>
    </w:r>
    <w:r>
      <w:instrText xml:space="preserve">PAGE   \* MERGEFORMAT</w:instrText>
    </w:r>
    <w:r>
      <w:fldChar w:fldCharType="separate"/>
    </w:r>
    <w:r>
      <w:rPr>
        <w:lang w:val="zh-CN"/>
      </w:rPr>
      <w:t>59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51B37"/>
    <w:multiLevelType w:val="singleLevel"/>
    <w:tmpl w:val="A5C51B37"/>
    <w:lvl w:ilvl="0" w:tentative="0">
      <w:start w:val="1"/>
      <w:numFmt w:val="decimal"/>
      <w:suff w:val="nothing"/>
      <w:lvlText w:val="表4-%1"/>
      <w:lvlJc w:val="left"/>
      <w:pPr>
        <w:tabs>
          <w:tab w:val="left" w:pos="0"/>
        </w:tabs>
      </w:pPr>
      <w:rPr>
        <w:rFonts w:hint="default" w:ascii="Times New Roman" w:hAnsi="Times New Roman" w:eastAsia="宋体" w:cs="宋体"/>
        <w:vertAlign w:val="baseline"/>
      </w:rPr>
    </w:lvl>
  </w:abstractNum>
  <w:abstractNum w:abstractNumId="1">
    <w:nsid w:val="C44D98DF"/>
    <w:multiLevelType w:val="singleLevel"/>
    <w:tmpl w:val="C44D98DF"/>
    <w:lvl w:ilvl="0" w:tentative="0">
      <w:start w:val="1"/>
      <w:numFmt w:val="decimal"/>
      <w:suff w:val="nothing"/>
      <w:lvlText w:val="（%1）"/>
      <w:lvlJc w:val="left"/>
    </w:lvl>
  </w:abstractNum>
  <w:abstractNum w:abstractNumId="2">
    <w:nsid w:val="C8E3AF59"/>
    <w:multiLevelType w:val="singleLevel"/>
    <w:tmpl w:val="C8E3AF59"/>
    <w:lvl w:ilvl="0" w:tentative="0">
      <w:start w:val="2"/>
      <w:numFmt w:val="decimal"/>
      <w:suff w:val="nothing"/>
      <w:lvlText w:val="（%1）"/>
      <w:lvlJc w:val="left"/>
    </w:lvl>
  </w:abstractNum>
  <w:abstractNum w:abstractNumId="3">
    <w:nsid w:val="CB4A35E0"/>
    <w:multiLevelType w:val="singleLevel"/>
    <w:tmpl w:val="CB4A35E0"/>
    <w:lvl w:ilvl="0" w:tentative="0">
      <w:start w:val="2"/>
      <w:numFmt w:val="decimal"/>
      <w:suff w:val="nothing"/>
      <w:lvlText w:val="（%1）"/>
      <w:lvlJc w:val="left"/>
    </w:lvl>
  </w:abstractNum>
  <w:abstractNum w:abstractNumId="4">
    <w:nsid w:val="E47C904B"/>
    <w:multiLevelType w:val="singleLevel"/>
    <w:tmpl w:val="E47C904B"/>
    <w:lvl w:ilvl="0" w:tentative="0">
      <w:start w:val="1"/>
      <w:numFmt w:val="decimal"/>
      <w:suff w:val="nothing"/>
      <w:lvlText w:val="%1、"/>
      <w:lvlJc w:val="left"/>
    </w:lvl>
  </w:abstractNum>
  <w:abstractNum w:abstractNumId="5">
    <w:nsid w:val="EFF3314C"/>
    <w:multiLevelType w:val="singleLevel"/>
    <w:tmpl w:val="EFF3314C"/>
    <w:lvl w:ilvl="0" w:tentative="0">
      <w:start w:val="1"/>
      <w:numFmt w:val="upperLetter"/>
      <w:lvlText w:val="%1."/>
      <w:lvlJc w:val="left"/>
      <w:pPr>
        <w:tabs>
          <w:tab w:val="left" w:pos="312"/>
        </w:tabs>
      </w:pPr>
    </w:lvl>
  </w:abstractNum>
  <w:abstractNum w:abstractNumId="6">
    <w:nsid w:val="08CF7718"/>
    <w:multiLevelType w:val="singleLevel"/>
    <w:tmpl w:val="08CF7718"/>
    <w:lvl w:ilvl="0" w:tentative="0">
      <w:start w:val="1"/>
      <w:numFmt w:val="decimal"/>
      <w:suff w:val="nothing"/>
      <w:lvlText w:val="（%1）"/>
      <w:lvlJc w:val="left"/>
    </w:lvl>
  </w:abstractNum>
  <w:abstractNum w:abstractNumId="7">
    <w:nsid w:val="31E604B8"/>
    <w:multiLevelType w:val="singleLevel"/>
    <w:tmpl w:val="31E604B8"/>
    <w:lvl w:ilvl="0" w:tentative="0">
      <w:start w:val="2"/>
      <w:numFmt w:val="decimal"/>
      <w:suff w:val="nothing"/>
      <w:lvlText w:val="（%1）"/>
      <w:lvlJc w:val="left"/>
    </w:lvl>
  </w:abstractNum>
  <w:abstractNum w:abstractNumId="8">
    <w:nsid w:val="4D9389C6"/>
    <w:multiLevelType w:val="singleLevel"/>
    <w:tmpl w:val="4D9389C6"/>
    <w:lvl w:ilvl="0" w:tentative="0">
      <w:start w:val="1"/>
      <w:numFmt w:val="decimal"/>
      <w:suff w:val="nothing"/>
      <w:lvlText w:val="%1、"/>
      <w:lvlJc w:val="left"/>
    </w:lvl>
  </w:abstractNum>
  <w:abstractNum w:abstractNumId="9">
    <w:nsid w:val="4E66CF98"/>
    <w:multiLevelType w:val="singleLevel"/>
    <w:tmpl w:val="4E66CF98"/>
    <w:lvl w:ilvl="0" w:tentative="0">
      <w:start w:val="1"/>
      <w:numFmt w:val="decimal"/>
      <w:suff w:val="nothing"/>
      <w:lvlText w:val="（%1）"/>
      <w:lvlJc w:val="left"/>
    </w:lvl>
  </w:abstractNum>
  <w:abstractNum w:abstractNumId="10">
    <w:nsid w:val="5637E397"/>
    <w:multiLevelType w:val="singleLevel"/>
    <w:tmpl w:val="5637E397"/>
    <w:lvl w:ilvl="0" w:tentative="0">
      <w:start w:val="1"/>
      <w:numFmt w:val="upperLetter"/>
      <w:lvlText w:val="%1."/>
      <w:lvlJc w:val="left"/>
      <w:pPr>
        <w:tabs>
          <w:tab w:val="left" w:pos="312"/>
        </w:tabs>
      </w:pPr>
    </w:lvl>
  </w:abstractNum>
  <w:abstractNum w:abstractNumId="11">
    <w:nsid w:val="58C3B671"/>
    <w:multiLevelType w:val="singleLevel"/>
    <w:tmpl w:val="58C3B671"/>
    <w:lvl w:ilvl="0" w:tentative="0">
      <w:start w:val="1"/>
      <w:numFmt w:val="decimal"/>
      <w:suff w:val="nothing"/>
      <w:lvlText w:val="%1、"/>
      <w:lvlJc w:val="left"/>
    </w:lvl>
  </w:abstractNum>
  <w:abstractNum w:abstractNumId="12">
    <w:nsid w:val="61197D43"/>
    <w:multiLevelType w:val="multilevel"/>
    <w:tmpl w:val="61197D43"/>
    <w:lvl w:ilvl="0" w:tentative="0">
      <w:start w:val="1"/>
      <w:numFmt w:val="decimal"/>
      <w:suff w:val="nothing"/>
      <w:lvlText w:val="表3-%1"/>
      <w:lvlJc w:val="left"/>
      <w:pPr>
        <w:tabs>
          <w:tab w:val="left" w:pos="0"/>
        </w:tabs>
      </w:pPr>
      <w:rPr>
        <w:rFonts w:hint="default" w:ascii="Times New Roman" w:hAnsi="Times New Roman" w:eastAsia="宋体" w:cs="宋体"/>
        <w:b/>
        <w:bCs/>
        <w:sz w:val="21"/>
        <w:szCs w:val="21"/>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3">
    <w:nsid w:val="66E23302"/>
    <w:multiLevelType w:val="singleLevel"/>
    <w:tmpl w:val="66E23302"/>
    <w:lvl w:ilvl="0" w:tentative="0">
      <w:start w:val="2"/>
      <w:numFmt w:val="chineseCounting"/>
      <w:suff w:val="nothing"/>
      <w:lvlText w:val="%1、"/>
      <w:lvlJc w:val="left"/>
      <w:rPr>
        <w:rFonts w:hint="eastAsia"/>
      </w:rPr>
    </w:lvl>
  </w:abstractNum>
  <w:abstractNum w:abstractNumId="14">
    <w:nsid w:val="7C1DA0EF"/>
    <w:multiLevelType w:val="multilevel"/>
    <w:tmpl w:val="7C1DA0EF"/>
    <w:lvl w:ilvl="0" w:tentative="0">
      <w:start w:val="1"/>
      <w:numFmt w:val="decimal"/>
      <w:lvlText w:val="图2-%1"/>
      <w:lvlJc w:val="left"/>
      <w:pPr>
        <w:ind w:left="425" w:hanging="425"/>
      </w:pPr>
      <w:rPr>
        <w:rFonts w:hint="default" w:ascii="宋体" w:hAnsi="宋体" w:eastAsia="宋体" w:cs="宋体"/>
      </w:rPr>
    </w:lvl>
    <w:lvl w:ilvl="1" w:tentative="0">
      <w:start w:val="1"/>
      <w:numFmt w:val="none"/>
      <w:lvlText w:val="1"/>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8"/>
  </w:num>
  <w:num w:numId="3">
    <w:abstractNumId w:val="13"/>
  </w:num>
  <w:num w:numId="4">
    <w:abstractNumId w:val="11"/>
  </w:num>
  <w:num w:numId="5">
    <w:abstractNumId w:val="5"/>
  </w:num>
  <w:num w:numId="6">
    <w:abstractNumId w:val="10"/>
  </w:num>
  <w:num w:numId="7">
    <w:abstractNumId w:val="14"/>
  </w:num>
  <w:num w:numId="8">
    <w:abstractNumId w:val="3"/>
  </w:num>
  <w:num w:numId="9">
    <w:abstractNumId w:val="12"/>
  </w:num>
  <w:num w:numId="10">
    <w:abstractNumId w:val="7"/>
  </w:num>
  <w:num w:numId="11">
    <w:abstractNumId w:val="6"/>
  </w:num>
  <w:num w:numId="12">
    <w:abstractNumId w:val="0"/>
  </w:num>
  <w:num w:numId="13">
    <w:abstractNumId w:val="1"/>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MWZlZDRlNWNhNjljZGY4YjQ5NjRjNTYzMTJjODkifQ=="/>
    <w:docVar w:name="KSO_WPS_MARK_KEY" w:val="69f686ac-82b2-4369-aa16-933e5ee3a44c"/>
  </w:docVars>
  <w:rsids>
    <w:rsidRoot w:val="00172A27"/>
    <w:rsid w:val="000000CB"/>
    <w:rsid w:val="000001F7"/>
    <w:rsid w:val="00000A82"/>
    <w:rsid w:val="00000B0F"/>
    <w:rsid w:val="00000CD8"/>
    <w:rsid w:val="00000DE5"/>
    <w:rsid w:val="000010CA"/>
    <w:rsid w:val="000011D5"/>
    <w:rsid w:val="00001212"/>
    <w:rsid w:val="00001521"/>
    <w:rsid w:val="00001698"/>
    <w:rsid w:val="0000173D"/>
    <w:rsid w:val="000018D1"/>
    <w:rsid w:val="00001DC2"/>
    <w:rsid w:val="0000213F"/>
    <w:rsid w:val="0000367A"/>
    <w:rsid w:val="00004003"/>
    <w:rsid w:val="0000471F"/>
    <w:rsid w:val="00004922"/>
    <w:rsid w:val="00004D0D"/>
    <w:rsid w:val="00004EEE"/>
    <w:rsid w:val="00005392"/>
    <w:rsid w:val="00005CEE"/>
    <w:rsid w:val="000060B3"/>
    <w:rsid w:val="0000633E"/>
    <w:rsid w:val="000067A5"/>
    <w:rsid w:val="000072C5"/>
    <w:rsid w:val="00007937"/>
    <w:rsid w:val="00007E04"/>
    <w:rsid w:val="00010345"/>
    <w:rsid w:val="000112BC"/>
    <w:rsid w:val="00011480"/>
    <w:rsid w:val="00011624"/>
    <w:rsid w:val="00012611"/>
    <w:rsid w:val="000136C2"/>
    <w:rsid w:val="00013767"/>
    <w:rsid w:val="0001403A"/>
    <w:rsid w:val="00014A6E"/>
    <w:rsid w:val="00014B19"/>
    <w:rsid w:val="00014E3F"/>
    <w:rsid w:val="00015CCA"/>
    <w:rsid w:val="00016E7B"/>
    <w:rsid w:val="0001702D"/>
    <w:rsid w:val="00017554"/>
    <w:rsid w:val="00017A88"/>
    <w:rsid w:val="000208DB"/>
    <w:rsid w:val="00020CD7"/>
    <w:rsid w:val="00020E7B"/>
    <w:rsid w:val="00022B26"/>
    <w:rsid w:val="000231E0"/>
    <w:rsid w:val="0002330F"/>
    <w:rsid w:val="00023429"/>
    <w:rsid w:val="00023D3D"/>
    <w:rsid w:val="00023D7F"/>
    <w:rsid w:val="00025322"/>
    <w:rsid w:val="000255BF"/>
    <w:rsid w:val="000256E3"/>
    <w:rsid w:val="00025DBE"/>
    <w:rsid w:val="00025F45"/>
    <w:rsid w:val="00026D81"/>
    <w:rsid w:val="0002735B"/>
    <w:rsid w:val="00027713"/>
    <w:rsid w:val="000277C1"/>
    <w:rsid w:val="00027FC1"/>
    <w:rsid w:val="000301F3"/>
    <w:rsid w:val="00030A3C"/>
    <w:rsid w:val="00030A9B"/>
    <w:rsid w:val="000324E1"/>
    <w:rsid w:val="00033878"/>
    <w:rsid w:val="0003548D"/>
    <w:rsid w:val="00036877"/>
    <w:rsid w:val="000370B5"/>
    <w:rsid w:val="00037A5C"/>
    <w:rsid w:val="00037F71"/>
    <w:rsid w:val="00040102"/>
    <w:rsid w:val="00040603"/>
    <w:rsid w:val="0004071E"/>
    <w:rsid w:val="00040C8D"/>
    <w:rsid w:val="0004168F"/>
    <w:rsid w:val="000419FD"/>
    <w:rsid w:val="0004292A"/>
    <w:rsid w:val="0004364B"/>
    <w:rsid w:val="000445AA"/>
    <w:rsid w:val="0004469C"/>
    <w:rsid w:val="00044702"/>
    <w:rsid w:val="00044EC6"/>
    <w:rsid w:val="00045196"/>
    <w:rsid w:val="000453B8"/>
    <w:rsid w:val="0004622D"/>
    <w:rsid w:val="00046C55"/>
    <w:rsid w:val="00046F66"/>
    <w:rsid w:val="00047659"/>
    <w:rsid w:val="00047770"/>
    <w:rsid w:val="00050B34"/>
    <w:rsid w:val="000510D2"/>
    <w:rsid w:val="00051D65"/>
    <w:rsid w:val="0005203E"/>
    <w:rsid w:val="00052856"/>
    <w:rsid w:val="000538A7"/>
    <w:rsid w:val="00053A80"/>
    <w:rsid w:val="00053E00"/>
    <w:rsid w:val="00053EE1"/>
    <w:rsid w:val="00054037"/>
    <w:rsid w:val="0005494C"/>
    <w:rsid w:val="0005577B"/>
    <w:rsid w:val="000560CC"/>
    <w:rsid w:val="00056296"/>
    <w:rsid w:val="00056BB7"/>
    <w:rsid w:val="000571BB"/>
    <w:rsid w:val="00057C3C"/>
    <w:rsid w:val="00057FD3"/>
    <w:rsid w:val="00060C1C"/>
    <w:rsid w:val="000612FE"/>
    <w:rsid w:val="00061B1F"/>
    <w:rsid w:val="00061B4C"/>
    <w:rsid w:val="00062102"/>
    <w:rsid w:val="000621FE"/>
    <w:rsid w:val="0006276C"/>
    <w:rsid w:val="000631E4"/>
    <w:rsid w:val="00063C13"/>
    <w:rsid w:val="00064F7E"/>
    <w:rsid w:val="00065768"/>
    <w:rsid w:val="00066190"/>
    <w:rsid w:val="00066335"/>
    <w:rsid w:val="00066EBC"/>
    <w:rsid w:val="000670B9"/>
    <w:rsid w:val="00070648"/>
    <w:rsid w:val="00071B35"/>
    <w:rsid w:val="00072144"/>
    <w:rsid w:val="00072715"/>
    <w:rsid w:val="00073277"/>
    <w:rsid w:val="000733C4"/>
    <w:rsid w:val="0007378B"/>
    <w:rsid w:val="00073B6D"/>
    <w:rsid w:val="000746B3"/>
    <w:rsid w:val="00074723"/>
    <w:rsid w:val="00074783"/>
    <w:rsid w:val="00074CAE"/>
    <w:rsid w:val="00074DC6"/>
    <w:rsid w:val="00076256"/>
    <w:rsid w:val="00076BCF"/>
    <w:rsid w:val="00077901"/>
    <w:rsid w:val="00077A74"/>
    <w:rsid w:val="00077A89"/>
    <w:rsid w:val="000804BB"/>
    <w:rsid w:val="0008070B"/>
    <w:rsid w:val="000808B6"/>
    <w:rsid w:val="000810AC"/>
    <w:rsid w:val="00081A02"/>
    <w:rsid w:val="00081B3C"/>
    <w:rsid w:val="00081EA2"/>
    <w:rsid w:val="00082231"/>
    <w:rsid w:val="00082864"/>
    <w:rsid w:val="00082CF7"/>
    <w:rsid w:val="00082D4E"/>
    <w:rsid w:val="000830E7"/>
    <w:rsid w:val="000831F5"/>
    <w:rsid w:val="00083BD0"/>
    <w:rsid w:val="00083E60"/>
    <w:rsid w:val="00084022"/>
    <w:rsid w:val="000845E2"/>
    <w:rsid w:val="00084F43"/>
    <w:rsid w:val="00084F53"/>
    <w:rsid w:val="000869C6"/>
    <w:rsid w:val="0008718C"/>
    <w:rsid w:val="00090178"/>
    <w:rsid w:val="000902A4"/>
    <w:rsid w:val="00090947"/>
    <w:rsid w:val="00090F81"/>
    <w:rsid w:val="00091499"/>
    <w:rsid w:val="0009181C"/>
    <w:rsid w:val="00091D7D"/>
    <w:rsid w:val="00091E56"/>
    <w:rsid w:val="000921A2"/>
    <w:rsid w:val="00092509"/>
    <w:rsid w:val="00092764"/>
    <w:rsid w:val="00092BB8"/>
    <w:rsid w:val="00092D38"/>
    <w:rsid w:val="000933DE"/>
    <w:rsid w:val="0009377B"/>
    <w:rsid w:val="00094300"/>
    <w:rsid w:val="00094754"/>
    <w:rsid w:val="00095406"/>
    <w:rsid w:val="00095F76"/>
    <w:rsid w:val="00095FBD"/>
    <w:rsid w:val="00097324"/>
    <w:rsid w:val="000973BD"/>
    <w:rsid w:val="00097BC7"/>
    <w:rsid w:val="00097BE5"/>
    <w:rsid w:val="000A20C9"/>
    <w:rsid w:val="000A2901"/>
    <w:rsid w:val="000A4C7C"/>
    <w:rsid w:val="000A4DCC"/>
    <w:rsid w:val="000A4FED"/>
    <w:rsid w:val="000A59E0"/>
    <w:rsid w:val="000A63BA"/>
    <w:rsid w:val="000A6EF7"/>
    <w:rsid w:val="000A7224"/>
    <w:rsid w:val="000A7FD3"/>
    <w:rsid w:val="000B058F"/>
    <w:rsid w:val="000B0F02"/>
    <w:rsid w:val="000B2D8A"/>
    <w:rsid w:val="000B42A2"/>
    <w:rsid w:val="000B4467"/>
    <w:rsid w:val="000B46DB"/>
    <w:rsid w:val="000B4891"/>
    <w:rsid w:val="000B4DB9"/>
    <w:rsid w:val="000B5B0A"/>
    <w:rsid w:val="000B5D45"/>
    <w:rsid w:val="000B6281"/>
    <w:rsid w:val="000B6D4B"/>
    <w:rsid w:val="000B7104"/>
    <w:rsid w:val="000B737D"/>
    <w:rsid w:val="000B73DB"/>
    <w:rsid w:val="000B744A"/>
    <w:rsid w:val="000C0013"/>
    <w:rsid w:val="000C09AC"/>
    <w:rsid w:val="000C0E54"/>
    <w:rsid w:val="000C129C"/>
    <w:rsid w:val="000C1314"/>
    <w:rsid w:val="000C1D3F"/>
    <w:rsid w:val="000C1ECA"/>
    <w:rsid w:val="000C3174"/>
    <w:rsid w:val="000C3745"/>
    <w:rsid w:val="000C3821"/>
    <w:rsid w:val="000C3999"/>
    <w:rsid w:val="000C3B1F"/>
    <w:rsid w:val="000C4E4E"/>
    <w:rsid w:val="000C5EEB"/>
    <w:rsid w:val="000C6922"/>
    <w:rsid w:val="000C767F"/>
    <w:rsid w:val="000C7B49"/>
    <w:rsid w:val="000D0534"/>
    <w:rsid w:val="000D1D21"/>
    <w:rsid w:val="000D23EB"/>
    <w:rsid w:val="000D2511"/>
    <w:rsid w:val="000D2668"/>
    <w:rsid w:val="000D2E4F"/>
    <w:rsid w:val="000D3D0D"/>
    <w:rsid w:val="000D4495"/>
    <w:rsid w:val="000D4CBE"/>
    <w:rsid w:val="000D561A"/>
    <w:rsid w:val="000D5A44"/>
    <w:rsid w:val="000D5ADA"/>
    <w:rsid w:val="000D6100"/>
    <w:rsid w:val="000D61A1"/>
    <w:rsid w:val="000D6B2D"/>
    <w:rsid w:val="000D6C61"/>
    <w:rsid w:val="000D7947"/>
    <w:rsid w:val="000D7CD2"/>
    <w:rsid w:val="000E0401"/>
    <w:rsid w:val="000E0920"/>
    <w:rsid w:val="000E0CB1"/>
    <w:rsid w:val="000E10E2"/>
    <w:rsid w:val="000E22EA"/>
    <w:rsid w:val="000E3483"/>
    <w:rsid w:val="000E3ED2"/>
    <w:rsid w:val="000E3FC3"/>
    <w:rsid w:val="000E4412"/>
    <w:rsid w:val="000E47F4"/>
    <w:rsid w:val="000E5559"/>
    <w:rsid w:val="000E5D71"/>
    <w:rsid w:val="000E5E47"/>
    <w:rsid w:val="000E5EEE"/>
    <w:rsid w:val="000E6338"/>
    <w:rsid w:val="000E63F3"/>
    <w:rsid w:val="000E64CE"/>
    <w:rsid w:val="000E75D2"/>
    <w:rsid w:val="000F01F5"/>
    <w:rsid w:val="000F0E7C"/>
    <w:rsid w:val="000F12AE"/>
    <w:rsid w:val="000F13FA"/>
    <w:rsid w:val="000F235D"/>
    <w:rsid w:val="000F2513"/>
    <w:rsid w:val="000F2E0E"/>
    <w:rsid w:val="000F3B60"/>
    <w:rsid w:val="000F4923"/>
    <w:rsid w:val="000F5084"/>
    <w:rsid w:val="000F591C"/>
    <w:rsid w:val="000F5F0E"/>
    <w:rsid w:val="000F6084"/>
    <w:rsid w:val="000F63DE"/>
    <w:rsid w:val="000F6E8F"/>
    <w:rsid w:val="0010001D"/>
    <w:rsid w:val="0010094D"/>
    <w:rsid w:val="00101216"/>
    <w:rsid w:val="00101BDB"/>
    <w:rsid w:val="00102A16"/>
    <w:rsid w:val="0010301E"/>
    <w:rsid w:val="001043A9"/>
    <w:rsid w:val="001052D6"/>
    <w:rsid w:val="00105745"/>
    <w:rsid w:val="00105C38"/>
    <w:rsid w:val="001064C8"/>
    <w:rsid w:val="00106B5E"/>
    <w:rsid w:val="00106C99"/>
    <w:rsid w:val="00107BEB"/>
    <w:rsid w:val="0011087D"/>
    <w:rsid w:val="00111432"/>
    <w:rsid w:val="001116DB"/>
    <w:rsid w:val="00111978"/>
    <w:rsid w:val="00112374"/>
    <w:rsid w:val="0011250C"/>
    <w:rsid w:val="00112609"/>
    <w:rsid w:val="00112C47"/>
    <w:rsid w:val="001130CE"/>
    <w:rsid w:val="00113E87"/>
    <w:rsid w:val="00114544"/>
    <w:rsid w:val="00115800"/>
    <w:rsid w:val="00116805"/>
    <w:rsid w:val="0011760F"/>
    <w:rsid w:val="00120796"/>
    <w:rsid w:val="001208F0"/>
    <w:rsid w:val="00121209"/>
    <w:rsid w:val="001218C2"/>
    <w:rsid w:val="00121B70"/>
    <w:rsid w:val="00122C0B"/>
    <w:rsid w:val="00123358"/>
    <w:rsid w:val="0012395D"/>
    <w:rsid w:val="00123AAF"/>
    <w:rsid w:val="00123BE6"/>
    <w:rsid w:val="001247E4"/>
    <w:rsid w:val="001250E9"/>
    <w:rsid w:val="00125676"/>
    <w:rsid w:val="00126771"/>
    <w:rsid w:val="00126990"/>
    <w:rsid w:val="001301DC"/>
    <w:rsid w:val="00130461"/>
    <w:rsid w:val="00130A8A"/>
    <w:rsid w:val="00130D47"/>
    <w:rsid w:val="001313E7"/>
    <w:rsid w:val="001317D3"/>
    <w:rsid w:val="00131F42"/>
    <w:rsid w:val="0013233F"/>
    <w:rsid w:val="00133046"/>
    <w:rsid w:val="0013468A"/>
    <w:rsid w:val="001357B4"/>
    <w:rsid w:val="001357F1"/>
    <w:rsid w:val="00136CF2"/>
    <w:rsid w:val="00137754"/>
    <w:rsid w:val="00140FA8"/>
    <w:rsid w:val="001418E0"/>
    <w:rsid w:val="0014294E"/>
    <w:rsid w:val="00142A76"/>
    <w:rsid w:val="00142C18"/>
    <w:rsid w:val="00142F25"/>
    <w:rsid w:val="00142FEB"/>
    <w:rsid w:val="001436CC"/>
    <w:rsid w:val="00143A2D"/>
    <w:rsid w:val="001444F7"/>
    <w:rsid w:val="001448F5"/>
    <w:rsid w:val="00144A75"/>
    <w:rsid w:val="00144A99"/>
    <w:rsid w:val="001457CF"/>
    <w:rsid w:val="00145843"/>
    <w:rsid w:val="00145A41"/>
    <w:rsid w:val="00145DAE"/>
    <w:rsid w:val="00146334"/>
    <w:rsid w:val="001464A5"/>
    <w:rsid w:val="00146EB8"/>
    <w:rsid w:val="001474D0"/>
    <w:rsid w:val="00150C3C"/>
    <w:rsid w:val="00150D3F"/>
    <w:rsid w:val="00150EFE"/>
    <w:rsid w:val="00151675"/>
    <w:rsid w:val="001528CC"/>
    <w:rsid w:val="0015342F"/>
    <w:rsid w:val="00153679"/>
    <w:rsid w:val="00153E2D"/>
    <w:rsid w:val="00154133"/>
    <w:rsid w:val="001544CE"/>
    <w:rsid w:val="00154713"/>
    <w:rsid w:val="00154FA0"/>
    <w:rsid w:val="0015504C"/>
    <w:rsid w:val="00155226"/>
    <w:rsid w:val="00155351"/>
    <w:rsid w:val="0015552F"/>
    <w:rsid w:val="00155FCD"/>
    <w:rsid w:val="00156832"/>
    <w:rsid w:val="00157435"/>
    <w:rsid w:val="001601B1"/>
    <w:rsid w:val="001609B4"/>
    <w:rsid w:val="001611F3"/>
    <w:rsid w:val="00161690"/>
    <w:rsid w:val="00161810"/>
    <w:rsid w:val="00161A85"/>
    <w:rsid w:val="00162FE1"/>
    <w:rsid w:val="00163D83"/>
    <w:rsid w:val="00163F5E"/>
    <w:rsid w:val="00164072"/>
    <w:rsid w:val="001648FA"/>
    <w:rsid w:val="00165130"/>
    <w:rsid w:val="00165227"/>
    <w:rsid w:val="00165427"/>
    <w:rsid w:val="001658C7"/>
    <w:rsid w:val="00165FB8"/>
    <w:rsid w:val="00166065"/>
    <w:rsid w:val="00166176"/>
    <w:rsid w:val="001665DB"/>
    <w:rsid w:val="0016686F"/>
    <w:rsid w:val="00166996"/>
    <w:rsid w:val="001669F6"/>
    <w:rsid w:val="001672C3"/>
    <w:rsid w:val="00167441"/>
    <w:rsid w:val="00171364"/>
    <w:rsid w:val="0017223D"/>
    <w:rsid w:val="001727AC"/>
    <w:rsid w:val="00172A27"/>
    <w:rsid w:val="00172E78"/>
    <w:rsid w:val="00174B99"/>
    <w:rsid w:val="00174CC2"/>
    <w:rsid w:val="0017504D"/>
    <w:rsid w:val="00175254"/>
    <w:rsid w:val="0017562E"/>
    <w:rsid w:val="00175FEE"/>
    <w:rsid w:val="00176006"/>
    <w:rsid w:val="001760DE"/>
    <w:rsid w:val="0017671A"/>
    <w:rsid w:val="00176C78"/>
    <w:rsid w:val="00177422"/>
    <w:rsid w:val="0017767C"/>
    <w:rsid w:val="0018013C"/>
    <w:rsid w:val="0018022E"/>
    <w:rsid w:val="00181392"/>
    <w:rsid w:val="0018165F"/>
    <w:rsid w:val="0018242F"/>
    <w:rsid w:val="00182508"/>
    <w:rsid w:val="00182E07"/>
    <w:rsid w:val="001840A0"/>
    <w:rsid w:val="001840EA"/>
    <w:rsid w:val="001841E6"/>
    <w:rsid w:val="00184590"/>
    <w:rsid w:val="00184A67"/>
    <w:rsid w:val="00185363"/>
    <w:rsid w:val="00186FC8"/>
    <w:rsid w:val="001870D1"/>
    <w:rsid w:val="001873DD"/>
    <w:rsid w:val="0018781E"/>
    <w:rsid w:val="00190263"/>
    <w:rsid w:val="0019113A"/>
    <w:rsid w:val="00191D71"/>
    <w:rsid w:val="001921FB"/>
    <w:rsid w:val="001922F4"/>
    <w:rsid w:val="0019262D"/>
    <w:rsid w:val="00193D16"/>
    <w:rsid w:val="001940AF"/>
    <w:rsid w:val="00194B60"/>
    <w:rsid w:val="0019527D"/>
    <w:rsid w:val="00196B0A"/>
    <w:rsid w:val="00197166"/>
    <w:rsid w:val="001A055F"/>
    <w:rsid w:val="001A1785"/>
    <w:rsid w:val="001A1822"/>
    <w:rsid w:val="001A1B35"/>
    <w:rsid w:val="001A2968"/>
    <w:rsid w:val="001A2ABE"/>
    <w:rsid w:val="001A2C47"/>
    <w:rsid w:val="001A2C89"/>
    <w:rsid w:val="001A2FE8"/>
    <w:rsid w:val="001A3491"/>
    <w:rsid w:val="001A34B0"/>
    <w:rsid w:val="001A34FE"/>
    <w:rsid w:val="001A38E2"/>
    <w:rsid w:val="001A48A2"/>
    <w:rsid w:val="001A5E20"/>
    <w:rsid w:val="001A63FF"/>
    <w:rsid w:val="001A644C"/>
    <w:rsid w:val="001A680B"/>
    <w:rsid w:val="001A6842"/>
    <w:rsid w:val="001A6C5E"/>
    <w:rsid w:val="001A6EA0"/>
    <w:rsid w:val="001A6F61"/>
    <w:rsid w:val="001A7C67"/>
    <w:rsid w:val="001B004C"/>
    <w:rsid w:val="001B1AAD"/>
    <w:rsid w:val="001B206D"/>
    <w:rsid w:val="001B2703"/>
    <w:rsid w:val="001B2903"/>
    <w:rsid w:val="001B43FE"/>
    <w:rsid w:val="001B4B69"/>
    <w:rsid w:val="001B5608"/>
    <w:rsid w:val="001B6707"/>
    <w:rsid w:val="001B72B8"/>
    <w:rsid w:val="001C0566"/>
    <w:rsid w:val="001C2015"/>
    <w:rsid w:val="001C24B1"/>
    <w:rsid w:val="001C2715"/>
    <w:rsid w:val="001C2B57"/>
    <w:rsid w:val="001C3A31"/>
    <w:rsid w:val="001C4D67"/>
    <w:rsid w:val="001C52F4"/>
    <w:rsid w:val="001C54E6"/>
    <w:rsid w:val="001C562D"/>
    <w:rsid w:val="001C56CE"/>
    <w:rsid w:val="001C66E0"/>
    <w:rsid w:val="001C69B3"/>
    <w:rsid w:val="001C6CE7"/>
    <w:rsid w:val="001C7360"/>
    <w:rsid w:val="001D0B33"/>
    <w:rsid w:val="001D0FAF"/>
    <w:rsid w:val="001D108F"/>
    <w:rsid w:val="001D12E4"/>
    <w:rsid w:val="001D15BC"/>
    <w:rsid w:val="001D21DF"/>
    <w:rsid w:val="001D2391"/>
    <w:rsid w:val="001D2CE4"/>
    <w:rsid w:val="001D335D"/>
    <w:rsid w:val="001D5069"/>
    <w:rsid w:val="001D52A9"/>
    <w:rsid w:val="001D5595"/>
    <w:rsid w:val="001D5E28"/>
    <w:rsid w:val="001D5FB4"/>
    <w:rsid w:val="001D6607"/>
    <w:rsid w:val="001D6B8E"/>
    <w:rsid w:val="001D6C3C"/>
    <w:rsid w:val="001D7874"/>
    <w:rsid w:val="001D7E41"/>
    <w:rsid w:val="001D7F22"/>
    <w:rsid w:val="001E010C"/>
    <w:rsid w:val="001E1601"/>
    <w:rsid w:val="001E19A1"/>
    <w:rsid w:val="001E1F78"/>
    <w:rsid w:val="001E2738"/>
    <w:rsid w:val="001E3FED"/>
    <w:rsid w:val="001E50A6"/>
    <w:rsid w:val="001E50CE"/>
    <w:rsid w:val="001E5490"/>
    <w:rsid w:val="001E6F0B"/>
    <w:rsid w:val="001E760A"/>
    <w:rsid w:val="001E784D"/>
    <w:rsid w:val="001E7870"/>
    <w:rsid w:val="001E7906"/>
    <w:rsid w:val="001E7B20"/>
    <w:rsid w:val="001E7BF0"/>
    <w:rsid w:val="001F072F"/>
    <w:rsid w:val="001F0EBD"/>
    <w:rsid w:val="001F0F17"/>
    <w:rsid w:val="001F1113"/>
    <w:rsid w:val="001F1215"/>
    <w:rsid w:val="001F1453"/>
    <w:rsid w:val="001F1858"/>
    <w:rsid w:val="001F1C22"/>
    <w:rsid w:val="001F2D25"/>
    <w:rsid w:val="001F3241"/>
    <w:rsid w:val="001F3347"/>
    <w:rsid w:val="001F3514"/>
    <w:rsid w:val="001F3A13"/>
    <w:rsid w:val="001F4131"/>
    <w:rsid w:val="001F6952"/>
    <w:rsid w:val="001F69E4"/>
    <w:rsid w:val="001F6DFA"/>
    <w:rsid w:val="001F7460"/>
    <w:rsid w:val="001F782D"/>
    <w:rsid w:val="001F7F0E"/>
    <w:rsid w:val="002000F3"/>
    <w:rsid w:val="002001BF"/>
    <w:rsid w:val="002004B2"/>
    <w:rsid w:val="00200BAF"/>
    <w:rsid w:val="00200E21"/>
    <w:rsid w:val="0020109C"/>
    <w:rsid w:val="0020152A"/>
    <w:rsid w:val="00202A22"/>
    <w:rsid w:val="00202D2F"/>
    <w:rsid w:val="002038F8"/>
    <w:rsid w:val="00203A94"/>
    <w:rsid w:val="00204D0A"/>
    <w:rsid w:val="00205BC2"/>
    <w:rsid w:val="0020664C"/>
    <w:rsid w:val="00207025"/>
    <w:rsid w:val="00207852"/>
    <w:rsid w:val="002078BC"/>
    <w:rsid w:val="002078ED"/>
    <w:rsid w:val="002104D8"/>
    <w:rsid w:val="00210630"/>
    <w:rsid w:val="00211C92"/>
    <w:rsid w:val="0021232C"/>
    <w:rsid w:val="0021243C"/>
    <w:rsid w:val="002125B4"/>
    <w:rsid w:val="0021420F"/>
    <w:rsid w:val="0021478E"/>
    <w:rsid w:val="0021489E"/>
    <w:rsid w:val="00214B08"/>
    <w:rsid w:val="00214CF5"/>
    <w:rsid w:val="002155B8"/>
    <w:rsid w:val="002159C2"/>
    <w:rsid w:val="0021642C"/>
    <w:rsid w:val="00216B94"/>
    <w:rsid w:val="00216F86"/>
    <w:rsid w:val="002172EC"/>
    <w:rsid w:val="0021764D"/>
    <w:rsid w:val="002201A8"/>
    <w:rsid w:val="002201E8"/>
    <w:rsid w:val="0022181C"/>
    <w:rsid w:val="00222CFD"/>
    <w:rsid w:val="00222FC1"/>
    <w:rsid w:val="002235EA"/>
    <w:rsid w:val="00224839"/>
    <w:rsid w:val="002249B2"/>
    <w:rsid w:val="002259FD"/>
    <w:rsid w:val="00226574"/>
    <w:rsid w:val="00227164"/>
    <w:rsid w:val="002271FD"/>
    <w:rsid w:val="002278EC"/>
    <w:rsid w:val="002306E5"/>
    <w:rsid w:val="00230D07"/>
    <w:rsid w:val="00230E43"/>
    <w:rsid w:val="00230F11"/>
    <w:rsid w:val="00231827"/>
    <w:rsid w:val="00231E2A"/>
    <w:rsid w:val="00232093"/>
    <w:rsid w:val="002320D6"/>
    <w:rsid w:val="002325FE"/>
    <w:rsid w:val="002326DD"/>
    <w:rsid w:val="0023280E"/>
    <w:rsid w:val="00232E7D"/>
    <w:rsid w:val="002337BC"/>
    <w:rsid w:val="00233DD3"/>
    <w:rsid w:val="002340BD"/>
    <w:rsid w:val="00234D5B"/>
    <w:rsid w:val="00235AA0"/>
    <w:rsid w:val="002363FA"/>
    <w:rsid w:val="002365E5"/>
    <w:rsid w:val="00236987"/>
    <w:rsid w:val="00236E57"/>
    <w:rsid w:val="00237514"/>
    <w:rsid w:val="002377D1"/>
    <w:rsid w:val="00237B75"/>
    <w:rsid w:val="002408CA"/>
    <w:rsid w:val="00240C30"/>
    <w:rsid w:val="00241925"/>
    <w:rsid w:val="00242207"/>
    <w:rsid w:val="00242CB2"/>
    <w:rsid w:val="00243367"/>
    <w:rsid w:val="00243810"/>
    <w:rsid w:val="002439CE"/>
    <w:rsid w:val="002439FE"/>
    <w:rsid w:val="00243A5D"/>
    <w:rsid w:val="00243E68"/>
    <w:rsid w:val="002447FD"/>
    <w:rsid w:val="00244D82"/>
    <w:rsid w:val="00244FC0"/>
    <w:rsid w:val="002450F0"/>
    <w:rsid w:val="0024543C"/>
    <w:rsid w:val="00245AC6"/>
    <w:rsid w:val="00245F73"/>
    <w:rsid w:val="00246690"/>
    <w:rsid w:val="00246F9E"/>
    <w:rsid w:val="00247343"/>
    <w:rsid w:val="00247838"/>
    <w:rsid w:val="002502FD"/>
    <w:rsid w:val="002506BC"/>
    <w:rsid w:val="00250872"/>
    <w:rsid w:val="00251245"/>
    <w:rsid w:val="00251295"/>
    <w:rsid w:val="002518CA"/>
    <w:rsid w:val="00251CD9"/>
    <w:rsid w:val="00252918"/>
    <w:rsid w:val="00254345"/>
    <w:rsid w:val="00254A04"/>
    <w:rsid w:val="00254D5B"/>
    <w:rsid w:val="00254DA1"/>
    <w:rsid w:val="00255030"/>
    <w:rsid w:val="002551DF"/>
    <w:rsid w:val="00255929"/>
    <w:rsid w:val="00255FEB"/>
    <w:rsid w:val="0025601F"/>
    <w:rsid w:val="002567EF"/>
    <w:rsid w:val="00256CD7"/>
    <w:rsid w:val="00257554"/>
    <w:rsid w:val="0026045C"/>
    <w:rsid w:val="00261A39"/>
    <w:rsid w:val="00264557"/>
    <w:rsid w:val="00264753"/>
    <w:rsid w:val="00264AC9"/>
    <w:rsid w:val="00264E69"/>
    <w:rsid w:val="002653C1"/>
    <w:rsid w:val="00265974"/>
    <w:rsid w:val="00265FF5"/>
    <w:rsid w:val="00266534"/>
    <w:rsid w:val="00266F18"/>
    <w:rsid w:val="00267A41"/>
    <w:rsid w:val="00270CB8"/>
    <w:rsid w:val="00271053"/>
    <w:rsid w:val="0027129F"/>
    <w:rsid w:val="00271390"/>
    <w:rsid w:val="00271A4A"/>
    <w:rsid w:val="00272063"/>
    <w:rsid w:val="00273D3E"/>
    <w:rsid w:val="00274AD2"/>
    <w:rsid w:val="00274CBC"/>
    <w:rsid w:val="00274D11"/>
    <w:rsid w:val="00275599"/>
    <w:rsid w:val="002764D6"/>
    <w:rsid w:val="002805AB"/>
    <w:rsid w:val="0028352B"/>
    <w:rsid w:val="00284204"/>
    <w:rsid w:val="002860C0"/>
    <w:rsid w:val="002865FC"/>
    <w:rsid w:val="00286CBB"/>
    <w:rsid w:val="00286E79"/>
    <w:rsid w:val="00287008"/>
    <w:rsid w:val="0028742D"/>
    <w:rsid w:val="00287477"/>
    <w:rsid w:val="00287615"/>
    <w:rsid w:val="00290065"/>
    <w:rsid w:val="002905BF"/>
    <w:rsid w:val="002907C3"/>
    <w:rsid w:val="00290E4E"/>
    <w:rsid w:val="00291542"/>
    <w:rsid w:val="00291773"/>
    <w:rsid w:val="0029373A"/>
    <w:rsid w:val="00293C7D"/>
    <w:rsid w:val="00293DEA"/>
    <w:rsid w:val="0029551B"/>
    <w:rsid w:val="00295D7F"/>
    <w:rsid w:val="00296496"/>
    <w:rsid w:val="002964D4"/>
    <w:rsid w:val="00296707"/>
    <w:rsid w:val="00296C70"/>
    <w:rsid w:val="00296F16"/>
    <w:rsid w:val="002973A1"/>
    <w:rsid w:val="002A10A5"/>
    <w:rsid w:val="002A168C"/>
    <w:rsid w:val="002A1731"/>
    <w:rsid w:val="002A1A0D"/>
    <w:rsid w:val="002A1C06"/>
    <w:rsid w:val="002A1D84"/>
    <w:rsid w:val="002A2E73"/>
    <w:rsid w:val="002A3026"/>
    <w:rsid w:val="002A33E5"/>
    <w:rsid w:val="002A3DC7"/>
    <w:rsid w:val="002A45A0"/>
    <w:rsid w:val="002A63AD"/>
    <w:rsid w:val="002A67FF"/>
    <w:rsid w:val="002A7158"/>
    <w:rsid w:val="002A799F"/>
    <w:rsid w:val="002B03AA"/>
    <w:rsid w:val="002B0611"/>
    <w:rsid w:val="002B1186"/>
    <w:rsid w:val="002B2E76"/>
    <w:rsid w:val="002B37E9"/>
    <w:rsid w:val="002B3FE1"/>
    <w:rsid w:val="002B4550"/>
    <w:rsid w:val="002B45A4"/>
    <w:rsid w:val="002B4765"/>
    <w:rsid w:val="002B4901"/>
    <w:rsid w:val="002B49E2"/>
    <w:rsid w:val="002B4ACD"/>
    <w:rsid w:val="002B4C9A"/>
    <w:rsid w:val="002B5675"/>
    <w:rsid w:val="002B63C3"/>
    <w:rsid w:val="002B64B5"/>
    <w:rsid w:val="002B6BD6"/>
    <w:rsid w:val="002B70C0"/>
    <w:rsid w:val="002B75D7"/>
    <w:rsid w:val="002B7B00"/>
    <w:rsid w:val="002B7B16"/>
    <w:rsid w:val="002B7C44"/>
    <w:rsid w:val="002C065A"/>
    <w:rsid w:val="002C1786"/>
    <w:rsid w:val="002C18ED"/>
    <w:rsid w:val="002C1E57"/>
    <w:rsid w:val="002C2B14"/>
    <w:rsid w:val="002C2B17"/>
    <w:rsid w:val="002C378C"/>
    <w:rsid w:val="002C3B7A"/>
    <w:rsid w:val="002C4449"/>
    <w:rsid w:val="002C4919"/>
    <w:rsid w:val="002C5E11"/>
    <w:rsid w:val="002C6A9E"/>
    <w:rsid w:val="002C6D59"/>
    <w:rsid w:val="002D0775"/>
    <w:rsid w:val="002D0CBA"/>
    <w:rsid w:val="002D0E70"/>
    <w:rsid w:val="002D13EA"/>
    <w:rsid w:val="002D1752"/>
    <w:rsid w:val="002D181D"/>
    <w:rsid w:val="002D21AD"/>
    <w:rsid w:val="002D370C"/>
    <w:rsid w:val="002D38ED"/>
    <w:rsid w:val="002D3ABE"/>
    <w:rsid w:val="002D3DD0"/>
    <w:rsid w:val="002D44BB"/>
    <w:rsid w:val="002D4978"/>
    <w:rsid w:val="002D5518"/>
    <w:rsid w:val="002D58BD"/>
    <w:rsid w:val="002D5BD7"/>
    <w:rsid w:val="002D6405"/>
    <w:rsid w:val="002D67DC"/>
    <w:rsid w:val="002D6966"/>
    <w:rsid w:val="002D7938"/>
    <w:rsid w:val="002E0515"/>
    <w:rsid w:val="002E1860"/>
    <w:rsid w:val="002E1AD6"/>
    <w:rsid w:val="002E1DA0"/>
    <w:rsid w:val="002E1F3A"/>
    <w:rsid w:val="002E21B4"/>
    <w:rsid w:val="002E2281"/>
    <w:rsid w:val="002E298A"/>
    <w:rsid w:val="002E2FED"/>
    <w:rsid w:val="002E41D2"/>
    <w:rsid w:val="002E4416"/>
    <w:rsid w:val="002E4629"/>
    <w:rsid w:val="002E5AAC"/>
    <w:rsid w:val="002E5D38"/>
    <w:rsid w:val="002E6AAF"/>
    <w:rsid w:val="002E7330"/>
    <w:rsid w:val="002F09BC"/>
    <w:rsid w:val="002F1419"/>
    <w:rsid w:val="002F418A"/>
    <w:rsid w:val="002F4468"/>
    <w:rsid w:val="002F446D"/>
    <w:rsid w:val="002F513D"/>
    <w:rsid w:val="002F54F4"/>
    <w:rsid w:val="002F6014"/>
    <w:rsid w:val="002F68E5"/>
    <w:rsid w:val="002F6E34"/>
    <w:rsid w:val="003009D5"/>
    <w:rsid w:val="00301363"/>
    <w:rsid w:val="00301978"/>
    <w:rsid w:val="00301DE9"/>
    <w:rsid w:val="003024E3"/>
    <w:rsid w:val="00302C24"/>
    <w:rsid w:val="00302D9C"/>
    <w:rsid w:val="00302FDC"/>
    <w:rsid w:val="0030332C"/>
    <w:rsid w:val="003034F1"/>
    <w:rsid w:val="00303FA0"/>
    <w:rsid w:val="00304B6B"/>
    <w:rsid w:val="00304CBC"/>
    <w:rsid w:val="00304D99"/>
    <w:rsid w:val="003051C2"/>
    <w:rsid w:val="00305C94"/>
    <w:rsid w:val="00305CE7"/>
    <w:rsid w:val="00305E5F"/>
    <w:rsid w:val="00306215"/>
    <w:rsid w:val="00306619"/>
    <w:rsid w:val="00306966"/>
    <w:rsid w:val="00306A36"/>
    <w:rsid w:val="00306D52"/>
    <w:rsid w:val="003078CB"/>
    <w:rsid w:val="00310C61"/>
    <w:rsid w:val="00310DE2"/>
    <w:rsid w:val="00312296"/>
    <w:rsid w:val="00312525"/>
    <w:rsid w:val="0031299D"/>
    <w:rsid w:val="00313210"/>
    <w:rsid w:val="003139B1"/>
    <w:rsid w:val="003139FF"/>
    <w:rsid w:val="00313E1B"/>
    <w:rsid w:val="00313FF5"/>
    <w:rsid w:val="00314F0E"/>
    <w:rsid w:val="003152D3"/>
    <w:rsid w:val="00315FBB"/>
    <w:rsid w:val="003173A9"/>
    <w:rsid w:val="00317460"/>
    <w:rsid w:val="00317872"/>
    <w:rsid w:val="00317FAA"/>
    <w:rsid w:val="00320070"/>
    <w:rsid w:val="003206D5"/>
    <w:rsid w:val="00321016"/>
    <w:rsid w:val="00321D69"/>
    <w:rsid w:val="00321D8E"/>
    <w:rsid w:val="00321F23"/>
    <w:rsid w:val="0032210D"/>
    <w:rsid w:val="00322171"/>
    <w:rsid w:val="00323506"/>
    <w:rsid w:val="00324411"/>
    <w:rsid w:val="00325420"/>
    <w:rsid w:val="00325672"/>
    <w:rsid w:val="00325928"/>
    <w:rsid w:val="00326705"/>
    <w:rsid w:val="00326A21"/>
    <w:rsid w:val="00326EC1"/>
    <w:rsid w:val="0032700F"/>
    <w:rsid w:val="00327312"/>
    <w:rsid w:val="00327CB1"/>
    <w:rsid w:val="00327CF1"/>
    <w:rsid w:val="00330884"/>
    <w:rsid w:val="00330ABC"/>
    <w:rsid w:val="00330E60"/>
    <w:rsid w:val="00331BB3"/>
    <w:rsid w:val="00331C59"/>
    <w:rsid w:val="00331F27"/>
    <w:rsid w:val="00332721"/>
    <w:rsid w:val="00332863"/>
    <w:rsid w:val="003339A4"/>
    <w:rsid w:val="00333AE9"/>
    <w:rsid w:val="0033481B"/>
    <w:rsid w:val="0033551C"/>
    <w:rsid w:val="0033684D"/>
    <w:rsid w:val="00336987"/>
    <w:rsid w:val="003369C6"/>
    <w:rsid w:val="00336DB6"/>
    <w:rsid w:val="00337B42"/>
    <w:rsid w:val="00337C08"/>
    <w:rsid w:val="00340210"/>
    <w:rsid w:val="003404D5"/>
    <w:rsid w:val="00340808"/>
    <w:rsid w:val="0034119A"/>
    <w:rsid w:val="00341515"/>
    <w:rsid w:val="00341973"/>
    <w:rsid w:val="00341B42"/>
    <w:rsid w:val="00341DB8"/>
    <w:rsid w:val="00341FB5"/>
    <w:rsid w:val="00342048"/>
    <w:rsid w:val="0034211D"/>
    <w:rsid w:val="00342725"/>
    <w:rsid w:val="00342D1D"/>
    <w:rsid w:val="0034348F"/>
    <w:rsid w:val="003436F4"/>
    <w:rsid w:val="003439FB"/>
    <w:rsid w:val="00343CEE"/>
    <w:rsid w:val="0034493C"/>
    <w:rsid w:val="00345093"/>
    <w:rsid w:val="00345BE7"/>
    <w:rsid w:val="00345F54"/>
    <w:rsid w:val="00346F9A"/>
    <w:rsid w:val="00347C00"/>
    <w:rsid w:val="00347C59"/>
    <w:rsid w:val="00347C7C"/>
    <w:rsid w:val="00350360"/>
    <w:rsid w:val="003516CA"/>
    <w:rsid w:val="00351824"/>
    <w:rsid w:val="00351B5A"/>
    <w:rsid w:val="003522F8"/>
    <w:rsid w:val="00352B96"/>
    <w:rsid w:val="0035340C"/>
    <w:rsid w:val="0035367D"/>
    <w:rsid w:val="00353993"/>
    <w:rsid w:val="00353A5C"/>
    <w:rsid w:val="00354A73"/>
    <w:rsid w:val="00355706"/>
    <w:rsid w:val="003557F4"/>
    <w:rsid w:val="00356484"/>
    <w:rsid w:val="00356653"/>
    <w:rsid w:val="00356774"/>
    <w:rsid w:val="00356BB7"/>
    <w:rsid w:val="00356DA5"/>
    <w:rsid w:val="003571DE"/>
    <w:rsid w:val="0035743F"/>
    <w:rsid w:val="00357BE2"/>
    <w:rsid w:val="00360C34"/>
    <w:rsid w:val="00360F3A"/>
    <w:rsid w:val="00360F94"/>
    <w:rsid w:val="003611AD"/>
    <w:rsid w:val="0036170C"/>
    <w:rsid w:val="00361A55"/>
    <w:rsid w:val="00362738"/>
    <w:rsid w:val="00362DA5"/>
    <w:rsid w:val="00362FC3"/>
    <w:rsid w:val="00363081"/>
    <w:rsid w:val="0036363C"/>
    <w:rsid w:val="00363C89"/>
    <w:rsid w:val="00363FD1"/>
    <w:rsid w:val="00364BBA"/>
    <w:rsid w:val="00364BC8"/>
    <w:rsid w:val="0036515E"/>
    <w:rsid w:val="00365862"/>
    <w:rsid w:val="00365906"/>
    <w:rsid w:val="00365B30"/>
    <w:rsid w:val="00365D14"/>
    <w:rsid w:val="00366E0F"/>
    <w:rsid w:val="0036751E"/>
    <w:rsid w:val="0036761B"/>
    <w:rsid w:val="00367809"/>
    <w:rsid w:val="0037055C"/>
    <w:rsid w:val="00370DA5"/>
    <w:rsid w:val="00370F58"/>
    <w:rsid w:val="00371812"/>
    <w:rsid w:val="003727E3"/>
    <w:rsid w:val="003737ED"/>
    <w:rsid w:val="003746F0"/>
    <w:rsid w:val="003759D7"/>
    <w:rsid w:val="00375BF5"/>
    <w:rsid w:val="00375F78"/>
    <w:rsid w:val="0037690F"/>
    <w:rsid w:val="003803F1"/>
    <w:rsid w:val="00380485"/>
    <w:rsid w:val="00380E0F"/>
    <w:rsid w:val="00381836"/>
    <w:rsid w:val="00381A72"/>
    <w:rsid w:val="00383F78"/>
    <w:rsid w:val="00384543"/>
    <w:rsid w:val="00384676"/>
    <w:rsid w:val="003849DE"/>
    <w:rsid w:val="00384B9C"/>
    <w:rsid w:val="00385169"/>
    <w:rsid w:val="00385FCE"/>
    <w:rsid w:val="00386722"/>
    <w:rsid w:val="00386B14"/>
    <w:rsid w:val="00386CEB"/>
    <w:rsid w:val="0038740A"/>
    <w:rsid w:val="00390857"/>
    <w:rsid w:val="0039136A"/>
    <w:rsid w:val="0039158D"/>
    <w:rsid w:val="00391996"/>
    <w:rsid w:val="0039233F"/>
    <w:rsid w:val="00392ACF"/>
    <w:rsid w:val="00392DC8"/>
    <w:rsid w:val="00393BAF"/>
    <w:rsid w:val="003941F3"/>
    <w:rsid w:val="0039497D"/>
    <w:rsid w:val="0039553E"/>
    <w:rsid w:val="00395F34"/>
    <w:rsid w:val="00396255"/>
    <w:rsid w:val="00396A54"/>
    <w:rsid w:val="003A02F2"/>
    <w:rsid w:val="003A0382"/>
    <w:rsid w:val="003A0848"/>
    <w:rsid w:val="003A10D9"/>
    <w:rsid w:val="003A1371"/>
    <w:rsid w:val="003A1584"/>
    <w:rsid w:val="003A15A5"/>
    <w:rsid w:val="003A18DD"/>
    <w:rsid w:val="003A2048"/>
    <w:rsid w:val="003A2B75"/>
    <w:rsid w:val="003A2E00"/>
    <w:rsid w:val="003A3619"/>
    <w:rsid w:val="003A4040"/>
    <w:rsid w:val="003A42F5"/>
    <w:rsid w:val="003A4BF3"/>
    <w:rsid w:val="003A4D66"/>
    <w:rsid w:val="003A6246"/>
    <w:rsid w:val="003A6553"/>
    <w:rsid w:val="003A6F3D"/>
    <w:rsid w:val="003B0229"/>
    <w:rsid w:val="003B0493"/>
    <w:rsid w:val="003B1404"/>
    <w:rsid w:val="003B1ED9"/>
    <w:rsid w:val="003B2140"/>
    <w:rsid w:val="003B2A1D"/>
    <w:rsid w:val="003B2F45"/>
    <w:rsid w:val="003B3708"/>
    <w:rsid w:val="003B3E7B"/>
    <w:rsid w:val="003B3F5E"/>
    <w:rsid w:val="003B420D"/>
    <w:rsid w:val="003B53D5"/>
    <w:rsid w:val="003B558A"/>
    <w:rsid w:val="003B6CCD"/>
    <w:rsid w:val="003B6E71"/>
    <w:rsid w:val="003B705B"/>
    <w:rsid w:val="003B7278"/>
    <w:rsid w:val="003B760C"/>
    <w:rsid w:val="003B763A"/>
    <w:rsid w:val="003B7703"/>
    <w:rsid w:val="003B7DD9"/>
    <w:rsid w:val="003C0936"/>
    <w:rsid w:val="003C182A"/>
    <w:rsid w:val="003C2256"/>
    <w:rsid w:val="003C2496"/>
    <w:rsid w:val="003C2A12"/>
    <w:rsid w:val="003C2B31"/>
    <w:rsid w:val="003C462B"/>
    <w:rsid w:val="003C468C"/>
    <w:rsid w:val="003C558D"/>
    <w:rsid w:val="003C621B"/>
    <w:rsid w:val="003C643A"/>
    <w:rsid w:val="003C66D9"/>
    <w:rsid w:val="003C6C16"/>
    <w:rsid w:val="003C7607"/>
    <w:rsid w:val="003D02A5"/>
    <w:rsid w:val="003D1182"/>
    <w:rsid w:val="003D21B2"/>
    <w:rsid w:val="003D23AB"/>
    <w:rsid w:val="003D2CE1"/>
    <w:rsid w:val="003D3879"/>
    <w:rsid w:val="003D3977"/>
    <w:rsid w:val="003D3F83"/>
    <w:rsid w:val="003D42D6"/>
    <w:rsid w:val="003D4EEF"/>
    <w:rsid w:val="003D5BE4"/>
    <w:rsid w:val="003D5EBB"/>
    <w:rsid w:val="003D6029"/>
    <w:rsid w:val="003D6354"/>
    <w:rsid w:val="003D6442"/>
    <w:rsid w:val="003D7736"/>
    <w:rsid w:val="003D794D"/>
    <w:rsid w:val="003E0355"/>
    <w:rsid w:val="003E0B4A"/>
    <w:rsid w:val="003E1218"/>
    <w:rsid w:val="003E1253"/>
    <w:rsid w:val="003E1B0D"/>
    <w:rsid w:val="003E2212"/>
    <w:rsid w:val="003E235F"/>
    <w:rsid w:val="003E3058"/>
    <w:rsid w:val="003E30F9"/>
    <w:rsid w:val="003E320A"/>
    <w:rsid w:val="003E375D"/>
    <w:rsid w:val="003E505C"/>
    <w:rsid w:val="003E66EB"/>
    <w:rsid w:val="003E6929"/>
    <w:rsid w:val="003E69B5"/>
    <w:rsid w:val="003E69D5"/>
    <w:rsid w:val="003E7047"/>
    <w:rsid w:val="003E76A9"/>
    <w:rsid w:val="003E7C61"/>
    <w:rsid w:val="003F0566"/>
    <w:rsid w:val="003F0809"/>
    <w:rsid w:val="003F23CC"/>
    <w:rsid w:val="003F24EB"/>
    <w:rsid w:val="003F2C69"/>
    <w:rsid w:val="003F2F35"/>
    <w:rsid w:val="003F311D"/>
    <w:rsid w:val="003F38F2"/>
    <w:rsid w:val="003F3C5D"/>
    <w:rsid w:val="003F3D2A"/>
    <w:rsid w:val="003F4C65"/>
    <w:rsid w:val="003F523B"/>
    <w:rsid w:val="003F5F5C"/>
    <w:rsid w:val="003F6613"/>
    <w:rsid w:val="003F68C4"/>
    <w:rsid w:val="003F6A8C"/>
    <w:rsid w:val="003F6C8E"/>
    <w:rsid w:val="003F755C"/>
    <w:rsid w:val="003F791F"/>
    <w:rsid w:val="003F7EF8"/>
    <w:rsid w:val="00400136"/>
    <w:rsid w:val="00400F88"/>
    <w:rsid w:val="0040182E"/>
    <w:rsid w:val="00401BF4"/>
    <w:rsid w:val="00401C3A"/>
    <w:rsid w:val="0040380C"/>
    <w:rsid w:val="00403A94"/>
    <w:rsid w:val="00403D8D"/>
    <w:rsid w:val="00404623"/>
    <w:rsid w:val="004048AD"/>
    <w:rsid w:val="00405310"/>
    <w:rsid w:val="004053D7"/>
    <w:rsid w:val="0040558E"/>
    <w:rsid w:val="004055A5"/>
    <w:rsid w:val="004059FF"/>
    <w:rsid w:val="00406327"/>
    <w:rsid w:val="00406C27"/>
    <w:rsid w:val="00406F01"/>
    <w:rsid w:val="0040700B"/>
    <w:rsid w:val="00407BEB"/>
    <w:rsid w:val="00410837"/>
    <w:rsid w:val="00411018"/>
    <w:rsid w:val="00411024"/>
    <w:rsid w:val="00412444"/>
    <w:rsid w:val="00412FDC"/>
    <w:rsid w:val="00412FE1"/>
    <w:rsid w:val="004131AB"/>
    <w:rsid w:val="00414213"/>
    <w:rsid w:val="00415B0B"/>
    <w:rsid w:val="00416240"/>
    <w:rsid w:val="004164D7"/>
    <w:rsid w:val="00416D50"/>
    <w:rsid w:val="00416FD5"/>
    <w:rsid w:val="00417772"/>
    <w:rsid w:val="00420CF8"/>
    <w:rsid w:val="00420E6A"/>
    <w:rsid w:val="00421A5A"/>
    <w:rsid w:val="00422480"/>
    <w:rsid w:val="0042252A"/>
    <w:rsid w:val="00422EB0"/>
    <w:rsid w:val="00422ED5"/>
    <w:rsid w:val="00422F35"/>
    <w:rsid w:val="00424BAF"/>
    <w:rsid w:val="0042513A"/>
    <w:rsid w:val="004258D5"/>
    <w:rsid w:val="00425A9E"/>
    <w:rsid w:val="00425EB8"/>
    <w:rsid w:val="00426562"/>
    <w:rsid w:val="00426D6B"/>
    <w:rsid w:val="0042723F"/>
    <w:rsid w:val="00427428"/>
    <w:rsid w:val="00427B5E"/>
    <w:rsid w:val="00427D75"/>
    <w:rsid w:val="0043021D"/>
    <w:rsid w:val="00430688"/>
    <w:rsid w:val="00430C22"/>
    <w:rsid w:val="0043150B"/>
    <w:rsid w:val="00431E6C"/>
    <w:rsid w:val="00432CE8"/>
    <w:rsid w:val="00433CE7"/>
    <w:rsid w:val="004342DA"/>
    <w:rsid w:val="00434617"/>
    <w:rsid w:val="00434BC7"/>
    <w:rsid w:val="00434EAF"/>
    <w:rsid w:val="00435254"/>
    <w:rsid w:val="004359CF"/>
    <w:rsid w:val="00435BE8"/>
    <w:rsid w:val="00436F3D"/>
    <w:rsid w:val="00437489"/>
    <w:rsid w:val="004376FB"/>
    <w:rsid w:val="004422AA"/>
    <w:rsid w:val="0044264A"/>
    <w:rsid w:val="00444148"/>
    <w:rsid w:val="00444F44"/>
    <w:rsid w:val="00445A6F"/>
    <w:rsid w:val="00445EDB"/>
    <w:rsid w:val="00446706"/>
    <w:rsid w:val="00446C5B"/>
    <w:rsid w:val="00450233"/>
    <w:rsid w:val="0045067E"/>
    <w:rsid w:val="004509B8"/>
    <w:rsid w:val="0045128F"/>
    <w:rsid w:val="00452738"/>
    <w:rsid w:val="004532F9"/>
    <w:rsid w:val="00453F41"/>
    <w:rsid w:val="00453FAE"/>
    <w:rsid w:val="0045470A"/>
    <w:rsid w:val="00455280"/>
    <w:rsid w:val="00455715"/>
    <w:rsid w:val="004557C8"/>
    <w:rsid w:val="00456091"/>
    <w:rsid w:val="004560EE"/>
    <w:rsid w:val="00457B70"/>
    <w:rsid w:val="00457F71"/>
    <w:rsid w:val="004601C2"/>
    <w:rsid w:val="0046045B"/>
    <w:rsid w:val="004607D9"/>
    <w:rsid w:val="00460DED"/>
    <w:rsid w:val="00461091"/>
    <w:rsid w:val="0046176C"/>
    <w:rsid w:val="00461E2E"/>
    <w:rsid w:val="004626D9"/>
    <w:rsid w:val="00462B58"/>
    <w:rsid w:val="004630F3"/>
    <w:rsid w:val="00463372"/>
    <w:rsid w:val="00463552"/>
    <w:rsid w:val="00464986"/>
    <w:rsid w:val="00464D73"/>
    <w:rsid w:val="0046550B"/>
    <w:rsid w:val="00465D5D"/>
    <w:rsid w:val="00466321"/>
    <w:rsid w:val="00467427"/>
    <w:rsid w:val="00467F76"/>
    <w:rsid w:val="00471709"/>
    <w:rsid w:val="00471F0D"/>
    <w:rsid w:val="00472E85"/>
    <w:rsid w:val="00473EF4"/>
    <w:rsid w:val="00474250"/>
    <w:rsid w:val="0047460E"/>
    <w:rsid w:val="004751A1"/>
    <w:rsid w:val="0047574A"/>
    <w:rsid w:val="00476E62"/>
    <w:rsid w:val="0047737B"/>
    <w:rsid w:val="00480ACA"/>
    <w:rsid w:val="00481045"/>
    <w:rsid w:val="004825D6"/>
    <w:rsid w:val="00482F3E"/>
    <w:rsid w:val="00482F71"/>
    <w:rsid w:val="0048304A"/>
    <w:rsid w:val="00483D24"/>
    <w:rsid w:val="00484B9B"/>
    <w:rsid w:val="004854F5"/>
    <w:rsid w:val="004855F6"/>
    <w:rsid w:val="00485D55"/>
    <w:rsid w:val="00485E8F"/>
    <w:rsid w:val="0048661E"/>
    <w:rsid w:val="00486976"/>
    <w:rsid w:val="00487D26"/>
    <w:rsid w:val="00491B21"/>
    <w:rsid w:val="004921F8"/>
    <w:rsid w:val="004927C9"/>
    <w:rsid w:val="00492BAC"/>
    <w:rsid w:val="00492D31"/>
    <w:rsid w:val="0049308C"/>
    <w:rsid w:val="00493229"/>
    <w:rsid w:val="00494197"/>
    <w:rsid w:val="00494670"/>
    <w:rsid w:val="00495327"/>
    <w:rsid w:val="00495402"/>
    <w:rsid w:val="00495783"/>
    <w:rsid w:val="004960E3"/>
    <w:rsid w:val="00496200"/>
    <w:rsid w:val="00496CC8"/>
    <w:rsid w:val="00496DA9"/>
    <w:rsid w:val="004978FE"/>
    <w:rsid w:val="004A00B3"/>
    <w:rsid w:val="004A018E"/>
    <w:rsid w:val="004A0601"/>
    <w:rsid w:val="004A14FB"/>
    <w:rsid w:val="004A1634"/>
    <w:rsid w:val="004A3551"/>
    <w:rsid w:val="004A3823"/>
    <w:rsid w:val="004A49A6"/>
    <w:rsid w:val="004A598E"/>
    <w:rsid w:val="004A6A2E"/>
    <w:rsid w:val="004A6EC9"/>
    <w:rsid w:val="004A7F89"/>
    <w:rsid w:val="004B0385"/>
    <w:rsid w:val="004B0661"/>
    <w:rsid w:val="004B0B23"/>
    <w:rsid w:val="004B0C07"/>
    <w:rsid w:val="004B10F9"/>
    <w:rsid w:val="004B254B"/>
    <w:rsid w:val="004B2571"/>
    <w:rsid w:val="004B2A2D"/>
    <w:rsid w:val="004B2CD0"/>
    <w:rsid w:val="004B3516"/>
    <w:rsid w:val="004B475E"/>
    <w:rsid w:val="004B51D9"/>
    <w:rsid w:val="004B6795"/>
    <w:rsid w:val="004B683C"/>
    <w:rsid w:val="004B7108"/>
    <w:rsid w:val="004B73FB"/>
    <w:rsid w:val="004C039A"/>
    <w:rsid w:val="004C0444"/>
    <w:rsid w:val="004C1A19"/>
    <w:rsid w:val="004C2113"/>
    <w:rsid w:val="004C25F1"/>
    <w:rsid w:val="004C339C"/>
    <w:rsid w:val="004C40DF"/>
    <w:rsid w:val="004C446D"/>
    <w:rsid w:val="004C44FD"/>
    <w:rsid w:val="004C4688"/>
    <w:rsid w:val="004C4993"/>
    <w:rsid w:val="004C54A9"/>
    <w:rsid w:val="004C575D"/>
    <w:rsid w:val="004C695D"/>
    <w:rsid w:val="004C6B09"/>
    <w:rsid w:val="004C7EF9"/>
    <w:rsid w:val="004C7FC3"/>
    <w:rsid w:val="004D02FF"/>
    <w:rsid w:val="004D1006"/>
    <w:rsid w:val="004D1904"/>
    <w:rsid w:val="004D26E3"/>
    <w:rsid w:val="004D272D"/>
    <w:rsid w:val="004D36D1"/>
    <w:rsid w:val="004D36F7"/>
    <w:rsid w:val="004D373B"/>
    <w:rsid w:val="004D4AEB"/>
    <w:rsid w:val="004D55EB"/>
    <w:rsid w:val="004D587D"/>
    <w:rsid w:val="004D71C6"/>
    <w:rsid w:val="004D760C"/>
    <w:rsid w:val="004D7736"/>
    <w:rsid w:val="004D7ACD"/>
    <w:rsid w:val="004D7DB6"/>
    <w:rsid w:val="004D7E8D"/>
    <w:rsid w:val="004E0863"/>
    <w:rsid w:val="004E0B17"/>
    <w:rsid w:val="004E1338"/>
    <w:rsid w:val="004E240E"/>
    <w:rsid w:val="004E25BC"/>
    <w:rsid w:val="004E2642"/>
    <w:rsid w:val="004E356B"/>
    <w:rsid w:val="004E398D"/>
    <w:rsid w:val="004E3AE5"/>
    <w:rsid w:val="004E41C6"/>
    <w:rsid w:val="004E46C9"/>
    <w:rsid w:val="004E4760"/>
    <w:rsid w:val="004E58AF"/>
    <w:rsid w:val="004E5C53"/>
    <w:rsid w:val="004E616D"/>
    <w:rsid w:val="004E6946"/>
    <w:rsid w:val="004E6CC3"/>
    <w:rsid w:val="004E6D44"/>
    <w:rsid w:val="004E6DEE"/>
    <w:rsid w:val="004E7175"/>
    <w:rsid w:val="004E78FE"/>
    <w:rsid w:val="004E7F0E"/>
    <w:rsid w:val="004E7F31"/>
    <w:rsid w:val="004F06AC"/>
    <w:rsid w:val="004F1235"/>
    <w:rsid w:val="004F149E"/>
    <w:rsid w:val="004F1AD8"/>
    <w:rsid w:val="004F2C5C"/>
    <w:rsid w:val="004F355D"/>
    <w:rsid w:val="004F35C5"/>
    <w:rsid w:val="004F487E"/>
    <w:rsid w:val="004F4A9C"/>
    <w:rsid w:val="004F5105"/>
    <w:rsid w:val="004F52F2"/>
    <w:rsid w:val="004F5786"/>
    <w:rsid w:val="004F78F8"/>
    <w:rsid w:val="00500579"/>
    <w:rsid w:val="00500AC6"/>
    <w:rsid w:val="00500AD2"/>
    <w:rsid w:val="0050140A"/>
    <w:rsid w:val="00501618"/>
    <w:rsid w:val="00501A89"/>
    <w:rsid w:val="00501AA8"/>
    <w:rsid w:val="00501C3B"/>
    <w:rsid w:val="0050216C"/>
    <w:rsid w:val="00502AE3"/>
    <w:rsid w:val="00502BFA"/>
    <w:rsid w:val="00502F8F"/>
    <w:rsid w:val="005030EE"/>
    <w:rsid w:val="005039CB"/>
    <w:rsid w:val="0050548C"/>
    <w:rsid w:val="0050558F"/>
    <w:rsid w:val="00505938"/>
    <w:rsid w:val="00506286"/>
    <w:rsid w:val="00507CE5"/>
    <w:rsid w:val="00510580"/>
    <w:rsid w:val="00510813"/>
    <w:rsid w:val="00510B7C"/>
    <w:rsid w:val="00510E0E"/>
    <w:rsid w:val="0051111F"/>
    <w:rsid w:val="00511990"/>
    <w:rsid w:val="00511BB5"/>
    <w:rsid w:val="00511DE0"/>
    <w:rsid w:val="00512C87"/>
    <w:rsid w:val="00512DEE"/>
    <w:rsid w:val="0051382F"/>
    <w:rsid w:val="00513E56"/>
    <w:rsid w:val="0051420B"/>
    <w:rsid w:val="00514302"/>
    <w:rsid w:val="00514870"/>
    <w:rsid w:val="00514B9B"/>
    <w:rsid w:val="00515A6F"/>
    <w:rsid w:val="00516561"/>
    <w:rsid w:val="00516709"/>
    <w:rsid w:val="00516DB2"/>
    <w:rsid w:val="00516EBE"/>
    <w:rsid w:val="00516F5E"/>
    <w:rsid w:val="00517F02"/>
    <w:rsid w:val="00521493"/>
    <w:rsid w:val="0052161F"/>
    <w:rsid w:val="00521B78"/>
    <w:rsid w:val="00522102"/>
    <w:rsid w:val="00522D74"/>
    <w:rsid w:val="0052369F"/>
    <w:rsid w:val="00523B20"/>
    <w:rsid w:val="00523EB0"/>
    <w:rsid w:val="00523FE8"/>
    <w:rsid w:val="00524303"/>
    <w:rsid w:val="00525033"/>
    <w:rsid w:val="0052549A"/>
    <w:rsid w:val="005256F7"/>
    <w:rsid w:val="005258A2"/>
    <w:rsid w:val="00525CBF"/>
    <w:rsid w:val="00526634"/>
    <w:rsid w:val="005266FE"/>
    <w:rsid w:val="0052711B"/>
    <w:rsid w:val="00527C5B"/>
    <w:rsid w:val="00527F61"/>
    <w:rsid w:val="005302F0"/>
    <w:rsid w:val="005309AC"/>
    <w:rsid w:val="00530A21"/>
    <w:rsid w:val="00531EE4"/>
    <w:rsid w:val="00532271"/>
    <w:rsid w:val="00533812"/>
    <w:rsid w:val="00533895"/>
    <w:rsid w:val="005338B8"/>
    <w:rsid w:val="00534C0E"/>
    <w:rsid w:val="00534E58"/>
    <w:rsid w:val="00535936"/>
    <w:rsid w:val="00535E7A"/>
    <w:rsid w:val="005365D6"/>
    <w:rsid w:val="005368ED"/>
    <w:rsid w:val="0053720F"/>
    <w:rsid w:val="00537447"/>
    <w:rsid w:val="00537AEA"/>
    <w:rsid w:val="00537D2A"/>
    <w:rsid w:val="005401AE"/>
    <w:rsid w:val="00541E63"/>
    <w:rsid w:val="0054224C"/>
    <w:rsid w:val="00542E07"/>
    <w:rsid w:val="0054305E"/>
    <w:rsid w:val="005437F5"/>
    <w:rsid w:val="00544189"/>
    <w:rsid w:val="00544C61"/>
    <w:rsid w:val="00545424"/>
    <w:rsid w:val="00547693"/>
    <w:rsid w:val="00547DDF"/>
    <w:rsid w:val="00547F4D"/>
    <w:rsid w:val="005500D2"/>
    <w:rsid w:val="005506C3"/>
    <w:rsid w:val="005507B8"/>
    <w:rsid w:val="005513B5"/>
    <w:rsid w:val="00551759"/>
    <w:rsid w:val="005517DE"/>
    <w:rsid w:val="00551818"/>
    <w:rsid w:val="00551BA9"/>
    <w:rsid w:val="00552541"/>
    <w:rsid w:val="00552A14"/>
    <w:rsid w:val="00553413"/>
    <w:rsid w:val="00553730"/>
    <w:rsid w:val="005540E8"/>
    <w:rsid w:val="00554A7B"/>
    <w:rsid w:val="0055564E"/>
    <w:rsid w:val="0055572C"/>
    <w:rsid w:val="0055574E"/>
    <w:rsid w:val="00555A06"/>
    <w:rsid w:val="00555BB3"/>
    <w:rsid w:val="00556A01"/>
    <w:rsid w:val="00557A56"/>
    <w:rsid w:val="00557D77"/>
    <w:rsid w:val="005605B1"/>
    <w:rsid w:val="00560698"/>
    <w:rsid w:val="00560D21"/>
    <w:rsid w:val="0056106A"/>
    <w:rsid w:val="00562A3E"/>
    <w:rsid w:val="00562D85"/>
    <w:rsid w:val="00563274"/>
    <w:rsid w:val="005637C4"/>
    <w:rsid w:val="00563E41"/>
    <w:rsid w:val="00564085"/>
    <w:rsid w:val="00565EEA"/>
    <w:rsid w:val="00567024"/>
    <w:rsid w:val="005700C8"/>
    <w:rsid w:val="00570D39"/>
    <w:rsid w:val="00571482"/>
    <w:rsid w:val="005717D5"/>
    <w:rsid w:val="005719DF"/>
    <w:rsid w:val="00572000"/>
    <w:rsid w:val="005720AE"/>
    <w:rsid w:val="00573E66"/>
    <w:rsid w:val="0057408A"/>
    <w:rsid w:val="00575421"/>
    <w:rsid w:val="00575F11"/>
    <w:rsid w:val="005767C2"/>
    <w:rsid w:val="00576A34"/>
    <w:rsid w:val="00576BB0"/>
    <w:rsid w:val="00576C53"/>
    <w:rsid w:val="00576D33"/>
    <w:rsid w:val="00577040"/>
    <w:rsid w:val="00580B41"/>
    <w:rsid w:val="00580E8D"/>
    <w:rsid w:val="00581A2A"/>
    <w:rsid w:val="00581CEB"/>
    <w:rsid w:val="00582577"/>
    <w:rsid w:val="005826CD"/>
    <w:rsid w:val="0058337A"/>
    <w:rsid w:val="005841A8"/>
    <w:rsid w:val="0058520A"/>
    <w:rsid w:val="00585AFC"/>
    <w:rsid w:val="00586062"/>
    <w:rsid w:val="005862C4"/>
    <w:rsid w:val="00586636"/>
    <w:rsid w:val="00586F63"/>
    <w:rsid w:val="005873DA"/>
    <w:rsid w:val="00587596"/>
    <w:rsid w:val="00590A7D"/>
    <w:rsid w:val="00590E9D"/>
    <w:rsid w:val="00591955"/>
    <w:rsid w:val="00591CE8"/>
    <w:rsid w:val="00591DDB"/>
    <w:rsid w:val="00592102"/>
    <w:rsid w:val="00592B94"/>
    <w:rsid w:val="00592D34"/>
    <w:rsid w:val="00593EBD"/>
    <w:rsid w:val="00594BEA"/>
    <w:rsid w:val="00594D77"/>
    <w:rsid w:val="005958B0"/>
    <w:rsid w:val="005959CA"/>
    <w:rsid w:val="005969E4"/>
    <w:rsid w:val="00596CC2"/>
    <w:rsid w:val="00596CC9"/>
    <w:rsid w:val="0059706D"/>
    <w:rsid w:val="005976A2"/>
    <w:rsid w:val="005A06B7"/>
    <w:rsid w:val="005A09D8"/>
    <w:rsid w:val="005A0A18"/>
    <w:rsid w:val="005A0FB6"/>
    <w:rsid w:val="005A10C1"/>
    <w:rsid w:val="005A10F0"/>
    <w:rsid w:val="005A161B"/>
    <w:rsid w:val="005A1759"/>
    <w:rsid w:val="005A1D66"/>
    <w:rsid w:val="005A2000"/>
    <w:rsid w:val="005A22CC"/>
    <w:rsid w:val="005A24FC"/>
    <w:rsid w:val="005A279D"/>
    <w:rsid w:val="005A34C1"/>
    <w:rsid w:val="005A3887"/>
    <w:rsid w:val="005A3DE3"/>
    <w:rsid w:val="005A41E8"/>
    <w:rsid w:val="005A48CA"/>
    <w:rsid w:val="005A4E52"/>
    <w:rsid w:val="005A5357"/>
    <w:rsid w:val="005A53DA"/>
    <w:rsid w:val="005A5643"/>
    <w:rsid w:val="005A5A9B"/>
    <w:rsid w:val="005A68A7"/>
    <w:rsid w:val="005A6CEB"/>
    <w:rsid w:val="005A7C2E"/>
    <w:rsid w:val="005B05A5"/>
    <w:rsid w:val="005B0E1D"/>
    <w:rsid w:val="005B16E1"/>
    <w:rsid w:val="005B20F7"/>
    <w:rsid w:val="005B25A6"/>
    <w:rsid w:val="005B2BA2"/>
    <w:rsid w:val="005B2BB4"/>
    <w:rsid w:val="005B3958"/>
    <w:rsid w:val="005B52DF"/>
    <w:rsid w:val="005B5945"/>
    <w:rsid w:val="005B6098"/>
    <w:rsid w:val="005B6129"/>
    <w:rsid w:val="005B618F"/>
    <w:rsid w:val="005B6257"/>
    <w:rsid w:val="005C138C"/>
    <w:rsid w:val="005C1464"/>
    <w:rsid w:val="005C1666"/>
    <w:rsid w:val="005C176B"/>
    <w:rsid w:val="005C286D"/>
    <w:rsid w:val="005C31F8"/>
    <w:rsid w:val="005C3691"/>
    <w:rsid w:val="005C4282"/>
    <w:rsid w:val="005C4B4A"/>
    <w:rsid w:val="005C5164"/>
    <w:rsid w:val="005C51B0"/>
    <w:rsid w:val="005C5BF2"/>
    <w:rsid w:val="005C7FEF"/>
    <w:rsid w:val="005D0823"/>
    <w:rsid w:val="005D0F6B"/>
    <w:rsid w:val="005D25FB"/>
    <w:rsid w:val="005D2F6D"/>
    <w:rsid w:val="005D3053"/>
    <w:rsid w:val="005D36AB"/>
    <w:rsid w:val="005D3B86"/>
    <w:rsid w:val="005D61A6"/>
    <w:rsid w:val="005D6518"/>
    <w:rsid w:val="005D67FE"/>
    <w:rsid w:val="005D6A5A"/>
    <w:rsid w:val="005D6AC4"/>
    <w:rsid w:val="005D6D57"/>
    <w:rsid w:val="005D6FE0"/>
    <w:rsid w:val="005D7212"/>
    <w:rsid w:val="005D751E"/>
    <w:rsid w:val="005D77DE"/>
    <w:rsid w:val="005D782E"/>
    <w:rsid w:val="005E0742"/>
    <w:rsid w:val="005E0FF8"/>
    <w:rsid w:val="005E1D02"/>
    <w:rsid w:val="005E2293"/>
    <w:rsid w:val="005E2744"/>
    <w:rsid w:val="005E2FEA"/>
    <w:rsid w:val="005E30AF"/>
    <w:rsid w:val="005E3A69"/>
    <w:rsid w:val="005E413C"/>
    <w:rsid w:val="005E44AD"/>
    <w:rsid w:val="005E480A"/>
    <w:rsid w:val="005E57F8"/>
    <w:rsid w:val="005E61BC"/>
    <w:rsid w:val="005E74F3"/>
    <w:rsid w:val="005E7C8E"/>
    <w:rsid w:val="005E7DF0"/>
    <w:rsid w:val="005F08AD"/>
    <w:rsid w:val="005F254D"/>
    <w:rsid w:val="005F345D"/>
    <w:rsid w:val="005F3D33"/>
    <w:rsid w:val="005F4155"/>
    <w:rsid w:val="005F4D6D"/>
    <w:rsid w:val="005F56EB"/>
    <w:rsid w:val="005F58AD"/>
    <w:rsid w:val="005F5B51"/>
    <w:rsid w:val="005F658D"/>
    <w:rsid w:val="005F65CD"/>
    <w:rsid w:val="005F6D65"/>
    <w:rsid w:val="005F6E58"/>
    <w:rsid w:val="00600256"/>
    <w:rsid w:val="006012AC"/>
    <w:rsid w:val="00601AA5"/>
    <w:rsid w:val="00601B87"/>
    <w:rsid w:val="006021D2"/>
    <w:rsid w:val="0060271C"/>
    <w:rsid w:val="00602D9B"/>
    <w:rsid w:val="00603391"/>
    <w:rsid w:val="00603A36"/>
    <w:rsid w:val="00604000"/>
    <w:rsid w:val="00604AEF"/>
    <w:rsid w:val="00604BDE"/>
    <w:rsid w:val="00605ADB"/>
    <w:rsid w:val="00605F0B"/>
    <w:rsid w:val="0060628D"/>
    <w:rsid w:val="00607BCE"/>
    <w:rsid w:val="00607D6A"/>
    <w:rsid w:val="0061054A"/>
    <w:rsid w:val="006108EB"/>
    <w:rsid w:val="00610BC0"/>
    <w:rsid w:val="00611A51"/>
    <w:rsid w:val="00611C4D"/>
    <w:rsid w:val="006120EF"/>
    <w:rsid w:val="0061276D"/>
    <w:rsid w:val="006132C0"/>
    <w:rsid w:val="00614631"/>
    <w:rsid w:val="006146AA"/>
    <w:rsid w:val="00614BD9"/>
    <w:rsid w:val="00614D77"/>
    <w:rsid w:val="006150E5"/>
    <w:rsid w:val="0061566C"/>
    <w:rsid w:val="0061572F"/>
    <w:rsid w:val="0061589F"/>
    <w:rsid w:val="00616A78"/>
    <w:rsid w:val="00616FC7"/>
    <w:rsid w:val="00617CC3"/>
    <w:rsid w:val="00617DB8"/>
    <w:rsid w:val="0062046F"/>
    <w:rsid w:val="006206C6"/>
    <w:rsid w:val="00620D36"/>
    <w:rsid w:val="0062182E"/>
    <w:rsid w:val="0062199A"/>
    <w:rsid w:val="00621BF7"/>
    <w:rsid w:val="006222C3"/>
    <w:rsid w:val="006226B8"/>
    <w:rsid w:val="00622F44"/>
    <w:rsid w:val="00625075"/>
    <w:rsid w:val="006253DF"/>
    <w:rsid w:val="00625402"/>
    <w:rsid w:val="006254B6"/>
    <w:rsid w:val="00627D9A"/>
    <w:rsid w:val="0063012D"/>
    <w:rsid w:val="00631623"/>
    <w:rsid w:val="0063196C"/>
    <w:rsid w:val="006321B1"/>
    <w:rsid w:val="00633A6D"/>
    <w:rsid w:val="00633B4B"/>
    <w:rsid w:val="0063461E"/>
    <w:rsid w:val="0063487E"/>
    <w:rsid w:val="00634CE3"/>
    <w:rsid w:val="00635DB8"/>
    <w:rsid w:val="00635EAA"/>
    <w:rsid w:val="00635EE9"/>
    <w:rsid w:val="006360BD"/>
    <w:rsid w:val="0063614D"/>
    <w:rsid w:val="006369D8"/>
    <w:rsid w:val="006377A6"/>
    <w:rsid w:val="00637A3D"/>
    <w:rsid w:val="006401F1"/>
    <w:rsid w:val="00641149"/>
    <w:rsid w:val="006411EF"/>
    <w:rsid w:val="0064173C"/>
    <w:rsid w:val="00641A74"/>
    <w:rsid w:val="00641DC6"/>
    <w:rsid w:val="006420D5"/>
    <w:rsid w:val="00642202"/>
    <w:rsid w:val="00643571"/>
    <w:rsid w:val="0064377D"/>
    <w:rsid w:val="00644EEC"/>
    <w:rsid w:val="00645184"/>
    <w:rsid w:val="0064523C"/>
    <w:rsid w:val="00645698"/>
    <w:rsid w:val="00645991"/>
    <w:rsid w:val="0064789C"/>
    <w:rsid w:val="00647B6C"/>
    <w:rsid w:val="00652340"/>
    <w:rsid w:val="0065242E"/>
    <w:rsid w:val="006524C1"/>
    <w:rsid w:val="00652FB9"/>
    <w:rsid w:val="00653498"/>
    <w:rsid w:val="00654F92"/>
    <w:rsid w:val="006557A5"/>
    <w:rsid w:val="0065673C"/>
    <w:rsid w:val="0065738E"/>
    <w:rsid w:val="00657D23"/>
    <w:rsid w:val="006607C9"/>
    <w:rsid w:val="00661521"/>
    <w:rsid w:val="0066215F"/>
    <w:rsid w:val="00662F19"/>
    <w:rsid w:val="00662F9A"/>
    <w:rsid w:val="006637EA"/>
    <w:rsid w:val="006641B8"/>
    <w:rsid w:val="00664BF6"/>
    <w:rsid w:val="006661B8"/>
    <w:rsid w:val="00666B7F"/>
    <w:rsid w:val="00666E4B"/>
    <w:rsid w:val="0066749F"/>
    <w:rsid w:val="0066795B"/>
    <w:rsid w:val="006679AF"/>
    <w:rsid w:val="00667C58"/>
    <w:rsid w:val="00670FBE"/>
    <w:rsid w:val="00671F88"/>
    <w:rsid w:val="0067203E"/>
    <w:rsid w:val="0067233B"/>
    <w:rsid w:val="00673107"/>
    <w:rsid w:val="006732EB"/>
    <w:rsid w:val="006747EC"/>
    <w:rsid w:val="006748B8"/>
    <w:rsid w:val="00674B11"/>
    <w:rsid w:val="00674DCF"/>
    <w:rsid w:val="006752F7"/>
    <w:rsid w:val="00675481"/>
    <w:rsid w:val="00675AEA"/>
    <w:rsid w:val="0067743A"/>
    <w:rsid w:val="006775C3"/>
    <w:rsid w:val="00677B1D"/>
    <w:rsid w:val="00677F8A"/>
    <w:rsid w:val="00680666"/>
    <w:rsid w:val="00680CAF"/>
    <w:rsid w:val="006811AE"/>
    <w:rsid w:val="006816FD"/>
    <w:rsid w:val="00681863"/>
    <w:rsid w:val="006825B1"/>
    <w:rsid w:val="00682AA2"/>
    <w:rsid w:val="006838D9"/>
    <w:rsid w:val="00683C59"/>
    <w:rsid w:val="00683D3C"/>
    <w:rsid w:val="006848BB"/>
    <w:rsid w:val="0068552D"/>
    <w:rsid w:val="00685DCA"/>
    <w:rsid w:val="006861A4"/>
    <w:rsid w:val="00686257"/>
    <w:rsid w:val="0068688C"/>
    <w:rsid w:val="00686AE1"/>
    <w:rsid w:val="00690CB7"/>
    <w:rsid w:val="006911F9"/>
    <w:rsid w:val="0069290A"/>
    <w:rsid w:val="006946E0"/>
    <w:rsid w:val="006955F5"/>
    <w:rsid w:val="0069656C"/>
    <w:rsid w:val="0069733D"/>
    <w:rsid w:val="0069744B"/>
    <w:rsid w:val="0069775A"/>
    <w:rsid w:val="00697813"/>
    <w:rsid w:val="006A0065"/>
    <w:rsid w:val="006A05B6"/>
    <w:rsid w:val="006A0E55"/>
    <w:rsid w:val="006A1112"/>
    <w:rsid w:val="006A2DB3"/>
    <w:rsid w:val="006A3EE8"/>
    <w:rsid w:val="006A44B4"/>
    <w:rsid w:val="006A4810"/>
    <w:rsid w:val="006A5322"/>
    <w:rsid w:val="006A555D"/>
    <w:rsid w:val="006A56BF"/>
    <w:rsid w:val="006A6E0B"/>
    <w:rsid w:val="006A72BF"/>
    <w:rsid w:val="006A74B2"/>
    <w:rsid w:val="006A7701"/>
    <w:rsid w:val="006A7C85"/>
    <w:rsid w:val="006A7D55"/>
    <w:rsid w:val="006B003A"/>
    <w:rsid w:val="006B03F2"/>
    <w:rsid w:val="006B1833"/>
    <w:rsid w:val="006B1DFD"/>
    <w:rsid w:val="006B25D6"/>
    <w:rsid w:val="006B2A5A"/>
    <w:rsid w:val="006B2D82"/>
    <w:rsid w:val="006B2DE6"/>
    <w:rsid w:val="006B37DC"/>
    <w:rsid w:val="006B39C9"/>
    <w:rsid w:val="006B3C55"/>
    <w:rsid w:val="006B4001"/>
    <w:rsid w:val="006B4F68"/>
    <w:rsid w:val="006B4FEE"/>
    <w:rsid w:val="006B649C"/>
    <w:rsid w:val="006B6898"/>
    <w:rsid w:val="006B6E16"/>
    <w:rsid w:val="006B6E37"/>
    <w:rsid w:val="006B6EAF"/>
    <w:rsid w:val="006B73BD"/>
    <w:rsid w:val="006B77F1"/>
    <w:rsid w:val="006B7E0C"/>
    <w:rsid w:val="006C0592"/>
    <w:rsid w:val="006C0B03"/>
    <w:rsid w:val="006C1984"/>
    <w:rsid w:val="006C1D53"/>
    <w:rsid w:val="006C2323"/>
    <w:rsid w:val="006C272E"/>
    <w:rsid w:val="006C2D87"/>
    <w:rsid w:val="006C2EC3"/>
    <w:rsid w:val="006C3119"/>
    <w:rsid w:val="006C4801"/>
    <w:rsid w:val="006C5479"/>
    <w:rsid w:val="006C59A7"/>
    <w:rsid w:val="006C6454"/>
    <w:rsid w:val="006C767B"/>
    <w:rsid w:val="006D0289"/>
    <w:rsid w:val="006D0D09"/>
    <w:rsid w:val="006D137D"/>
    <w:rsid w:val="006D13B5"/>
    <w:rsid w:val="006D1D15"/>
    <w:rsid w:val="006D235E"/>
    <w:rsid w:val="006D2D64"/>
    <w:rsid w:val="006D3A31"/>
    <w:rsid w:val="006D3FEC"/>
    <w:rsid w:val="006D439D"/>
    <w:rsid w:val="006D45A6"/>
    <w:rsid w:val="006D4975"/>
    <w:rsid w:val="006D4ED3"/>
    <w:rsid w:val="006D5689"/>
    <w:rsid w:val="006D5C63"/>
    <w:rsid w:val="006D64A5"/>
    <w:rsid w:val="006D7277"/>
    <w:rsid w:val="006D72B7"/>
    <w:rsid w:val="006D72F8"/>
    <w:rsid w:val="006D7688"/>
    <w:rsid w:val="006E0031"/>
    <w:rsid w:val="006E01C9"/>
    <w:rsid w:val="006E0B78"/>
    <w:rsid w:val="006E12FF"/>
    <w:rsid w:val="006E3F5A"/>
    <w:rsid w:val="006E422F"/>
    <w:rsid w:val="006E4EC6"/>
    <w:rsid w:val="006E4EEA"/>
    <w:rsid w:val="006E51FA"/>
    <w:rsid w:val="006E5DF1"/>
    <w:rsid w:val="006E607E"/>
    <w:rsid w:val="006E7876"/>
    <w:rsid w:val="006F0F62"/>
    <w:rsid w:val="006F149B"/>
    <w:rsid w:val="006F18CC"/>
    <w:rsid w:val="006F2663"/>
    <w:rsid w:val="006F3259"/>
    <w:rsid w:val="006F3387"/>
    <w:rsid w:val="006F3AE7"/>
    <w:rsid w:val="006F4772"/>
    <w:rsid w:val="006F4884"/>
    <w:rsid w:val="006F54BC"/>
    <w:rsid w:val="006F5AF5"/>
    <w:rsid w:val="006F6311"/>
    <w:rsid w:val="006F6D78"/>
    <w:rsid w:val="006F7000"/>
    <w:rsid w:val="00700080"/>
    <w:rsid w:val="007007DA"/>
    <w:rsid w:val="007010CB"/>
    <w:rsid w:val="0070157E"/>
    <w:rsid w:val="00702C5C"/>
    <w:rsid w:val="00702D2D"/>
    <w:rsid w:val="00703B08"/>
    <w:rsid w:val="00704336"/>
    <w:rsid w:val="0070462E"/>
    <w:rsid w:val="00704C07"/>
    <w:rsid w:val="00705117"/>
    <w:rsid w:val="00705247"/>
    <w:rsid w:val="00705A74"/>
    <w:rsid w:val="00706026"/>
    <w:rsid w:val="00706680"/>
    <w:rsid w:val="00706C5D"/>
    <w:rsid w:val="007075E0"/>
    <w:rsid w:val="0070793D"/>
    <w:rsid w:val="00710410"/>
    <w:rsid w:val="00710CC1"/>
    <w:rsid w:val="007118A3"/>
    <w:rsid w:val="00711B51"/>
    <w:rsid w:val="00712BBB"/>
    <w:rsid w:val="00712D0B"/>
    <w:rsid w:val="0071438D"/>
    <w:rsid w:val="00714729"/>
    <w:rsid w:val="00714AB3"/>
    <w:rsid w:val="0071558B"/>
    <w:rsid w:val="0071673C"/>
    <w:rsid w:val="00717074"/>
    <w:rsid w:val="0071716F"/>
    <w:rsid w:val="00717F28"/>
    <w:rsid w:val="00721379"/>
    <w:rsid w:val="007213B0"/>
    <w:rsid w:val="0072258C"/>
    <w:rsid w:val="00722C4B"/>
    <w:rsid w:val="00722F06"/>
    <w:rsid w:val="00723AA0"/>
    <w:rsid w:val="00724434"/>
    <w:rsid w:val="00724D30"/>
    <w:rsid w:val="00724EBF"/>
    <w:rsid w:val="007256E7"/>
    <w:rsid w:val="00725A09"/>
    <w:rsid w:val="00725F2A"/>
    <w:rsid w:val="007260FE"/>
    <w:rsid w:val="007266C4"/>
    <w:rsid w:val="00727209"/>
    <w:rsid w:val="0072720D"/>
    <w:rsid w:val="0073026E"/>
    <w:rsid w:val="007304B5"/>
    <w:rsid w:val="00731613"/>
    <w:rsid w:val="00731B03"/>
    <w:rsid w:val="00731CA8"/>
    <w:rsid w:val="00732013"/>
    <w:rsid w:val="00732922"/>
    <w:rsid w:val="0073296E"/>
    <w:rsid w:val="007348FF"/>
    <w:rsid w:val="00734C0A"/>
    <w:rsid w:val="00734D79"/>
    <w:rsid w:val="0073757D"/>
    <w:rsid w:val="0074077F"/>
    <w:rsid w:val="007409EA"/>
    <w:rsid w:val="00740ECD"/>
    <w:rsid w:val="007411CA"/>
    <w:rsid w:val="0074151B"/>
    <w:rsid w:val="00741F46"/>
    <w:rsid w:val="0074221F"/>
    <w:rsid w:val="00742CE7"/>
    <w:rsid w:val="0074355B"/>
    <w:rsid w:val="00743A42"/>
    <w:rsid w:val="00743D8B"/>
    <w:rsid w:val="007443D1"/>
    <w:rsid w:val="007447EC"/>
    <w:rsid w:val="007502D2"/>
    <w:rsid w:val="00750AEB"/>
    <w:rsid w:val="00750E81"/>
    <w:rsid w:val="00751508"/>
    <w:rsid w:val="0075162E"/>
    <w:rsid w:val="007517E7"/>
    <w:rsid w:val="00751889"/>
    <w:rsid w:val="0075199B"/>
    <w:rsid w:val="00751ED8"/>
    <w:rsid w:val="007521EB"/>
    <w:rsid w:val="00752D28"/>
    <w:rsid w:val="00752EF6"/>
    <w:rsid w:val="00753EE2"/>
    <w:rsid w:val="00754034"/>
    <w:rsid w:val="00754932"/>
    <w:rsid w:val="007549D2"/>
    <w:rsid w:val="00754AB8"/>
    <w:rsid w:val="00754BC1"/>
    <w:rsid w:val="00755B8D"/>
    <w:rsid w:val="00755FA4"/>
    <w:rsid w:val="00756028"/>
    <w:rsid w:val="00756213"/>
    <w:rsid w:val="00756556"/>
    <w:rsid w:val="00757672"/>
    <w:rsid w:val="00757B9E"/>
    <w:rsid w:val="007600D9"/>
    <w:rsid w:val="00760C09"/>
    <w:rsid w:val="00761441"/>
    <w:rsid w:val="007615E2"/>
    <w:rsid w:val="007618C4"/>
    <w:rsid w:val="00764E94"/>
    <w:rsid w:val="0076504D"/>
    <w:rsid w:val="00765E1F"/>
    <w:rsid w:val="00766148"/>
    <w:rsid w:val="0076631B"/>
    <w:rsid w:val="00766B38"/>
    <w:rsid w:val="00767980"/>
    <w:rsid w:val="00770B19"/>
    <w:rsid w:val="007713F2"/>
    <w:rsid w:val="00772359"/>
    <w:rsid w:val="00773928"/>
    <w:rsid w:val="0077463F"/>
    <w:rsid w:val="0077511D"/>
    <w:rsid w:val="0077564D"/>
    <w:rsid w:val="007757AE"/>
    <w:rsid w:val="00776B02"/>
    <w:rsid w:val="00777442"/>
    <w:rsid w:val="00780191"/>
    <w:rsid w:val="007806EC"/>
    <w:rsid w:val="00780813"/>
    <w:rsid w:val="00781102"/>
    <w:rsid w:val="00781B05"/>
    <w:rsid w:val="00782A44"/>
    <w:rsid w:val="007836EA"/>
    <w:rsid w:val="00783C92"/>
    <w:rsid w:val="00784125"/>
    <w:rsid w:val="00784614"/>
    <w:rsid w:val="00784AD1"/>
    <w:rsid w:val="00784C8C"/>
    <w:rsid w:val="00784CDA"/>
    <w:rsid w:val="00785FD7"/>
    <w:rsid w:val="00786740"/>
    <w:rsid w:val="00786A57"/>
    <w:rsid w:val="00786FA2"/>
    <w:rsid w:val="00787398"/>
    <w:rsid w:val="00787B96"/>
    <w:rsid w:val="007906C4"/>
    <w:rsid w:val="007920FD"/>
    <w:rsid w:val="00792CF0"/>
    <w:rsid w:val="00793528"/>
    <w:rsid w:val="007935A4"/>
    <w:rsid w:val="00793D4A"/>
    <w:rsid w:val="007940EA"/>
    <w:rsid w:val="00794716"/>
    <w:rsid w:val="007947C1"/>
    <w:rsid w:val="0079548D"/>
    <w:rsid w:val="00796214"/>
    <w:rsid w:val="0079666E"/>
    <w:rsid w:val="0079674F"/>
    <w:rsid w:val="007967E8"/>
    <w:rsid w:val="0079747C"/>
    <w:rsid w:val="00797FD0"/>
    <w:rsid w:val="007A009D"/>
    <w:rsid w:val="007A02AB"/>
    <w:rsid w:val="007A0632"/>
    <w:rsid w:val="007A0F42"/>
    <w:rsid w:val="007A103E"/>
    <w:rsid w:val="007A1F0E"/>
    <w:rsid w:val="007A2170"/>
    <w:rsid w:val="007A22BF"/>
    <w:rsid w:val="007A2380"/>
    <w:rsid w:val="007A23DF"/>
    <w:rsid w:val="007A29F0"/>
    <w:rsid w:val="007A2B23"/>
    <w:rsid w:val="007A3323"/>
    <w:rsid w:val="007A36F0"/>
    <w:rsid w:val="007A54E6"/>
    <w:rsid w:val="007A6F26"/>
    <w:rsid w:val="007A6F63"/>
    <w:rsid w:val="007A762D"/>
    <w:rsid w:val="007A7E3A"/>
    <w:rsid w:val="007A7EB9"/>
    <w:rsid w:val="007B0075"/>
    <w:rsid w:val="007B201C"/>
    <w:rsid w:val="007B2363"/>
    <w:rsid w:val="007B25DD"/>
    <w:rsid w:val="007B26A0"/>
    <w:rsid w:val="007B2731"/>
    <w:rsid w:val="007B3FF7"/>
    <w:rsid w:val="007B4A90"/>
    <w:rsid w:val="007B571B"/>
    <w:rsid w:val="007B594D"/>
    <w:rsid w:val="007B7012"/>
    <w:rsid w:val="007B72B8"/>
    <w:rsid w:val="007B7657"/>
    <w:rsid w:val="007B7A58"/>
    <w:rsid w:val="007B7F7A"/>
    <w:rsid w:val="007C0240"/>
    <w:rsid w:val="007C0668"/>
    <w:rsid w:val="007C0942"/>
    <w:rsid w:val="007C0AA2"/>
    <w:rsid w:val="007C0F2D"/>
    <w:rsid w:val="007C21B5"/>
    <w:rsid w:val="007C30EC"/>
    <w:rsid w:val="007C338F"/>
    <w:rsid w:val="007C34DF"/>
    <w:rsid w:val="007C354E"/>
    <w:rsid w:val="007C4216"/>
    <w:rsid w:val="007C523E"/>
    <w:rsid w:val="007C5C6A"/>
    <w:rsid w:val="007C6329"/>
    <w:rsid w:val="007C742E"/>
    <w:rsid w:val="007D02A6"/>
    <w:rsid w:val="007D19CB"/>
    <w:rsid w:val="007D1E62"/>
    <w:rsid w:val="007D2A75"/>
    <w:rsid w:val="007D2FA7"/>
    <w:rsid w:val="007D3165"/>
    <w:rsid w:val="007D3EDC"/>
    <w:rsid w:val="007D456F"/>
    <w:rsid w:val="007D4E16"/>
    <w:rsid w:val="007D53EB"/>
    <w:rsid w:val="007D6333"/>
    <w:rsid w:val="007D70DA"/>
    <w:rsid w:val="007E0035"/>
    <w:rsid w:val="007E0318"/>
    <w:rsid w:val="007E0443"/>
    <w:rsid w:val="007E19F9"/>
    <w:rsid w:val="007E1B34"/>
    <w:rsid w:val="007E1F3D"/>
    <w:rsid w:val="007E2031"/>
    <w:rsid w:val="007E23E3"/>
    <w:rsid w:val="007E26A3"/>
    <w:rsid w:val="007E2EF7"/>
    <w:rsid w:val="007E3877"/>
    <w:rsid w:val="007E4425"/>
    <w:rsid w:val="007E46CE"/>
    <w:rsid w:val="007E4BD2"/>
    <w:rsid w:val="007E4E24"/>
    <w:rsid w:val="007E5E85"/>
    <w:rsid w:val="007E5F87"/>
    <w:rsid w:val="007E616C"/>
    <w:rsid w:val="007E6D37"/>
    <w:rsid w:val="007E75D0"/>
    <w:rsid w:val="007F06A9"/>
    <w:rsid w:val="007F11D3"/>
    <w:rsid w:val="007F1A08"/>
    <w:rsid w:val="007F1C4C"/>
    <w:rsid w:val="007F1FA0"/>
    <w:rsid w:val="007F3934"/>
    <w:rsid w:val="007F5339"/>
    <w:rsid w:val="007F5A80"/>
    <w:rsid w:val="007F6C6F"/>
    <w:rsid w:val="007F7EE7"/>
    <w:rsid w:val="008008AA"/>
    <w:rsid w:val="00801393"/>
    <w:rsid w:val="00801CFA"/>
    <w:rsid w:val="00802474"/>
    <w:rsid w:val="00802786"/>
    <w:rsid w:val="00802F3B"/>
    <w:rsid w:val="00802F88"/>
    <w:rsid w:val="008033C0"/>
    <w:rsid w:val="008037FA"/>
    <w:rsid w:val="00804138"/>
    <w:rsid w:val="00804746"/>
    <w:rsid w:val="00806203"/>
    <w:rsid w:val="00806AF0"/>
    <w:rsid w:val="00806CD1"/>
    <w:rsid w:val="00806EC1"/>
    <w:rsid w:val="0080776D"/>
    <w:rsid w:val="00807F81"/>
    <w:rsid w:val="0081111D"/>
    <w:rsid w:val="00811415"/>
    <w:rsid w:val="008115AF"/>
    <w:rsid w:val="0081293E"/>
    <w:rsid w:val="00812C71"/>
    <w:rsid w:val="00812E43"/>
    <w:rsid w:val="00813390"/>
    <w:rsid w:val="00813F6A"/>
    <w:rsid w:val="0081422B"/>
    <w:rsid w:val="00814795"/>
    <w:rsid w:val="00815363"/>
    <w:rsid w:val="00815465"/>
    <w:rsid w:val="00815C20"/>
    <w:rsid w:val="00816320"/>
    <w:rsid w:val="0081691E"/>
    <w:rsid w:val="00816B50"/>
    <w:rsid w:val="00816B6C"/>
    <w:rsid w:val="00816D7B"/>
    <w:rsid w:val="008179CF"/>
    <w:rsid w:val="00817E9A"/>
    <w:rsid w:val="00817EA7"/>
    <w:rsid w:val="00817F71"/>
    <w:rsid w:val="0082145B"/>
    <w:rsid w:val="0082183F"/>
    <w:rsid w:val="00822629"/>
    <w:rsid w:val="00822BF0"/>
    <w:rsid w:val="00822D08"/>
    <w:rsid w:val="008230AB"/>
    <w:rsid w:val="008230ED"/>
    <w:rsid w:val="008242CF"/>
    <w:rsid w:val="0082442F"/>
    <w:rsid w:val="0082555E"/>
    <w:rsid w:val="00825BD5"/>
    <w:rsid w:val="00825C5E"/>
    <w:rsid w:val="00825D7F"/>
    <w:rsid w:val="008265A0"/>
    <w:rsid w:val="008265AC"/>
    <w:rsid w:val="00827852"/>
    <w:rsid w:val="008306BD"/>
    <w:rsid w:val="00830EA4"/>
    <w:rsid w:val="00831A80"/>
    <w:rsid w:val="00831E7C"/>
    <w:rsid w:val="00833743"/>
    <w:rsid w:val="00833CD3"/>
    <w:rsid w:val="00833EE0"/>
    <w:rsid w:val="008340A4"/>
    <w:rsid w:val="00834343"/>
    <w:rsid w:val="00834520"/>
    <w:rsid w:val="00834BB6"/>
    <w:rsid w:val="00835252"/>
    <w:rsid w:val="00835D28"/>
    <w:rsid w:val="0083622E"/>
    <w:rsid w:val="00836866"/>
    <w:rsid w:val="00836A9F"/>
    <w:rsid w:val="00837C9B"/>
    <w:rsid w:val="00837F88"/>
    <w:rsid w:val="00840334"/>
    <w:rsid w:val="008408FF"/>
    <w:rsid w:val="00840980"/>
    <w:rsid w:val="0084346B"/>
    <w:rsid w:val="00843857"/>
    <w:rsid w:val="00843BDF"/>
    <w:rsid w:val="00844086"/>
    <w:rsid w:val="008449DD"/>
    <w:rsid w:val="00844F9C"/>
    <w:rsid w:val="0084526A"/>
    <w:rsid w:val="00845646"/>
    <w:rsid w:val="0084581D"/>
    <w:rsid w:val="00845FB8"/>
    <w:rsid w:val="00846496"/>
    <w:rsid w:val="0084773C"/>
    <w:rsid w:val="0084780E"/>
    <w:rsid w:val="00847B5E"/>
    <w:rsid w:val="00847BF8"/>
    <w:rsid w:val="00851070"/>
    <w:rsid w:val="00851932"/>
    <w:rsid w:val="00851B3A"/>
    <w:rsid w:val="00851C32"/>
    <w:rsid w:val="00853AD5"/>
    <w:rsid w:val="00856067"/>
    <w:rsid w:val="00856FC1"/>
    <w:rsid w:val="00857AEE"/>
    <w:rsid w:val="008605A3"/>
    <w:rsid w:val="008606B9"/>
    <w:rsid w:val="0086085A"/>
    <w:rsid w:val="00861218"/>
    <w:rsid w:val="00862233"/>
    <w:rsid w:val="00862CF6"/>
    <w:rsid w:val="00862EC2"/>
    <w:rsid w:val="00863531"/>
    <w:rsid w:val="00863ADF"/>
    <w:rsid w:val="00863B59"/>
    <w:rsid w:val="00864F45"/>
    <w:rsid w:val="00866857"/>
    <w:rsid w:val="00866B64"/>
    <w:rsid w:val="00867067"/>
    <w:rsid w:val="00867BA3"/>
    <w:rsid w:val="0087081C"/>
    <w:rsid w:val="0087135F"/>
    <w:rsid w:val="00871C82"/>
    <w:rsid w:val="00872D94"/>
    <w:rsid w:val="00872EE7"/>
    <w:rsid w:val="0087374E"/>
    <w:rsid w:val="00873B0B"/>
    <w:rsid w:val="008754E3"/>
    <w:rsid w:val="0087608F"/>
    <w:rsid w:val="0087627E"/>
    <w:rsid w:val="00876298"/>
    <w:rsid w:val="00876C31"/>
    <w:rsid w:val="00876EDD"/>
    <w:rsid w:val="00877BCA"/>
    <w:rsid w:val="00880364"/>
    <w:rsid w:val="00880B12"/>
    <w:rsid w:val="00881290"/>
    <w:rsid w:val="0088130F"/>
    <w:rsid w:val="0088184D"/>
    <w:rsid w:val="00882C69"/>
    <w:rsid w:val="0088313A"/>
    <w:rsid w:val="00883141"/>
    <w:rsid w:val="0088392F"/>
    <w:rsid w:val="00883EDF"/>
    <w:rsid w:val="008840F1"/>
    <w:rsid w:val="0088675C"/>
    <w:rsid w:val="00886790"/>
    <w:rsid w:val="008878D1"/>
    <w:rsid w:val="0088792D"/>
    <w:rsid w:val="008902C1"/>
    <w:rsid w:val="0089098C"/>
    <w:rsid w:val="00890F98"/>
    <w:rsid w:val="0089147F"/>
    <w:rsid w:val="00891592"/>
    <w:rsid w:val="00891E9E"/>
    <w:rsid w:val="008922F3"/>
    <w:rsid w:val="008937E2"/>
    <w:rsid w:val="00893845"/>
    <w:rsid w:val="00893CA3"/>
    <w:rsid w:val="00893CC4"/>
    <w:rsid w:val="008945C3"/>
    <w:rsid w:val="008949A1"/>
    <w:rsid w:val="00895350"/>
    <w:rsid w:val="00895391"/>
    <w:rsid w:val="008963E7"/>
    <w:rsid w:val="008967A7"/>
    <w:rsid w:val="0089720C"/>
    <w:rsid w:val="008973FF"/>
    <w:rsid w:val="00897593"/>
    <w:rsid w:val="00897F77"/>
    <w:rsid w:val="008A0503"/>
    <w:rsid w:val="008A0A76"/>
    <w:rsid w:val="008A244A"/>
    <w:rsid w:val="008A2DB5"/>
    <w:rsid w:val="008A2F68"/>
    <w:rsid w:val="008A366C"/>
    <w:rsid w:val="008A479C"/>
    <w:rsid w:val="008A530F"/>
    <w:rsid w:val="008A58FC"/>
    <w:rsid w:val="008A5B19"/>
    <w:rsid w:val="008A78D8"/>
    <w:rsid w:val="008A78E0"/>
    <w:rsid w:val="008A7B1A"/>
    <w:rsid w:val="008A7FF2"/>
    <w:rsid w:val="008B010F"/>
    <w:rsid w:val="008B0467"/>
    <w:rsid w:val="008B0746"/>
    <w:rsid w:val="008B1947"/>
    <w:rsid w:val="008B2343"/>
    <w:rsid w:val="008B253D"/>
    <w:rsid w:val="008B2FED"/>
    <w:rsid w:val="008B354E"/>
    <w:rsid w:val="008B4FA6"/>
    <w:rsid w:val="008B4FB3"/>
    <w:rsid w:val="008B5282"/>
    <w:rsid w:val="008B6F02"/>
    <w:rsid w:val="008B7C17"/>
    <w:rsid w:val="008C0360"/>
    <w:rsid w:val="008C076B"/>
    <w:rsid w:val="008C08DA"/>
    <w:rsid w:val="008C11EC"/>
    <w:rsid w:val="008C1349"/>
    <w:rsid w:val="008C188E"/>
    <w:rsid w:val="008C1915"/>
    <w:rsid w:val="008C1CF7"/>
    <w:rsid w:val="008C228F"/>
    <w:rsid w:val="008C26D1"/>
    <w:rsid w:val="008C2A59"/>
    <w:rsid w:val="008C2D01"/>
    <w:rsid w:val="008C2D31"/>
    <w:rsid w:val="008C40E6"/>
    <w:rsid w:val="008C48A4"/>
    <w:rsid w:val="008C5353"/>
    <w:rsid w:val="008C556A"/>
    <w:rsid w:val="008C5B98"/>
    <w:rsid w:val="008C5E7E"/>
    <w:rsid w:val="008C69EF"/>
    <w:rsid w:val="008C7F2D"/>
    <w:rsid w:val="008D00CA"/>
    <w:rsid w:val="008D00EE"/>
    <w:rsid w:val="008D01A1"/>
    <w:rsid w:val="008D06E4"/>
    <w:rsid w:val="008D0F7A"/>
    <w:rsid w:val="008D14A1"/>
    <w:rsid w:val="008D1A87"/>
    <w:rsid w:val="008D3116"/>
    <w:rsid w:val="008D39E0"/>
    <w:rsid w:val="008D46B4"/>
    <w:rsid w:val="008D4CC0"/>
    <w:rsid w:val="008D646E"/>
    <w:rsid w:val="008D674F"/>
    <w:rsid w:val="008D68E4"/>
    <w:rsid w:val="008D6EDA"/>
    <w:rsid w:val="008D7369"/>
    <w:rsid w:val="008D7B48"/>
    <w:rsid w:val="008E0506"/>
    <w:rsid w:val="008E0CFF"/>
    <w:rsid w:val="008E2122"/>
    <w:rsid w:val="008E2526"/>
    <w:rsid w:val="008E287D"/>
    <w:rsid w:val="008E36F6"/>
    <w:rsid w:val="008E3844"/>
    <w:rsid w:val="008E3915"/>
    <w:rsid w:val="008E397D"/>
    <w:rsid w:val="008E3F04"/>
    <w:rsid w:val="008E40F2"/>
    <w:rsid w:val="008E4B0C"/>
    <w:rsid w:val="008E4D5E"/>
    <w:rsid w:val="008E502F"/>
    <w:rsid w:val="008E52F7"/>
    <w:rsid w:val="008E5BF5"/>
    <w:rsid w:val="008E5C44"/>
    <w:rsid w:val="008E5D6B"/>
    <w:rsid w:val="008E6137"/>
    <w:rsid w:val="008E651B"/>
    <w:rsid w:val="008E6673"/>
    <w:rsid w:val="008E66C3"/>
    <w:rsid w:val="008E76F0"/>
    <w:rsid w:val="008F046A"/>
    <w:rsid w:val="008F15FE"/>
    <w:rsid w:val="008F1C0B"/>
    <w:rsid w:val="008F2BF4"/>
    <w:rsid w:val="008F2D29"/>
    <w:rsid w:val="008F4512"/>
    <w:rsid w:val="008F4D9F"/>
    <w:rsid w:val="008F5187"/>
    <w:rsid w:val="008F59B3"/>
    <w:rsid w:val="008F5DF6"/>
    <w:rsid w:val="008F6000"/>
    <w:rsid w:val="008F60D8"/>
    <w:rsid w:val="008F63B1"/>
    <w:rsid w:val="008F67CA"/>
    <w:rsid w:val="008F6A21"/>
    <w:rsid w:val="008F737F"/>
    <w:rsid w:val="008F73FC"/>
    <w:rsid w:val="008F76AE"/>
    <w:rsid w:val="008F7948"/>
    <w:rsid w:val="009010FA"/>
    <w:rsid w:val="00901240"/>
    <w:rsid w:val="009012AA"/>
    <w:rsid w:val="009012F7"/>
    <w:rsid w:val="009014F2"/>
    <w:rsid w:val="009018E7"/>
    <w:rsid w:val="00902727"/>
    <w:rsid w:val="0090312B"/>
    <w:rsid w:val="0090381E"/>
    <w:rsid w:val="009040FA"/>
    <w:rsid w:val="00904222"/>
    <w:rsid w:val="00906252"/>
    <w:rsid w:val="00906786"/>
    <w:rsid w:val="00906A48"/>
    <w:rsid w:val="00906B1F"/>
    <w:rsid w:val="0091082F"/>
    <w:rsid w:val="00910BFB"/>
    <w:rsid w:val="0091216F"/>
    <w:rsid w:val="00912BAB"/>
    <w:rsid w:val="009132F6"/>
    <w:rsid w:val="00913965"/>
    <w:rsid w:val="009139A7"/>
    <w:rsid w:val="009139E7"/>
    <w:rsid w:val="00913AE7"/>
    <w:rsid w:val="00913B30"/>
    <w:rsid w:val="0091427F"/>
    <w:rsid w:val="00914BC8"/>
    <w:rsid w:val="009151B1"/>
    <w:rsid w:val="00915F1A"/>
    <w:rsid w:val="009161B8"/>
    <w:rsid w:val="00916201"/>
    <w:rsid w:val="00916DED"/>
    <w:rsid w:val="00916FE5"/>
    <w:rsid w:val="0091736D"/>
    <w:rsid w:val="00920457"/>
    <w:rsid w:val="00920879"/>
    <w:rsid w:val="009208AD"/>
    <w:rsid w:val="00921E11"/>
    <w:rsid w:val="00921F8C"/>
    <w:rsid w:val="00922284"/>
    <w:rsid w:val="009236EB"/>
    <w:rsid w:val="0092375C"/>
    <w:rsid w:val="00923DEE"/>
    <w:rsid w:val="00923EC1"/>
    <w:rsid w:val="00924A9F"/>
    <w:rsid w:val="0092507A"/>
    <w:rsid w:val="0092641C"/>
    <w:rsid w:val="0092786B"/>
    <w:rsid w:val="009278F9"/>
    <w:rsid w:val="00927D06"/>
    <w:rsid w:val="00930096"/>
    <w:rsid w:val="0093037A"/>
    <w:rsid w:val="00930B43"/>
    <w:rsid w:val="0093146C"/>
    <w:rsid w:val="00931674"/>
    <w:rsid w:val="00931BA3"/>
    <w:rsid w:val="009323B7"/>
    <w:rsid w:val="0093268A"/>
    <w:rsid w:val="009331A9"/>
    <w:rsid w:val="009343DD"/>
    <w:rsid w:val="00934653"/>
    <w:rsid w:val="00934BC1"/>
    <w:rsid w:val="00934E90"/>
    <w:rsid w:val="00935112"/>
    <w:rsid w:val="00935190"/>
    <w:rsid w:val="00935A15"/>
    <w:rsid w:val="00935B89"/>
    <w:rsid w:val="00936037"/>
    <w:rsid w:val="00936548"/>
    <w:rsid w:val="009367B5"/>
    <w:rsid w:val="00936C27"/>
    <w:rsid w:val="00937564"/>
    <w:rsid w:val="00937649"/>
    <w:rsid w:val="00937A37"/>
    <w:rsid w:val="00937BE2"/>
    <w:rsid w:val="00940D81"/>
    <w:rsid w:val="0094154D"/>
    <w:rsid w:val="00941C10"/>
    <w:rsid w:val="0094259B"/>
    <w:rsid w:val="009426BB"/>
    <w:rsid w:val="00942B6C"/>
    <w:rsid w:val="00943014"/>
    <w:rsid w:val="00943DA1"/>
    <w:rsid w:val="00944F62"/>
    <w:rsid w:val="009451A2"/>
    <w:rsid w:val="00945AB4"/>
    <w:rsid w:val="00946B5F"/>
    <w:rsid w:val="00946D9C"/>
    <w:rsid w:val="0094795F"/>
    <w:rsid w:val="0095040E"/>
    <w:rsid w:val="0095155F"/>
    <w:rsid w:val="00952474"/>
    <w:rsid w:val="00952C12"/>
    <w:rsid w:val="00952F50"/>
    <w:rsid w:val="0095393C"/>
    <w:rsid w:val="009539AD"/>
    <w:rsid w:val="00953D9C"/>
    <w:rsid w:val="00954429"/>
    <w:rsid w:val="0095614C"/>
    <w:rsid w:val="0095630D"/>
    <w:rsid w:val="009563CE"/>
    <w:rsid w:val="009563DD"/>
    <w:rsid w:val="00956803"/>
    <w:rsid w:val="009569A1"/>
    <w:rsid w:val="009576DD"/>
    <w:rsid w:val="00960154"/>
    <w:rsid w:val="009601A7"/>
    <w:rsid w:val="00960E60"/>
    <w:rsid w:val="00962B1F"/>
    <w:rsid w:val="00963A22"/>
    <w:rsid w:val="00963F57"/>
    <w:rsid w:val="00964006"/>
    <w:rsid w:val="00964288"/>
    <w:rsid w:val="009656EE"/>
    <w:rsid w:val="00966AB3"/>
    <w:rsid w:val="009676FC"/>
    <w:rsid w:val="00967EA8"/>
    <w:rsid w:val="0097036A"/>
    <w:rsid w:val="00970604"/>
    <w:rsid w:val="0097075A"/>
    <w:rsid w:val="00970776"/>
    <w:rsid w:val="00970A6A"/>
    <w:rsid w:val="00972347"/>
    <w:rsid w:val="009726B0"/>
    <w:rsid w:val="0097298B"/>
    <w:rsid w:val="00972D89"/>
    <w:rsid w:val="009730BF"/>
    <w:rsid w:val="00973B33"/>
    <w:rsid w:val="00974F6E"/>
    <w:rsid w:val="0097538D"/>
    <w:rsid w:val="00975E76"/>
    <w:rsid w:val="00976328"/>
    <w:rsid w:val="0097680D"/>
    <w:rsid w:val="00977B14"/>
    <w:rsid w:val="0098159F"/>
    <w:rsid w:val="00982438"/>
    <w:rsid w:val="0098386F"/>
    <w:rsid w:val="0098404C"/>
    <w:rsid w:val="00984656"/>
    <w:rsid w:val="0098484D"/>
    <w:rsid w:val="00985283"/>
    <w:rsid w:val="009859C3"/>
    <w:rsid w:val="00986871"/>
    <w:rsid w:val="00986B09"/>
    <w:rsid w:val="0098788A"/>
    <w:rsid w:val="009878B1"/>
    <w:rsid w:val="00991230"/>
    <w:rsid w:val="009936BB"/>
    <w:rsid w:val="0099388E"/>
    <w:rsid w:val="00993AB2"/>
    <w:rsid w:val="00994A8F"/>
    <w:rsid w:val="00994BB4"/>
    <w:rsid w:val="009954A6"/>
    <w:rsid w:val="0099552F"/>
    <w:rsid w:val="00995992"/>
    <w:rsid w:val="00995D27"/>
    <w:rsid w:val="00997A69"/>
    <w:rsid w:val="00997CA3"/>
    <w:rsid w:val="00997DDE"/>
    <w:rsid w:val="009A03E5"/>
    <w:rsid w:val="009A0E95"/>
    <w:rsid w:val="009A0F3B"/>
    <w:rsid w:val="009A13E7"/>
    <w:rsid w:val="009A1954"/>
    <w:rsid w:val="009A1BB4"/>
    <w:rsid w:val="009A2411"/>
    <w:rsid w:val="009A2628"/>
    <w:rsid w:val="009A29B9"/>
    <w:rsid w:val="009A2B74"/>
    <w:rsid w:val="009A3101"/>
    <w:rsid w:val="009A3200"/>
    <w:rsid w:val="009A3EC6"/>
    <w:rsid w:val="009A40B4"/>
    <w:rsid w:val="009A4651"/>
    <w:rsid w:val="009A559C"/>
    <w:rsid w:val="009A59FA"/>
    <w:rsid w:val="009A6784"/>
    <w:rsid w:val="009A73F9"/>
    <w:rsid w:val="009A74F5"/>
    <w:rsid w:val="009B035B"/>
    <w:rsid w:val="009B0897"/>
    <w:rsid w:val="009B1131"/>
    <w:rsid w:val="009B194C"/>
    <w:rsid w:val="009B29C0"/>
    <w:rsid w:val="009B3549"/>
    <w:rsid w:val="009B39B8"/>
    <w:rsid w:val="009B406E"/>
    <w:rsid w:val="009B43A3"/>
    <w:rsid w:val="009B4B0F"/>
    <w:rsid w:val="009B4D3D"/>
    <w:rsid w:val="009B53A5"/>
    <w:rsid w:val="009B62A4"/>
    <w:rsid w:val="009B71A0"/>
    <w:rsid w:val="009B7BD9"/>
    <w:rsid w:val="009B7EF8"/>
    <w:rsid w:val="009B7F17"/>
    <w:rsid w:val="009C03EA"/>
    <w:rsid w:val="009C0751"/>
    <w:rsid w:val="009C0B9C"/>
    <w:rsid w:val="009C0DD4"/>
    <w:rsid w:val="009C13B8"/>
    <w:rsid w:val="009C1575"/>
    <w:rsid w:val="009C15CF"/>
    <w:rsid w:val="009C21B7"/>
    <w:rsid w:val="009C2446"/>
    <w:rsid w:val="009C2D6D"/>
    <w:rsid w:val="009C34A7"/>
    <w:rsid w:val="009C3DF7"/>
    <w:rsid w:val="009C3FC8"/>
    <w:rsid w:val="009C4122"/>
    <w:rsid w:val="009C44F3"/>
    <w:rsid w:val="009C6B54"/>
    <w:rsid w:val="009C7250"/>
    <w:rsid w:val="009C7772"/>
    <w:rsid w:val="009C7998"/>
    <w:rsid w:val="009C7DD5"/>
    <w:rsid w:val="009C7DDC"/>
    <w:rsid w:val="009D060F"/>
    <w:rsid w:val="009D0774"/>
    <w:rsid w:val="009D0835"/>
    <w:rsid w:val="009D0842"/>
    <w:rsid w:val="009D0AE3"/>
    <w:rsid w:val="009D0CB5"/>
    <w:rsid w:val="009D0EDD"/>
    <w:rsid w:val="009D10BA"/>
    <w:rsid w:val="009D1237"/>
    <w:rsid w:val="009D14CF"/>
    <w:rsid w:val="009D183B"/>
    <w:rsid w:val="009D1916"/>
    <w:rsid w:val="009D26CC"/>
    <w:rsid w:val="009D2903"/>
    <w:rsid w:val="009D30D2"/>
    <w:rsid w:val="009D4B2E"/>
    <w:rsid w:val="009D517E"/>
    <w:rsid w:val="009D53E2"/>
    <w:rsid w:val="009D600B"/>
    <w:rsid w:val="009D6041"/>
    <w:rsid w:val="009D684A"/>
    <w:rsid w:val="009D7E6C"/>
    <w:rsid w:val="009E02C7"/>
    <w:rsid w:val="009E0995"/>
    <w:rsid w:val="009E0E1D"/>
    <w:rsid w:val="009E227D"/>
    <w:rsid w:val="009E2F42"/>
    <w:rsid w:val="009E4073"/>
    <w:rsid w:val="009E41EE"/>
    <w:rsid w:val="009E5019"/>
    <w:rsid w:val="009E52ED"/>
    <w:rsid w:val="009E5C13"/>
    <w:rsid w:val="009E611D"/>
    <w:rsid w:val="009E63E6"/>
    <w:rsid w:val="009E67A3"/>
    <w:rsid w:val="009E6CDB"/>
    <w:rsid w:val="009E6E08"/>
    <w:rsid w:val="009E7203"/>
    <w:rsid w:val="009E751C"/>
    <w:rsid w:val="009E78AB"/>
    <w:rsid w:val="009F0CD1"/>
    <w:rsid w:val="009F1F94"/>
    <w:rsid w:val="009F221F"/>
    <w:rsid w:val="009F26CC"/>
    <w:rsid w:val="009F2E6D"/>
    <w:rsid w:val="009F3794"/>
    <w:rsid w:val="009F3AC7"/>
    <w:rsid w:val="009F4005"/>
    <w:rsid w:val="009F5748"/>
    <w:rsid w:val="009F5AAC"/>
    <w:rsid w:val="009F61A0"/>
    <w:rsid w:val="009F76F5"/>
    <w:rsid w:val="009F7E2C"/>
    <w:rsid w:val="00A004E5"/>
    <w:rsid w:val="00A00604"/>
    <w:rsid w:val="00A0066D"/>
    <w:rsid w:val="00A01683"/>
    <w:rsid w:val="00A02637"/>
    <w:rsid w:val="00A02CFD"/>
    <w:rsid w:val="00A035D8"/>
    <w:rsid w:val="00A03667"/>
    <w:rsid w:val="00A04157"/>
    <w:rsid w:val="00A042FF"/>
    <w:rsid w:val="00A04402"/>
    <w:rsid w:val="00A04A99"/>
    <w:rsid w:val="00A04F1B"/>
    <w:rsid w:val="00A0501B"/>
    <w:rsid w:val="00A0536C"/>
    <w:rsid w:val="00A06E66"/>
    <w:rsid w:val="00A07644"/>
    <w:rsid w:val="00A076D3"/>
    <w:rsid w:val="00A07921"/>
    <w:rsid w:val="00A07A34"/>
    <w:rsid w:val="00A10993"/>
    <w:rsid w:val="00A113F5"/>
    <w:rsid w:val="00A11508"/>
    <w:rsid w:val="00A115F8"/>
    <w:rsid w:val="00A11A0C"/>
    <w:rsid w:val="00A12C92"/>
    <w:rsid w:val="00A12D4E"/>
    <w:rsid w:val="00A146AF"/>
    <w:rsid w:val="00A14947"/>
    <w:rsid w:val="00A14A26"/>
    <w:rsid w:val="00A16331"/>
    <w:rsid w:val="00A16A20"/>
    <w:rsid w:val="00A2068F"/>
    <w:rsid w:val="00A210DC"/>
    <w:rsid w:val="00A2126C"/>
    <w:rsid w:val="00A2236C"/>
    <w:rsid w:val="00A23294"/>
    <w:rsid w:val="00A2456D"/>
    <w:rsid w:val="00A24F7F"/>
    <w:rsid w:val="00A25237"/>
    <w:rsid w:val="00A25306"/>
    <w:rsid w:val="00A26D5E"/>
    <w:rsid w:val="00A2727A"/>
    <w:rsid w:val="00A3035D"/>
    <w:rsid w:val="00A30B04"/>
    <w:rsid w:val="00A3226A"/>
    <w:rsid w:val="00A32A83"/>
    <w:rsid w:val="00A33113"/>
    <w:rsid w:val="00A33B76"/>
    <w:rsid w:val="00A34098"/>
    <w:rsid w:val="00A34677"/>
    <w:rsid w:val="00A34BBD"/>
    <w:rsid w:val="00A34F8D"/>
    <w:rsid w:val="00A35470"/>
    <w:rsid w:val="00A354FC"/>
    <w:rsid w:val="00A360A5"/>
    <w:rsid w:val="00A368DB"/>
    <w:rsid w:val="00A36A3C"/>
    <w:rsid w:val="00A36C3C"/>
    <w:rsid w:val="00A36D56"/>
    <w:rsid w:val="00A40271"/>
    <w:rsid w:val="00A40637"/>
    <w:rsid w:val="00A41154"/>
    <w:rsid w:val="00A411E2"/>
    <w:rsid w:val="00A412D4"/>
    <w:rsid w:val="00A41C47"/>
    <w:rsid w:val="00A42231"/>
    <w:rsid w:val="00A423AA"/>
    <w:rsid w:val="00A425AE"/>
    <w:rsid w:val="00A427C6"/>
    <w:rsid w:val="00A43AD2"/>
    <w:rsid w:val="00A43EF6"/>
    <w:rsid w:val="00A46A42"/>
    <w:rsid w:val="00A47DEA"/>
    <w:rsid w:val="00A5079C"/>
    <w:rsid w:val="00A5165A"/>
    <w:rsid w:val="00A51FD4"/>
    <w:rsid w:val="00A52376"/>
    <w:rsid w:val="00A53EC6"/>
    <w:rsid w:val="00A54352"/>
    <w:rsid w:val="00A555BF"/>
    <w:rsid w:val="00A55C0F"/>
    <w:rsid w:val="00A561EB"/>
    <w:rsid w:val="00A565F6"/>
    <w:rsid w:val="00A5778C"/>
    <w:rsid w:val="00A60616"/>
    <w:rsid w:val="00A622A2"/>
    <w:rsid w:val="00A6261C"/>
    <w:rsid w:val="00A62E07"/>
    <w:rsid w:val="00A63ACC"/>
    <w:rsid w:val="00A641FB"/>
    <w:rsid w:val="00A64279"/>
    <w:rsid w:val="00A64BE6"/>
    <w:rsid w:val="00A64EBF"/>
    <w:rsid w:val="00A64EF3"/>
    <w:rsid w:val="00A651E5"/>
    <w:rsid w:val="00A659E1"/>
    <w:rsid w:val="00A65C0C"/>
    <w:rsid w:val="00A65E8B"/>
    <w:rsid w:val="00A65FA9"/>
    <w:rsid w:val="00A66017"/>
    <w:rsid w:val="00A663DD"/>
    <w:rsid w:val="00A665ED"/>
    <w:rsid w:val="00A66BE6"/>
    <w:rsid w:val="00A6702E"/>
    <w:rsid w:val="00A670A7"/>
    <w:rsid w:val="00A70A91"/>
    <w:rsid w:val="00A71B0E"/>
    <w:rsid w:val="00A723AB"/>
    <w:rsid w:val="00A72703"/>
    <w:rsid w:val="00A7277C"/>
    <w:rsid w:val="00A72D78"/>
    <w:rsid w:val="00A72FFE"/>
    <w:rsid w:val="00A739B1"/>
    <w:rsid w:val="00A74C4C"/>
    <w:rsid w:val="00A74DD0"/>
    <w:rsid w:val="00A75C50"/>
    <w:rsid w:val="00A7633B"/>
    <w:rsid w:val="00A80563"/>
    <w:rsid w:val="00A80706"/>
    <w:rsid w:val="00A809F0"/>
    <w:rsid w:val="00A81389"/>
    <w:rsid w:val="00A81590"/>
    <w:rsid w:val="00A81A09"/>
    <w:rsid w:val="00A81D22"/>
    <w:rsid w:val="00A83C86"/>
    <w:rsid w:val="00A8412B"/>
    <w:rsid w:val="00A84224"/>
    <w:rsid w:val="00A84797"/>
    <w:rsid w:val="00A84E73"/>
    <w:rsid w:val="00A84F6F"/>
    <w:rsid w:val="00A8514C"/>
    <w:rsid w:val="00A86DD8"/>
    <w:rsid w:val="00A8713F"/>
    <w:rsid w:val="00A87B51"/>
    <w:rsid w:val="00A87CF6"/>
    <w:rsid w:val="00A87FF9"/>
    <w:rsid w:val="00A9018C"/>
    <w:rsid w:val="00A90A3D"/>
    <w:rsid w:val="00A90B3C"/>
    <w:rsid w:val="00A90BA1"/>
    <w:rsid w:val="00A90F4B"/>
    <w:rsid w:val="00A91653"/>
    <w:rsid w:val="00A91A97"/>
    <w:rsid w:val="00A91C8B"/>
    <w:rsid w:val="00A92906"/>
    <w:rsid w:val="00A93B05"/>
    <w:rsid w:val="00A93EA8"/>
    <w:rsid w:val="00A93F27"/>
    <w:rsid w:val="00A9558E"/>
    <w:rsid w:val="00A95BBA"/>
    <w:rsid w:val="00A95D0E"/>
    <w:rsid w:val="00A964A3"/>
    <w:rsid w:val="00A96876"/>
    <w:rsid w:val="00A968AA"/>
    <w:rsid w:val="00A96A3A"/>
    <w:rsid w:val="00A9721A"/>
    <w:rsid w:val="00A97A9A"/>
    <w:rsid w:val="00A97D2E"/>
    <w:rsid w:val="00AA04E3"/>
    <w:rsid w:val="00AA0650"/>
    <w:rsid w:val="00AA0671"/>
    <w:rsid w:val="00AA0C8D"/>
    <w:rsid w:val="00AA0F48"/>
    <w:rsid w:val="00AA13CA"/>
    <w:rsid w:val="00AA14DA"/>
    <w:rsid w:val="00AA2440"/>
    <w:rsid w:val="00AA2531"/>
    <w:rsid w:val="00AA2A5E"/>
    <w:rsid w:val="00AA2C68"/>
    <w:rsid w:val="00AA2F8C"/>
    <w:rsid w:val="00AA31E9"/>
    <w:rsid w:val="00AA3783"/>
    <w:rsid w:val="00AA39E5"/>
    <w:rsid w:val="00AA47F7"/>
    <w:rsid w:val="00AA4CD2"/>
    <w:rsid w:val="00AA5CDF"/>
    <w:rsid w:val="00AA63B7"/>
    <w:rsid w:val="00AA6690"/>
    <w:rsid w:val="00AA7BD9"/>
    <w:rsid w:val="00AA7D28"/>
    <w:rsid w:val="00AB12B0"/>
    <w:rsid w:val="00AB15D9"/>
    <w:rsid w:val="00AB1707"/>
    <w:rsid w:val="00AB1B60"/>
    <w:rsid w:val="00AB1E09"/>
    <w:rsid w:val="00AB3DB2"/>
    <w:rsid w:val="00AB414E"/>
    <w:rsid w:val="00AB4700"/>
    <w:rsid w:val="00AB5330"/>
    <w:rsid w:val="00AB56EB"/>
    <w:rsid w:val="00AB5BF8"/>
    <w:rsid w:val="00AB5D91"/>
    <w:rsid w:val="00AB6047"/>
    <w:rsid w:val="00AB6351"/>
    <w:rsid w:val="00AB6995"/>
    <w:rsid w:val="00AB6A25"/>
    <w:rsid w:val="00AB7747"/>
    <w:rsid w:val="00AC000C"/>
    <w:rsid w:val="00AC020C"/>
    <w:rsid w:val="00AC0284"/>
    <w:rsid w:val="00AC07A0"/>
    <w:rsid w:val="00AC093C"/>
    <w:rsid w:val="00AC0A65"/>
    <w:rsid w:val="00AC0D33"/>
    <w:rsid w:val="00AC0E6E"/>
    <w:rsid w:val="00AC12F4"/>
    <w:rsid w:val="00AC14CE"/>
    <w:rsid w:val="00AC15E1"/>
    <w:rsid w:val="00AC1EFB"/>
    <w:rsid w:val="00AC25ED"/>
    <w:rsid w:val="00AC2A56"/>
    <w:rsid w:val="00AC2AB5"/>
    <w:rsid w:val="00AC2C6B"/>
    <w:rsid w:val="00AC2F24"/>
    <w:rsid w:val="00AC3E0A"/>
    <w:rsid w:val="00AC47AD"/>
    <w:rsid w:val="00AC4D43"/>
    <w:rsid w:val="00AC5061"/>
    <w:rsid w:val="00AC6BF7"/>
    <w:rsid w:val="00AC7180"/>
    <w:rsid w:val="00AC742E"/>
    <w:rsid w:val="00AC79CD"/>
    <w:rsid w:val="00AD055E"/>
    <w:rsid w:val="00AD0706"/>
    <w:rsid w:val="00AD13F1"/>
    <w:rsid w:val="00AD290A"/>
    <w:rsid w:val="00AD430F"/>
    <w:rsid w:val="00AD444F"/>
    <w:rsid w:val="00AD47A7"/>
    <w:rsid w:val="00AD534D"/>
    <w:rsid w:val="00AD5D27"/>
    <w:rsid w:val="00AD5EC2"/>
    <w:rsid w:val="00AD669E"/>
    <w:rsid w:val="00AD711D"/>
    <w:rsid w:val="00AD7A47"/>
    <w:rsid w:val="00AD7DAC"/>
    <w:rsid w:val="00AE07DB"/>
    <w:rsid w:val="00AE09E9"/>
    <w:rsid w:val="00AE16E3"/>
    <w:rsid w:val="00AE18A8"/>
    <w:rsid w:val="00AE25FE"/>
    <w:rsid w:val="00AE274B"/>
    <w:rsid w:val="00AE2982"/>
    <w:rsid w:val="00AE2BF2"/>
    <w:rsid w:val="00AE2D86"/>
    <w:rsid w:val="00AE30B0"/>
    <w:rsid w:val="00AE37A5"/>
    <w:rsid w:val="00AE3D8C"/>
    <w:rsid w:val="00AE4516"/>
    <w:rsid w:val="00AE4E79"/>
    <w:rsid w:val="00AE55DF"/>
    <w:rsid w:val="00AE59DA"/>
    <w:rsid w:val="00AE6B0D"/>
    <w:rsid w:val="00AF0064"/>
    <w:rsid w:val="00AF02FD"/>
    <w:rsid w:val="00AF0CBF"/>
    <w:rsid w:val="00AF12A7"/>
    <w:rsid w:val="00AF147E"/>
    <w:rsid w:val="00AF1DF7"/>
    <w:rsid w:val="00AF257F"/>
    <w:rsid w:val="00AF29A9"/>
    <w:rsid w:val="00AF3164"/>
    <w:rsid w:val="00AF33CF"/>
    <w:rsid w:val="00AF3808"/>
    <w:rsid w:val="00AF3E18"/>
    <w:rsid w:val="00AF474A"/>
    <w:rsid w:val="00AF4854"/>
    <w:rsid w:val="00AF48AD"/>
    <w:rsid w:val="00AF4D50"/>
    <w:rsid w:val="00AF519E"/>
    <w:rsid w:val="00AF5377"/>
    <w:rsid w:val="00AF5A67"/>
    <w:rsid w:val="00AF5B80"/>
    <w:rsid w:val="00AF604C"/>
    <w:rsid w:val="00AF6179"/>
    <w:rsid w:val="00AF6A51"/>
    <w:rsid w:val="00AF77F6"/>
    <w:rsid w:val="00B003C5"/>
    <w:rsid w:val="00B008EA"/>
    <w:rsid w:val="00B01EED"/>
    <w:rsid w:val="00B028B1"/>
    <w:rsid w:val="00B02B9F"/>
    <w:rsid w:val="00B02BDD"/>
    <w:rsid w:val="00B0370E"/>
    <w:rsid w:val="00B03AD3"/>
    <w:rsid w:val="00B03C60"/>
    <w:rsid w:val="00B04209"/>
    <w:rsid w:val="00B04211"/>
    <w:rsid w:val="00B04E2E"/>
    <w:rsid w:val="00B058D5"/>
    <w:rsid w:val="00B05E13"/>
    <w:rsid w:val="00B06725"/>
    <w:rsid w:val="00B06B95"/>
    <w:rsid w:val="00B06E28"/>
    <w:rsid w:val="00B077D5"/>
    <w:rsid w:val="00B079BF"/>
    <w:rsid w:val="00B101CC"/>
    <w:rsid w:val="00B12829"/>
    <w:rsid w:val="00B1295A"/>
    <w:rsid w:val="00B12C1E"/>
    <w:rsid w:val="00B149F5"/>
    <w:rsid w:val="00B14D17"/>
    <w:rsid w:val="00B1530B"/>
    <w:rsid w:val="00B15716"/>
    <w:rsid w:val="00B15AA6"/>
    <w:rsid w:val="00B20456"/>
    <w:rsid w:val="00B20592"/>
    <w:rsid w:val="00B20A45"/>
    <w:rsid w:val="00B215AD"/>
    <w:rsid w:val="00B21D0F"/>
    <w:rsid w:val="00B22BA0"/>
    <w:rsid w:val="00B22C5C"/>
    <w:rsid w:val="00B22D49"/>
    <w:rsid w:val="00B22E8D"/>
    <w:rsid w:val="00B235A4"/>
    <w:rsid w:val="00B24766"/>
    <w:rsid w:val="00B249DC"/>
    <w:rsid w:val="00B24F30"/>
    <w:rsid w:val="00B251A1"/>
    <w:rsid w:val="00B25A52"/>
    <w:rsid w:val="00B26283"/>
    <w:rsid w:val="00B2651A"/>
    <w:rsid w:val="00B26945"/>
    <w:rsid w:val="00B27532"/>
    <w:rsid w:val="00B3032A"/>
    <w:rsid w:val="00B306FD"/>
    <w:rsid w:val="00B30E15"/>
    <w:rsid w:val="00B3129F"/>
    <w:rsid w:val="00B3135D"/>
    <w:rsid w:val="00B31ABF"/>
    <w:rsid w:val="00B31D65"/>
    <w:rsid w:val="00B3261A"/>
    <w:rsid w:val="00B32630"/>
    <w:rsid w:val="00B32A64"/>
    <w:rsid w:val="00B330C9"/>
    <w:rsid w:val="00B33BE3"/>
    <w:rsid w:val="00B341AD"/>
    <w:rsid w:val="00B34867"/>
    <w:rsid w:val="00B3491F"/>
    <w:rsid w:val="00B35D31"/>
    <w:rsid w:val="00B35EA7"/>
    <w:rsid w:val="00B35FB4"/>
    <w:rsid w:val="00B37920"/>
    <w:rsid w:val="00B40C71"/>
    <w:rsid w:val="00B40DEC"/>
    <w:rsid w:val="00B41106"/>
    <w:rsid w:val="00B41890"/>
    <w:rsid w:val="00B4220E"/>
    <w:rsid w:val="00B42764"/>
    <w:rsid w:val="00B429C2"/>
    <w:rsid w:val="00B437EB"/>
    <w:rsid w:val="00B44411"/>
    <w:rsid w:val="00B44B22"/>
    <w:rsid w:val="00B450BB"/>
    <w:rsid w:val="00B45212"/>
    <w:rsid w:val="00B45647"/>
    <w:rsid w:val="00B45707"/>
    <w:rsid w:val="00B45800"/>
    <w:rsid w:val="00B46848"/>
    <w:rsid w:val="00B46E61"/>
    <w:rsid w:val="00B47BE3"/>
    <w:rsid w:val="00B50993"/>
    <w:rsid w:val="00B50E62"/>
    <w:rsid w:val="00B513B0"/>
    <w:rsid w:val="00B5152E"/>
    <w:rsid w:val="00B51D65"/>
    <w:rsid w:val="00B5220F"/>
    <w:rsid w:val="00B52601"/>
    <w:rsid w:val="00B52CF5"/>
    <w:rsid w:val="00B53323"/>
    <w:rsid w:val="00B535EE"/>
    <w:rsid w:val="00B538C4"/>
    <w:rsid w:val="00B53B5D"/>
    <w:rsid w:val="00B55A33"/>
    <w:rsid w:val="00B55FA1"/>
    <w:rsid w:val="00B561ED"/>
    <w:rsid w:val="00B576AF"/>
    <w:rsid w:val="00B57D23"/>
    <w:rsid w:val="00B57E50"/>
    <w:rsid w:val="00B6027D"/>
    <w:rsid w:val="00B6055E"/>
    <w:rsid w:val="00B605E5"/>
    <w:rsid w:val="00B613FD"/>
    <w:rsid w:val="00B61C02"/>
    <w:rsid w:val="00B62D12"/>
    <w:rsid w:val="00B62EF0"/>
    <w:rsid w:val="00B6317D"/>
    <w:rsid w:val="00B63397"/>
    <w:rsid w:val="00B638DC"/>
    <w:rsid w:val="00B63C54"/>
    <w:rsid w:val="00B64314"/>
    <w:rsid w:val="00B646A4"/>
    <w:rsid w:val="00B64D60"/>
    <w:rsid w:val="00B64DB1"/>
    <w:rsid w:val="00B65715"/>
    <w:rsid w:val="00B65897"/>
    <w:rsid w:val="00B65DB5"/>
    <w:rsid w:val="00B66578"/>
    <w:rsid w:val="00B6681C"/>
    <w:rsid w:val="00B66AED"/>
    <w:rsid w:val="00B66C2E"/>
    <w:rsid w:val="00B6790F"/>
    <w:rsid w:val="00B700AB"/>
    <w:rsid w:val="00B718E7"/>
    <w:rsid w:val="00B71A53"/>
    <w:rsid w:val="00B71C9D"/>
    <w:rsid w:val="00B71DE7"/>
    <w:rsid w:val="00B720EA"/>
    <w:rsid w:val="00B74137"/>
    <w:rsid w:val="00B74781"/>
    <w:rsid w:val="00B74C08"/>
    <w:rsid w:val="00B75126"/>
    <w:rsid w:val="00B758B7"/>
    <w:rsid w:val="00B7596A"/>
    <w:rsid w:val="00B75A4A"/>
    <w:rsid w:val="00B75A83"/>
    <w:rsid w:val="00B760DD"/>
    <w:rsid w:val="00B76278"/>
    <w:rsid w:val="00B769C2"/>
    <w:rsid w:val="00B76A8C"/>
    <w:rsid w:val="00B76C9A"/>
    <w:rsid w:val="00B76CA4"/>
    <w:rsid w:val="00B7723F"/>
    <w:rsid w:val="00B7773B"/>
    <w:rsid w:val="00B80171"/>
    <w:rsid w:val="00B80534"/>
    <w:rsid w:val="00B8158E"/>
    <w:rsid w:val="00B817B2"/>
    <w:rsid w:val="00B8289E"/>
    <w:rsid w:val="00B828EE"/>
    <w:rsid w:val="00B82A91"/>
    <w:rsid w:val="00B82B51"/>
    <w:rsid w:val="00B838DF"/>
    <w:rsid w:val="00B83D27"/>
    <w:rsid w:val="00B8433C"/>
    <w:rsid w:val="00B84BF9"/>
    <w:rsid w:val="00B853E9"/>
    <w:rsid w:val="00B86209"/>
    <w:rsid w:val="00B86DC3"/>
    <w:rsid w:val="00B86F85"/>
    <w:rsid w:val="00B87491"/>
    <w:rsid w:val="00B9012E"/>
    <w:rsid w:val="00B901F8"/>
    <w:rsid w:val="00B9024E"/>
    <w:rsid w:val="00B9071E"/>
    <w:rsid w:val="00B908C1"/>
    <w:rsid w:val="00B90BD6"/>
    <w:rsid w:val="00B91583"/>
    <w:rsid w:val="00B9172F"/>
    <w:rsid w:val="00B91A33"/>
    <w:rsid w:val="00B91C16"/>
    <w:rsid w:val="00B91D88"/>
    <w:rsid w:val="00B92181"/>
    <w:rsid w:val="00B923CF"/>
    <w:rsid w:val="00B923F8"/>
    <w:rsid w:val="00B93384"/>
    <w:rsid w:val="00B94236"/>
    <w:rsid w:val="00B95480"/>
    <w:rsid w:val="00B96E21"/>
    <w:rsid w:val="00B97428"/>
    <w:rsid w:val="00BA073A"/>
    <w:rsid w:val="00BA0C0C"/>
    <w:rsid w:val="00BA0C7C"/>
    <w:rsid w:val="00BA10A1"/>
    <w:rsid w:val="00BA278C"/>
    <w:rsid w:val="00BA29E9"/>
    <w:rsid w:val="00BA43B4"/>
    <w:rsid w:val="00BA53E4"/>
    <w:rsid w:val="00BA5BB2"/>
    <w:rsid w:val="00BA5D74"/>
    <w:rsid w:val="00BA64FA"/>
    <w:rsid w:val="00BA664A"/>
    <w:rsid w:val="00BA7142"/>
    <w:rsid w:val="00BA71FC"/>
    <w:rsid w:val="00BB0024"/>
    <w:rsid w:val="00BB06E4"/>
    <w:rsid w:val="00BB237C"/>
    <w:rsid w:val="00BB24F1"/>
    <w:rsid w:val="00BB25CC"/>
    <w:rsid w:val="00BB2AFB"/>
    <w:rsid w:val="00BB2C9B"/>
    <w:rsid w:val="00BB2CFB"/>
    <w:rsid w:val="00BB3742"/>
    <w:rsid w:val="00BB3A5B"/>
    <w:rsid w:val="00BB3D77"/>
    <w:rsid w:val="00BB41A3"/>
    <w:rsid w:val="00BB5122"/>
    <w:rsid w:val="00BB570C"/>
    <w:rsid w:val="00BB5720"/>
    <w:rsid w:val="00BB5D95"/>
    <w:rsid w:val="00BB5E21"/>
    <w:rsid w:val="00BB6A99"/>
    <w:rsid w:val="00BB6DE2"/>
    <w:rsid w:val="00BB7257"/>
    <w:rsid w:val="00BB77E5"/>
    <w:rsid w:val="00BC0214"/>
    <w:rsid w:val="00BC02DD"/>
    <w:rsid w:val="00BC09C9"/>
    <w:rsid w:val="00BC0E6E"/>
    <w:rsid w:val="00BC0F1A"/>
    <w:rsid w:val="00BC1776"/>
    <w:rsid w:val="00BC2F91"/>
    <w:rsid w:val="00BC32DC"/>
    <w:rsid w:val="00BC337A"/>
    <w:rsid w:val="00BC35B6"/>
    <w:rsid w:val="00BC364A"/>
    <w:rsid w:val="00BC3652"/>
    <w:rsid w:val="00BC3D3E"/>
    <w:rsid w:val="00BC45AC"/>
    <w:rsid w:val="00BC48DD"/>
    <w:rsid w:val="00BC4DD4"/>
    <w:rsid w:val="00BC5407"/>
    <w:rsid w:val="00BC5515"/>
    <w:rsid w:val="00BC5D7F"/>
    <w:rsid w:val="00BC6108"/>
    <w:rsid w:val="00BC652F"/>
    <w:rsid w:val="00BC65F0"/>
    <w:rsid w:val="00BC6EA7"/>
    <w:rsid w:val="00BC721F"/>
    <w:rsid w:val="00BC74E2"/>
    <w:rsid w:val="00BD0937"/>
    <w:rsid w:val="00BD0DFE"/>
    <w:rsid w:val="00BD12A6"/>
    <w:rsid w:val="00BD1303"/>
    <w:rsid w:val="00BD1509"/>
    <w:rsid w:val="00BD1B51"/>
    <w:rsid w:val="00BD1E6F"/>
    <w:rsid w:val="00BD209C"/>
    <w:rsid w:val="00BD2254"/>
    <w:rsid w:val="00BD29A9"/>
    <w:rsid w:val="00BD2C30"/>
    <w:rsid w:val="00BD36C7"/>
    <w:rsid w:val="00BD3B92"/>
    <w:rsid w:val="00BD4596"/>
    <w:rsid w:val="00BD4708"/>
    <w:rsid w:val="00BD477B"/>
    <w:rsid w:val="00BD49DD"/>
    <w:rsid w:val="00BD4D6D"/>
    <w:rsid w:val="00BD6309"/>
    <w:rsid w:val="00BD760F"/>
    <w:rsid w:val="00BD7FA5"/>
    <w:rsid w:val="00BE0575"/>
    <w:rsid w:val="00BE0EAA"/>
    <w:rsid w:val="00BE1405"/>
    <w:rsid w:val="00BE14E6"/>
    <w:rsid w:val="00BE2CDC"/>
    <w:rsid w:val="00BE312D"/>
    <w:rsid w:val="00BE315C"/>
    <w:rsid w:val="00BE3369"/>
    <w:rsid w:val="00BE3518"/>
    <w:rsid w:val="00BE35F5"/>
    <w:rsid w:val="00BE44F3"/>
    <w:rsid w:val="00BE58DB"/>
    <w:rsid w:val="00BE68D0"/>
    <w:rsid w:val="00BE6CA2"/>
    <w:rsid w:val="00BE7183"/>
    <w:rsid w:val="00BE7398"/>
    <w:rsid w:val="00BE7774"/>
    <w:rsid w:val="00BF00B0"/>
    <w:rsid w:val="00BF186B"/>
    <w:rsid w:val="00BF1C20"/>
    <w:rsid w:val="00BF2BE8"/>
    <w:rsid w:val="00BF2F57"/>
    <w:rsid w:val="00BF2F68"/>
    <w:rsid w:val="00BF3265"/>
    <w:rsid w:val="00BF39C1"/>
    <w:rsid w:val="00BF3BAC"/>
    <w:rsid w:val="00BF3FC3"/>
    <w:rsid w:val="00BF463E"/>
    <w:rsid w:val="00BF526D"/>
    <w:rsid w:val="00BF65CE"/>
    <w:rsid w:val="00BF79AE"/>
    <w:rsid w:val="00C0112A"/>
    <w:rsid w:val="00C06FE2"/>
    <w:rsid w:val="00C10079"/>
    <w:rsid w:val="00C10452"/>
    <w:rsid w:val="00C1045A"/>
    <w:rsid w:val="00C10578"/>
    <w:rsid w:val="00C105AA"/>
    <w:rsid w:val="00C108C2"/>
    <w:rsid w:val="00C11460"/>
    <w:rsid w:val="00C119E9"/>
    <w:rsid w:val="00C11D2E"/>
    <w:rsid w:val="00C11E51"/>
    <w:rsid w:val="00C1279F"/>
    <w:rsid w:val="00C135BC"/>
    <w:rsid w:val="00C13AAD"/>
    <w:rsid w:val="00C14290"/>
    <w:rsid w:val="00C154EC"/>
    <w:rsid w:val="00C15C95"/>
    <w:rsid w:val="00C16730"/>
    <w:rsid w:val="00C200C9"/>
    <w:rsid w:val="00C218CF"/>
    <w:rsid w:val="00C219E8"/>
    <w:rsid w:val="00C21E03"/>
    <w:rsid w:val="00C237A3"/>
    <w:rsid w:val="00C2418C"/>
    <w:rsid w:val="00C24B21"/>
    <w:rsid w:val="00C24D76"/>
    <w:rsid w:val="00C24DF5"/>
    <w:rsid w:val="00C24ECF"/>
    <w:rsid w:val="00C2554C"/>
    <w:rsid w:val="00C2596A"/>
    <w:rsid w:val="00C25BEB"/>
    <w:rsid w:val="00C26588"/>
    <w:rsid w:val="00C26707"/>
    <w:rsid w:val="00C26AE2"/>
    <w:rsid w:val="00C26EC9"/>
    <w:rsid w:val="00C26F84"/>
    <w:rsid w:val="00C27537"/>
    <w:rsid w:val="00C278EC"/>
    <w:rsid w:val="00C30115"/>
    <w:rsid w:val="00C30D60"/>
    <w:rsid w:val="00C313D8"/>
    <w:rsid w:val="00C31D4B"/>
    <w:rsid w:val="00C328FE"/>
    <w:rsid w:val="00C32A50"/>
    <w:rsid w:val="00C32E83"/>
    <w:rsid w:val="00C33507"/>
    <w:rsid w:val="00C33A8F"/>
    <w:rsid w:val="00C33B01"/>
    <w:rsid w:val="00C34ABA"/>
    <w:rsid w:val="00C3507A"/>
    <w:rsid w:val="00C352DC"/>
    <w:rsid w:val="00C35A98"/>
    <w:rsid w:val="00C36FAC"/>
    <w:rsid w:val="00C40FBC"/>
    <w:rsid w:val="00C4155B"/>
    <w:rsid w:val="00C4174A"/>
    <w:rsid w:val="00C422A2"/>
    <w:rsid w:val="00C42612"/>
    <w:rsid w:val="00C42618"/>
    <w:rsid w:val="00C42DB2"/>
    <w:rsid w:val="00C43039"/>
    <w:rsid w:val="00C43411"/>
    <w:rsid w:val="00C438FE"/>
    <w:rsid w:val="00C4409D"/>
    <w:rsid w:val="00C44682"/>
    <w:rsid w:val="00C446CB"/>
    <w:rsid w:val="00C44E72"/>
    <w:rsid w:val="00C4500F"/>
    <w:rsid w:val="00C45A06"/>
    <w:rsid w:val="00C4665E"/>
    <w:rsid w:val="00C473E3"/>
    <w:rsid w:val="00C4779C"/>
    <w:rsid w:val="00C47E5B"/>
    <w:rsid w:val="00C50170"/>
    <w:rsid w:val="00C5074D"/>
    <w:rsid w:val="00C50AC3"/>
    <w:rsid w:val="00C51DE6"/>
    <w:rsid w:val="00C528D4"/>
    <w:rsid w:val="00C53BBC"/>
    <w:rsid w:val="00C55294"/>
    <w:rsid w:val="00C55676"/>
    <w:rsid w:val="00C56E9C"/>
    <w:rsid w:val="00C571BC"/>
    <w:rsid w:val="00C57D9A"/>
    <w:rsid w:val="00C60800"/>
    <w:rsid w:val="00C610DB"/>
    <w:rsid w:val="00C616BE"/>
    <w:rsid w:val="00C6189B"/>
    <w:rsid w:val="00C61E4B"/>
    <w:rsid w:val="00C6216C"/>
    <w:rsid w:val="00C640A4"/>
    <w:rsid w:val="00C64A6B"/>
    <w:rsid w:val="00C64BFF"/>
    <w:rsid w:val="00C64CD9"/>
    <w:rsid w:val="00C65066"/>
    <w:rsid w:val="00C65191"/>
    <w:rsid w:val="00C6527F"/>
    <w:rsid w:val="00C652B2"/>
    <w:rsid w:val="00C66E66"/>
    <w:rsid w:val="00C66F62"/>
    <w:rsid w:val="00C679FC"/>
    <w:rsid w:val="00C7012D"/>
    <w:rsid w:val="00C704E9"/>
    <w:rsid w:val="00C7075B"/>
    <w:rsid w:val="00C715DC"/>
    <w:rsid w:val="00C72375"/>
    <w:rsid w:val="00C7257B"/>
    <w:rsid w:val="00C72649"/>
    <w:rsid w:val="00C726CB"/>
    <w:rsid w:val="00C7334E"/>
    <w:rsid w:val="00C73A5D"/>
    <w:rsid w:val="00C73BC0"/>
    <w:rsid w:val="00C747A0"/>
    <w:rsid w:val="00C75A39"/>
    <w:rsid w:val="00C763C9"/>
    <w:rsid w:val="00C76AF1"/>
    <w:rsid w:val="00C76F38"/>
    <w:rsid w:val="00C77823"/>
    <w:rsid w:val="00C77FE1"/>
    <w:rsid w:val="00C80057"/>
    <w:rsid w:val="00C8020E"/>
    <w:rsid w:val="00C81F4D"/>
    <w:rsid w:val="00C82232"/>
    <w:rsid w:val="00C82444"/>
    <w:rsid w:val="00C826B2"/>
    <w:rsid w:val="00C82913"/>
    <w:rsid w:val="00C8297B"/>
    <w:rsid w:val="00C82F8B"/>
    <w:rsid w:val="00C83AB7"/>
    <w:rsid w:val="00C840F7"/>
    <w:rsid w:val="00C845E3"/>
    <w:rsid w:val="00C84D82"/>
    <w:rsid w:val="00C859AF"/>
    <w:rsid w:val="00C87171"/>
    <w:rsid w:val="00C877C6"/>
    <w:rsid w:val="00C911D5"/>
    <w:rsid w:val="00C918EA"/>
    <w:rsid w:val="00C91BA7"/>
    <w:rsid w:val="00C92A6A"/>
    <w:rsid w:val="00C92F57"/>
    <w:rsid w:val="00C93758"/>
    <w:rsid w:val="00C93CDA"/>
    <w:rsid w:val="00C94CE8"/>
    <w:rsid w:val="00C9562A"/>
    <w:rsid w:val="00C957C5"/>
    <w:rsid w:val="00C95C70"/>
    <w:rsid w:val="00C95E23"/>
    <w:rsid w:val="00C963D0"/>
    <w:rsid w:val="00C96699"/>
    <w:rsid w:val="00C972B1"/>
    <w:rsid w:val="00C97CCC"/>
    <w:rsid w:val="00C97F37"/>
    <w:rsid w:val="00CA012F"/>
    <w:rsid w:val="00CA07BC"/>
    <w:rsid w:val="00CA0AC7"/>
    <w:rsid w:val="00CA0F1B"/>
    <w:rsid w:val="00CA12B6"/>
    <w:rsid w:val="00CA12F8"/>
    <w:rsid w:val="00CA2847"/>
    <w:rsid w:val="00CA2CCE"/>
    <w:rsid w:val="00CA3F8C"/>
    <w:rsid w:val="00CA43A7"/>
    <w:rsid w:val="00CA43FD"/>
    <w:rsid w:val="00CA4D8B"/>
    <w:rsid w:val="00CA5003"/>
    <w:rsid w:val="00CA595E"/>
    <w:rsid w:val="00CA7206"/>
    <w:rsid w:val="00CA7D38"/>
    <w:rsid w:val="00CA7EA3"/>
    <w:rsid w:val="00CA7EF8"/>
    <w:rsid w:val="00CB007B"/>
    <w:rsid w:val="00CB01E5"/>
    <w:rsid w:val="00CB0987"/>
    <w:rsid w:val="00CB0C4F"/>
    <w:rsid w:val="00CB179B"/>
    <w:rsid w:val="00CB404B"/>
    <w:rsid w:val="00CB498D"/>
    <w:rsid w:val="00CB5ED7"/>
    <w:rsid w:val="00CB67E4"/>
    <w:rsid w:val="00CB69B3"/>
    <w:rsid w:val="00CB7266"/>
    <w:rsid w:val="00CB73B0"/>
    <w:rsid w:val="00CB7E0F"/>
    <w:rsid w:val="00CC03C2"/>
    <w:rsid w:val="00CC0C5B"/>
    <w:rsid w:val="00CC0CDC"/>
    <w:rsid w:val="00CC1468"/>
    <w:rsid w:val="00CC1DDB"/>
    <w:rsid w:val="00CC23C2"/>
    <w:rsid w:val="00CC2723"/>
    <w:rsid w:val="00CC2CB9"/>
    <w:rsid w:val="00CC2F58"/>
    <w:rsid w:val="00CC4236"/>
    <w:rsid w:val="00CC489B"/>
    <w:rsid w:val="00CC4E9F"/>
    <w:rsid w:val="00CC56F7"/>
    <w:rsid w:val="00CC57BB"/>
    <w:rsid w:val="00CC7AFE"/>
    <w:rsid w:val="00CC7C18"/>
    <w:rsid w:val="00CD0AC2"/>
    <w:rsid w:val="00CD18D1"/>
    <w:rsid w:val="00CD1B18"/>
    <w:rsid w:val="00CD1BDB"/>
    <w:rsid w:val="00CD2BCD"/>
    <w:rsid w:val="00CD2CA3"/>
    <w:rsid w:val="00CD3536"/>
    <w:rsid w:val="00CD3A4C"/>
    <w:rsid w:val="00CD4CC9"/>
    <w:rsid w:val="00CD611A"/>
    <w:rsid w:val="00CD6609"/>
    <w:rsid w:val="00CD6BD0"/>
    <w:rsid w:val="00CD6CFA"/>
    <w:rsid w:val="00CD6F17"/>
    <w:rsid w:val="00CD7B89"/>
    <w:rsid w:val="00CD7BB8"/>
    <w:rsid w:val="00CE0287"/>
    <w:rsid w:val="00CE0566"/>
    <w:rsid w:val="00CE10E9"/>
    <w:rsid w:val="00CE1684"/>
    <w:rsid w:val="00CE2910"/>
    <w:rsid w:val="00CE37B3"/>
    <w:rsid w:val="00CE4911"/>
    <w:rsid w:val="00CE4C00"/>
    <w:rsid w:val="00CE5393"/>
    <w:rsid w:val="00CE53DD"/>
    <w:rsid w:val="00CE6C45"/>
    <w:rsid w:val="00CE7F7E"/>
    <w:rsid w:val="00CF0927"/>
    <w:rsid w:val="00CF1485"/>
    <w:rsid w:val="00CF1790"/>
    <w:rsid w:val="00CF1AC9"/>
    <w:rsid w:val="00CF272B"/>
    <w:rsid w:val="00CF29E6"/>
    <w:rsid w:val="00CF32B5"/>
    <w:rsid w:val="00CF3441"/>
    <w:rsid w:val="00CF36BE"/>
    <w:rsid w:val="00CF3752"/>
    <w:rsid w:val="00CF3D4F"/>
    <w:rsid w:val="00CF3F09"/>
    <w:rsid w:val="00CF4554"/>
    <w:rsid w:val="00CF46B2"/>
    <w:rsid w:val="00CF5500"/>
    <w:rsid w:val="00CF590B"/>
    <w:rsid w:val="00CF5AD5"/>
    <w:rsid w:val="00CF6000"/>
    <w:rsid w:val="00CF635D"/>
    <w:rsid w:val="00CF70E4"/>
    <w:rsid w:val="00D003F3"/>
    <w:rsid w:val="00D01D2B"/>
    <w:rsid w:val="00D030F2"/>
    <w:rsid w:val="00D0364F"/>
    <w:rsid w:val="00D04246"/>
    <w:rsid w:val="00D044C3"/>
    <w:rsid w:val="00D056FD"/>
    <w:rsid w:val="00D0627D"/>
    <w:rsid w:val="00D06834"/>
    <w:rsid w:val="00D06963"/>
    <w:rsid w:val="00D06C30"/>
    <w:rsid w:val="00D07239"/>
    <w:rsid w:val="00D0733E"/>
    <w:rsid w:val="00D074CA"/>
    <w:rsid w:val="00D078FA"/>
    <w:rsid w:val="00D07ADD"/>
    <w:rsid w:val="00D07C6D"/>
    <w:rsid w:val="00D10FF0"/>
    <w:rsid w:val="00D11160"/>
    <w:rsid w:val="00D1159E"/>
    <w:rsid w:val="00D11914"/>
    <w:rsid w:val="00D11B33"/>
    <w:rsid w:val="00D12B6D"/>
    <w:rsid w:val="00D12F94"/>
    <w:rsid w:val="00D13027"/>
    <w:rsid w:val="00D134C6"/>
    <w:rsid w:val="00D1457F"/>
    <w:rsid w:val="00D15B87"/>
    <w:rsid w:val="00D15C8D"/>
    <w:rsid w:val="00D162EE"/>
    <w:rsid w:val="00D16771"/>
    <w:rsid w:val="00D20C3C"/>
    <w:rsid w:val="00D21FAE"/>
    <w:rsid w:val="00D22434"/>
    <w:rsid w:val="00D2252C"/>
    <w:rsid w:val="00D22F09"/>
    <w:rsid w:val="00D23318"/>
    <w:rsid w:val="00D234C0"/>
    <w:rsid w:val="00D23CC6"/>
    <w:rsid w:val="00D2460A"/>
    <w:rsid w:val="00D24A2F"/>
    <w:rsid w:val="00D25147"/>
    <w:rsid w:val="00D259F9"/>
    <w:rsid w:val="00D264AC"/>
    <w:rsid w:val="00D26A60"/>
    <w:rsid w:val="00D26D9F"/>
    <w:rsid w:val="00D2797E"/>
    <w:rsid w:val="00D3013E"/>
    <w:rsid w:val="00D308ED"/>
    <w:rsid w:val="00D31249"/>
    <w:rsid w:val="00D31D47"/>
    <w:rsid w:val="00D33105"/>
    <w:rsid w:val="00D3360D"/>
    <w:rsid w:val="00D33977"/>
    <w:rsid w:val="00D33BE6"/>
    <w:rsid w:val="00D35BCF"/>
    <w:rsid w:val="00D35C46"/>
    <w:rsid w:val="00D3606F"/>
    <w:rsid w:val="00D36D86"/>
    <w:rsid w:val="00D3731C"/>
    <w:rsid w:val="00D37466"/>
    <w:rsid w:val="00D37EC9"/>
    <w:rsid w:val="00D408B6"/>
    <w:rsid w:val="00D409C0"/>
    <w:rsid w:val="00D428AA"/>
    <w:rsid w:val="00D42ADB"/>
    <w:rsid w:val="00D42BA3"/>
    <w:rsid w:val="00D4458D"/>
    <w:rsid w:val="00D4498A"/>
    <w:rsid w:val="00D451F5"/>
    <w:rsid w:val="00D45493"/>
    <w:rsid w:val="00D45AEF"/>
    <w:rsid w:val="00D462D4"/>
    <w:rsid w:val="00D46F70"/>
    <w:rsid w:val="00D47596"/>
    <w:rsid w:val="00D50966"/>
    <w:rsid w:val="00D509D3"/>
    <w:rsid w:val="00D50A34"/>
    <w:rsid w:val="00D51801"/>
    <w:rsid w:val="00D51CC0"/>
    <w:rsid w:val="00D53EFA"/>
    <w:rsid w:val="00D53FC6"/>
    <w:rsid w:val="00D546BA"/>
    <w:rsid w:val="00D54CA6"/>
    <w:rsid w:val="00D54D09"/>
    <w:rsid w:val="00D54DFE"/>
    <w:rsid w:val="00D55373"/>
    <w:rsid w:val="00D556E0"/>
    <w:rsid w:val="00D55991"/>
    <w:rsid w:val="00D55DA3"/>
    <w:rsid w:val="00D56642"/>
    <w:rsid w:val="00D570BA"/>
    <w:rsid w:val="00D6252B"/>
    <w:rsid w:val="00D63507"/>
    <w:rsid w:val="00D636AE"/>
    <w:rsid w:val="00D642CC"/>
    <w:rsid w:val="00D651EB"/>
    <w:rsid w:val="00D65739"/>
    <w:rsid w:val="00D65DA7"/>
    <w:rsid w:val="00D66F70"/>
    <w:rsid w:val="00D66F79"/>
    <w:rsid w:val="00D678C6"/>
    <w:rsid w:val="00D67A33"/>
    <w:rsid w:val="00D67E79"/>
    <w:rsid w:val="00D67F7A"/>
    <w:rsid w:val="00D703F0"/>
    <w:rsid w:val="00D71463"/>
    <w:rsid w:val="00D71898"/>
    <w:rsid w:val="00D72607"/>
    <w:rsid w:val="00D7307B"/>
    <w:rsid w:val="00D731DA"/>
    <w:rsid w:val="00D73426"/>
    <w:rsid w:val="00D73856"/>
    <w:rsid w:val="00D739E3"/>
    <w:rsid w:val="00D749FA"/>
    <w:rsid w:val="00D75496"/>
    <w:rsid w:val="00D760D3"/>
    <w:rsid w:val="00D76A78"/>
    <w:rsid w:val="00D77311"/>
    <w:rsid w:val="00D77C6E"/>
    <w:rsid w:val="00D800AB"/>
    <w:rsid w:val="00D8014F"/>
    <w:rsid w:val="00D810BF"/>
    <w:rsid w:val="00D8121C"/>
    <w:rsid w:val="00D82163"/>
    <w:rsid w:val="00D8312D"/>
    <w:rsid w:val="00D83EA2"/>
    <w:rsid w:val="00D84405"/>
    <w:rsid w:val="00D8531A"/>
    <w:rsid w:val="00D8542D"/>
    <w:rsid w:val="00D8557D"/>
    <w:rsid w:val="00D85950"/>
    <w:rsid w:val="00D86B98"/>
    <w:rsid w:val="00D86FCC"/>
    <w:rsid w:val="00D87177"/>
    <w:rsid w:val="00D872D6"/>
    <w:rsid w:val="00D875D1"/>
    <w:rsid w:val="00D87B5B"/>
    <w:rsid w:val="00D90D3B"/>
    <w:rsid w:val="00D9149A"/>
    <w:rsid w:val="00D91745"/>
    <w:rsid w:val="00D91CF9"/>
    <w:rsid w:val="00D92104"/>
    <w:rsid w:val="00D925DD"/>
    <w:rsid w:val="00D92D12"/>
    <w:rsid w:val="00D934F2"/>
    <w:rsid w:val="00D93CD7"/>
    <w:rsid w:val="00D9408C"/>
    <w:rsid w:val="00D94A7C"/>
    <w:rsid w:val="00D94EAB"/>
    <w:rsid w:val="00D9548E"/>
    <w:rsid w:val="00D956AB"/>
    <w:rsid w:val="00D95896"/>
    <w:rsid w:val="00D95FA5"/>
    <w:rsid w:val="00D9637F"/>
    <w:rsid w:val="00D96514"/>
    <w:rsid w:val="00D970DD"/>
    <w:rsid w:val="00D97594"/>
    <w:rsid w:val="00D97C9E"/>
    <w:rsid w:val="00DA1BB5"/>
    <w:rsid w:val="00DA1D42"/>
    <w:rsid w:val="00DA2651"/>
    <w:rsid w:val="00DA2AAA"/>
    <w:rsid w:val="00DA33E6"/>
    <w:rsid w:val="00DA3CFA"/>
    <w:rsid w:val="00DA440C"/>
    <w:rsid w:val="00DA4820"/>
    <w:rsid w:val="00DA552B"/>
    <w:rsid w:val="00DA5B5B"/>
    <w:rsid w:val="00DA6195"/>
    <w:rsid w:val="00DB03F1"/>
    <w:rsid w:val="00DB0D4B"/>
    <w:rsid w:val="00DB0F8C"/>
    <w:rsid w:val="00DB19AC"/>
    <w:rsid w:val="00DB1AC7"/>
    <w:rsid w:val="00DB1FA0"/>
    <w:rsid w:val="00DB20F7"/>
    <w:rsid w:val="00DB258D"/>
    <w:rsid w:val="00DB2912"/>
    <w:rsid w:val="00DB2983"/>
    <w:rsid w:val="00DB2DDF"/>
    <w:rsid w:val="00DB4879"/>
    <w:rsid w:val="00DB488E"/>
    <w:rsid w:val="00DB4E13"/>
    <w:rsid w:val="00DB596C"/>
    <w:rsid w:val="00DB5BBA"/>
    <w:rsid w:val="00DB6039"/>
    <w:rsid w:val="00DB6D19"/>
    <w:rsid w:val="00DB7D76"/>
    <w:rsid w:val="00DC01FB"/>
    <w:rsid w:val="00DC06EF"/>
    <w:rsid w:val="00DC1257"/>
    <w:rsid w:val="00DC207F"/>
    <w:rsid w:val="00DC22FA"/>
    <w:rsid w:val="00DC28DE"/>
    <w:rsid w:val="00DC329C"/>
    <w:rsid w:val="00DC3567"/>
    <w:rsid w:val="00DC3593"/>
    <w:rsid w:val="00DC3C28"/>
    <w:rsid w:val="00DC3DC0"/>
    <w:rsid w:val="00DC44D1"/>
    <w:rsid w:val="00DC5183"/>
    <w:rsid w:val="00DC5B2B"/>
    <w:rsid w:val="00DC6596"/>
    <w:rsid w:val="00DC6E1E"/>
    <w:rsid w:val="00DC7509"/>
    <w:rsid w:val="00DC76EF"/>
    <w:rsid w:val="00DC77AC"/>
    <w:rsid w:val="00DC7C1D"/>
    <w:rsid w:val="00DC7E2D"/>
    <w:rsid w:val="00DD02CE"/>
    <w:rsid w:val="00DD0966"/>
    <w:rsid w:val="00DD1317"/>
    <w:rsid w:val="00DD1CC2"/>
    <w:rsid w:val="00DD2A89"/>
    <w:rsid w:val="00DD2E48"/>
    <w:rsid w:val="00DD2F7F"/>
    <w:rsid w:val="00DD318D"/>
    <w:rsid w:val="00DD3238"/>
    <w:rsid w:val="00DD548C"/>
    <w:rsid w:val="00DD5732"/>
    <w:rsid w:val="00DD5F6F"/>
    <w:rsid w:val="00DD613D"/>
    <w:rsid w:val="00DD6222"/>
    <w:rsid w:val="00DD66A5"/>
    <w:rsid w:val="00DD6863"/>
    <w:rsid w:val="00DD69E1"/>
    <w:rsid w:val="00DD745A"/>
    <w:rsid w:val="00DD7D08"/>
    <w:rsid w:val="00DD7FF2"/>
    <w:rsid w:val="00DE0582"/>
    <w:rsid w:val="00DE0890"/>
    <w:rsid w:val="00DE09B3"/>
    <w:rsid w:val="00DE16BE"/>
    <w:rsid w:val="00DE1BE7"/>
    <w:rsid w:val="00DE205D"/>
    <w:rsid w:val="00DE26DB"/>
    <w:rsid w:val="00DE29B6"/>
    <w:rsid w:val="00DE313B"/>
    <w:rsid w:val="00DE50B4"/>
    <w:rsid w:val="00DE5487"/>
    <w:rsid w:val="00DE54DB"/>
    <w:rsid w:val="00DE5507"/>
    <w:rsid w:val="00DE56B2"/>
    <w:rsid w:val="00DE5743"/>
    <w:rsid w:val="00DE5775"/>
    <w:rsid w:val="00DE6726"/>
    <w:rsid w:val="00DE7E26"/>
    <w:rsid w:val="00DF0186"/>
    <w:rsid w:val="00DF038A"/>
    <w:rsid w:val="00DF119D"/>
    <w:rsid w:val="00DF1290"/>
    <w:rsid w:val="00DF14BB"/>
    <w:rsid w:val="00DF166D"/>
    <w:rsid w:val="00DF2E12"/>
    <w:rsid w:val="00DF3074"/>
    <w:rsid w:val="00DF308A"/>
    <w:rsid w:val="00DF514A"/>
    <w:rsid w:val="00DF557B"/>
    <w:rsid w:val="00DF581B"/>
    <w:rsid w:val="00DF5D4C"/>
    <w:rsid w:val="00DF6690"/>
    <w:rsid w:val="00DF6804"/>
    <w:rsid w:val="00DF6A70"/>
    <w:rsid w:val="00DF6E4F"/>
    <w:rsid w:val="00DF77D8"/>
    <w:rsid w:val="00E0038B"/>
    <w:rsid w:val="00E007B5"/>
    <w:rsid w:val="00E00CA0"/>
    <w:rsid w:val="00E00CEF"/>
    <w:rsid w:val="00E015FB"/>
    <w:rsid w:val="00E01706"/>
    <w:rsid w:val="00E018A9"/>
    <w:rsid w:val="00E01FB3"/>
    <w:rsid w:val="00E03258"/>
    <w:rsid w:val="00E03529"/>
    <w:rsid w:val="00E0358D"/>
    <w:rsid w:val="00E0425B"/>
    <w:rsid w:val="00E042AE"/>
    <w:rsid w:val="00E04323"/>
    <w:rsid w:val="00E045CD"/>
    <w:rsid w:val="00E04D43"/>
    <w:rsid w:val="00E0597B"/>
    <w:rsid w:val="00E05998"/>
    <w:rsid w:val="00E05E99"/>
    <w:rsid w:val="00E0659B"/>
    <w:rsid w:val="00E06957"/>
    <w:rsid w:val="00E070A2"/>
    <w:rsid w:val="00E0716E"/>
    <w:rsid w:val="00E07C51"/>
    <w:rsid w:val="00E07FE7"/>
    <w:rsid w:val="00E104CA"/>
    <w:rsid w:val="00E10BD8"/>
    <w:rsid w:val="00E10F30"/>
    <w:rsid w:val="00E10F61"/>
    <w:rsid w:val="00E10FC3"/>
    <w:rsid w:val="00E119E3"/>
    <w:rsid w:val="00E13C5A"/>
    <w:rsid w:val="00E13CBE"/>
    <w:rsid w:val="00E13CC5"/>
    <w:rsid w:val="00E14244"/>
    <w:rsid w:val="00E14372"/>
    <w:rsid w:val="00E148CB"/>
    <w:rsid w:val="00E15AEF"/>
    <w:rsid w:val="00E15FEC"/>
    <w:rsid w:val="00E16517"/>
    <w:rsid w:val="00E167D2"/>
    <w:rsid w:val="00E16BE0"/>
    <w:rsid w:val="00E16D59"/>
    <w:rsid w:val="00E16EE3"/>
    <w:rsid w:val="00E170D2"/>
    <w:rsid w:val="00E17694"/>
    <w:rsid w:val="00E1776D"/>
    <w:rsid w:val="00E1777F"/>
    <w:rsid w:val="00E20729"/>
    <w:rsid w:val="00E20C90"/>
    <w:rsid w:val="00E20DB3"/>
    <w:rsid w:val="00E21A06"/>
    <w:rsid w:val="00E22189"/>
    <w:rsid w:val="00E22219"/>
    <w:rsid w:val="00E224E5"/>
    <w:rsid w:val="00E22DDD"/>
    <w:rsid w:val="00E234D3"/>
    <w:rsid w:val="00E239C3"/>
    <w:rsid w:val="00E248A7"/>
    <w:rsid w:val="00E24BE8"/>
    <w:rsid w:val="00E2580E"/>
    <w:rsid w:val="00E25989"/>
    <w:rsid w:val="00E26291"/>
    <w:rsid w:val="00E2656A"/>
    <w:rsid w:val="00E26E0A"/>
    <w:rsid w:val="00E27A7F"/>
    <w:rsid w:val="00E30A07"/>
    <w:rsid w:val="00E31B53"/>
    <w:rsid w:val="00E31B8E"/>
    <w:rsid w:val="00E32D99"/>
    <w:rsid w:val="00E355A5"/>
    <w:rsid w:val="00E36C33"/>
    <w:rsid w:val="00E36D02"/>
    <w:rsid w:val="00E36DC0"/>
    <w:rsid w:val="00E371FE"/>
    <w:rsid w:val="00E3721F"/>
    <w:rsid w:val="00E40AC5"/>
    <w:rsid w:val="00E4105E"/>
    <w:rsid w:val="00E412D0"/>
    <w:rsid w:val="00E41D12"/>
    <w:rsid w:val="00E41F9B"/>
    <w:rsid w:val="00E428EA"/>
    <w:rsid w:val="00E42B39"/>
    <w:rsid w:val="00E439F9"/>
    <w:rsid w:val="00E4454C"/>
    <w:rsid w:val="00E447EE"/>
    <w:rsid w:val="00E4481C"/>
    <w:rsid w:val="00E44859"/>
    <w:rsid w:val="00E44987"/>
    <w:rsid w:val="00E449B5"/>
    <w:rsid w:val="00E44B16"/>
    <w:rsid w:val="00E4504D"/>
    <w:rsid w:val="00E454D2"/>
    <w:rsid w:val="00E45519"/>
    <w:rsid w:val="00E45C93"/>
    <w:rsid w:val="00E463C7"/>
    <w:rsid w:val="00E47868"/>
    <w:rsid w:val="00E47D3B"/>
    <w:rsid w:val="00E50791"/>
    <w:rsid w:val="00E51017"/>
    <w:rsid w:val="00E51995"/>
    <w:rsid w:val="00E52A20"/>
    <w:rsid w:val="00E52F32"/>
    <w:rsid w:val="00E53386"/>
    <w:rsid w:val="00E537F7"/>
    <w:rsid w:val="00E538FA"/>
    <w:rsid w:val="00E53D37"/>
    <w:rsid w:val="00E54518"/>
    <w:rsid w:val="00E5451D"/>
    <w:rsid w:val="00E56322"/>
    <w:rsid w:val="00E567E6"/>
    <w:rsid w:val="00E5698F"/>
    <w:rsid w:val="00E57034"/>
    <w:rsid w:val="00E607B0"/>
    <w:rsid w:val="00E60982"/>
    <w:rsid w:val="00E611FF"/>
    <w:rsid w:val="00E618BC"/>
    <w:rsid w:val="00E61B8C"/>
    <w:rsid w:val="00E624CF"/>
    <w:rsid w:val="00E628C4"/>
    <w:rsid w:val="00E62C62"/>
    <w:rsid w:val="00E630CF"/>
    <w:rsid w:val="00E6321B"/>
    <w:rsid w:val="00E645F8"/>
    <w:rsid w:val="00E64BE7"/>
    <w:rsid w:val="00E654C1"/>
    <w:rsid w:val="00E65D97"/>
    <w:rsid w:val="00E662AF"/>
    <w:rsid w:val="00E670B1"/>
    <w:rsid w:val="00E67C10"/>
    <w:rsid w:val="00E70205"/>
    <w:rsid w:val="00E70EDE"/>
    <w:rsid w:val="00E71158"/>
    <w:rsid w:val="00E71972"/>
    <w:rsid w:val="00E72314"/>
    <w:rsid w:val="00E72A5A"/>
    <w:rsid w:val="00E73068"/>
    <w:rsid w:val="00E73354"/>
    <w:rsid w:val="00E73A39"/>
    <w:rsid w:val="00E758D8"/>
    <w:rsid w:val="00E75C57"/>
    <w:rsid w:val="00E76355"/>
    <w:rsid w:val="00E76408"/>
    <w:rsid w:val="00E76AA1"/>
    <w:rsid w:val="00E76D5B"/>
    <w:rsid w:val="00E7748D"/>
    <w:rsid w:val="00E8091A"/>
    <w:rsid w:val="00E81906"/>
    <w:rsid w:val="00E81AC7"/>
    <w:rsid w:val="00E81BAA"/>
    <w:rsid w:val="00E8223D"/>
    <w:rsid w:val="00E82DA2"/>
    <w:rsid w:val="00E82FAD"/>
    <w:rsid w:val="00E84814"/>
    <w:rsid w:val="00E84BE0"/>
    <w:rsid w:val="00E86A66"/>
    <w:rsid w:val="00E87332"/>
    <w:rsid w:val="00E875E2"/>
    <w:rsid w:val="00E87852"/>
    <w:rsid w:val="00E87877"/>
    <w:rsid w:val="00E90107"/>
    <w:rsid w:val="00E90DF3"/>
    <w:rsid w:val="00E91D86"/>
    <w:rsid w:val="00E9200D"/>
    <w:rsid w:val="00E9242D"/>
    <w:rsid w:val="00E92E58"/>
    <w:rsid w:val="00E932A0"/>
    <w:rsid w:val="00E93F5D"/>
    <w:rsid w:val="00E94847"/>
    <w:rsid w:val="00E94A97"/>
    <w:rsid w:val="00E9597E"/>
    <w:rsid w:val="00E95B9D"/>
    <w:rsid w:val="00E963BE"/>
    <w:rsid w:val="00E968F6"/>
    <w:rsid w:val="00E970FF"/>
    <w:rsid w:val="00E971A3"/>
    <w:rsid w:val="00E977E9"/>
    <w:rsid w:val="00E97837"/>
    <w:rsid w:val="00E97A4E"/>
    <w:rsid w:val="00EA0674"/>
    <w:rsid w:val="00EA0B42"/>
    <w:rsid w:val="00EA1379"/>
    <w:rsid w:val="00EA13E4"/>
    <w:rsid w:val="00EA1659"/>
    <w:rsid w:val="00EA19B9"/>
    <w:rsid w:val="00EA19D8"/>
    <w:rsid w:val="00EA231C"/>
    <w:rsid w:val="00EA38CE"/>
    <w:rsid w:val="00EA6576"/>
    <w:rsid w:val="00EA6E24"/>
    <w:rsid w:val="00EA730A"/>
    <w:rsid w:val="00EA79F2"/>
    <w:rsid w:val="00EB00FC"/>
    <w:rsid w:val="00EB0481"/>
    <w:rsid w:val="00EB0497"/>
    <w:rsid w:val="00EB0E6A"/>
    <w:rsid w:val="00EB1A5D"/>
    <w:rsid w:val="00EB1C0E"/>
    <w:rsid w:val="00EB1F8D"/>
    <w:rsid w:val="00EB22EE"/>
    <w:rsid w:val="00EB34CD"/>
    <w:rsid w:val="00EB4991"/>
    <w:rsid w:val="00EB4D41"/>
    <w:rsid w:val="00EB4F01"/>
    <w:rsid w:val="00EB4F0E"/>
    <w:rsid w:val="00EB5026"/>
    <w:rsid w:val="00EB5255"/>
    <w:rsid w:val="00EB5723"/>
    <w:rsid w:val="00EB5C47"/>
    <w:rsid w:val="00EB605D"/>
    <w:rsid w:val="00EB6C46"/>
    <w:rsid w:val="00EB717C"/>
    <w:rsid w:val="00EB7D23"/>
    <w:rsid w:val="00EB7E60"/>
    <w:rsid w:val="00EC08BA"/>
    <w:rsid w:val="00EC0AD0"/>
    <w:rsid w:val="00EC0CA3"/>
    <w:rsid w:val="00EC137C"/>
    <w:rsid w:val="00EC14B6"/>
    <w:rsid w:val="00EC1799"/>
    <w:rsid w:val="00EC2700"/>
    <w:rsid w:val="00EC2B53"/>
    <w:rsid w:val="00EC5E95"/>
    <w:rsid w:val="00EC667C"/>
    <w:rsid w:val="00EC782D"/>
    <w:rsid w:val="00EC7B9A"/>
    <w:rsid w:val="00ED0639"/>
    <w:rsid w:val="00ED07C4"/>
    <w:rsid w:val="00ED09EF"/>
    <w:rsid w:val="00ED0BE4"/>
    <w:rsid w:val="00ED0D49"/>
    <w:rsid w:val="00ED2186"/>
    <w:rsid w:val="00ED3041"/>
    <w:rsid w:val="00ED4D16"/>
    <w:rsid w:val="00ED55F3"/>
    <w:rsid w:val="00ED6160"/>
    <w:rsid w:val="00ED64B7"/>
    <w:rsid w:val="00ED687E"/>
    <w:rsid w:val="00ED76C3"/>
    <w:rsid w:val="00EE177F"/>
    <w:rsid w:val="00EE331D"/>
    <w:rsid w:val="00EE453C"/>
    <w:rsid w:val="00EE4D0F"/>
    <w:rsid w:val="00EE5101"/>
    <w:rsid w:val="00EE56C7"/>
    <w:rsid w:val="00EE6071"/>
    <w:rsid w:val="00EE6B81"/>
    <w:rsid w:val="00EE7374"/>
    <w:rsid w:val="00EE7BAC"/>
    <w:rsid w:val="00EF0B56"/>
    <w:rsid w:val="00EF1E93"/>
    <w:rsid w:val="00EF1FD6"/>
    <w:rsid w:val="00EF310F"/>
    <w:rsid w:val="00EF32FA"/>
    <w:rsid w:val="00EF3657"/>
    <w:rsid w:val="00EF3E52"/>
    <w:rsid w:val="00EF4755"/>
    <w:rsid w:val="00EF48C4"/>
    <w:rsid w:val="00EF4D3B"/>
    <w:rsid w:val="00EF58E9"/>
    <w:rsid w:val="00EF5D6E"/>
    <w:rsid w:val="00EF651E"/>
    <w:rsid w:val="00EF654A"/>
    <w:rsid w:val="00EF656F"/>
    <w:rsid w:val="00EF6A22"/>
    <w:rsid w:val="00EF6D42"/>
    <w:rsid w:val="00EF7135"/>
    <w:rsid w:val="00EF74CA"/>
    <w:rsid w:val="00EF7A12"/>
    <w:rsid w:val="00F00AE6"/>
    <w:rsid w:val="00F00D97"/>
    <w:rsid w:val="00F00F7A"/>
    <w:rsid w:val="00F00FC3"/>
    <w:rsid w:val="00F01030"/>
    <w:rsid w:val="00F0254D"/>
    <w:rsid w:val="00F027DB"/>
    <w:rsid w:val="00F02931"/>
    <w:rsid w:val="00F02C18"/>
    <w:rsid w:val="00F0327A"/>
    <w:rsid w:val="00F04484"/>
    <w:rsid w:val="00F04933"/>
    <w:rsid w:val="00F056B9"/>
    <w:rsid w:val="00F05C97"/>
    <w:rsid w:val="00F06162"/>
    <w:rsid w:val="00F071CB"/>
    <w:rsid w:val="00F106AA"/>
    <w:rsid w:val="00F107C1"/>
    <w:rsid w:val="00F11200"/>
    <w:rsid w:val="00F1188A"/>
    <w:rsid w:val="00F1191B"/>
    <w:rsid w:val="00F1215E"/>
    <w:rsid w:val="00F137CD"/>
    <w:rsid w:val="00F13DE3"/>
    <w:rsid w:val="00F13EF1"/>
    <w:rsid w:val="00F14A7A"/>
    <w:rsid w:val="00F156DE"/>
    <w:rsid w:val="00F163A9"/>
    <w:rsid w:val="00F16DDC"/>
    <w:rsid w:val="00F17B22"/>
    <w:rsid w:val="00F202B7"/>
    <w:rsid w:val="00F20E60"/>
    <w:rsid w:val="00F21AA8"/>
    <w:rsid w:val="00F221B8"/>
    <w:rsid w:val="00F22985"/>
    <w:rsid w:val="00F22F9D"/>
    <w:rsid w:val="00F24036"/>
    <w:rsid w:val="00F2411C"/>
    <w:rsid w:val="00F243FF"/>
    <w:rsid w:val="00F24A22"/>
    <w:rsid w:val="00F25ADB"/>
    <w:rsid w:val="00F2619A"/>
    <w:rsid w:val="00F26B7B"/>
    <w:rsid w:val="00F27197"/>
    <w:rsid w:val="00F275E2"/>
    <w:rsid w:val="00F3020B"/>
    <w:rsid w:val="00F303BE"/>
    <w:rsid w:val="00F306C7"/>
    <w:rsid w:val="00F308BC"/>
    <w:rsid w:val="00F30D52"/>
    <w:rsid w:val="00F314FB"/>
    <w:rsid w:val="00F3383E"/>
    <w:rsid w:val="00F339DD"/>
    <w:rsid w:val="00F34CC6"/>
    <w:rsid w:val="00F3524E"/>
    <w:rsid w:val="00F35908"/>
    <w:rsid w:val="00F35CFB"/>
    <w:rsid w:val="00F36650"/>
    <w:rsid w:val="00F37535"/>
    <w:rsid w:val="00F3770D"/>
    <w:rsid w:val="00F377BE"/>
    <w:rsid w:val="00F401D2"/>
    <w:rsid w:val="00F403EB"/>
    <w:rsid w:val="00F40693"/>
    <w:rsid w:val="00F40C02"/>
    <w:rsid w:val="00F40EAC"/>
    <w:rsid w:val="00F40F80"/>
    <w:rsid w:val="00F415B4"/>
    <w:rsid w:val="00F418DF"/>
    <w:rsid w:val="00F42620"/>
    <w:rsid w:val="00F427D1"/>
    <w:rsid w:val="00F42C06"/>
    <w:rsid w:val="00F42C5F"/>
    <w:rsid w:val="00F43BBC"/>
    <w:rsid w:val="00F442CB"/>
    <w:rsid w:val="00F44FE5"/>
    <w:rsid w:val="00F45002"/>
    <w:rsid w:val="00F45958"/>
    <w:rsid w:val="00F465A7"/>
    <w:rsid w:val="00F50ABA"/>
    <w:rsid w:val="00F50B7C"/>
    <w:rsid w:val="00F50E8F"/>
    <w:rsid w:val="00F5107C"/>
    <w:rsid w:val="00F511B9"/>
    <w:rsid w:val="00F54296"/>
    <w:rsid w:val="00F54B31"/>
    <w:rsid w:val="00F550E6"/>
    <w:rsid w:val="00F55225"/>
    <w:rsid w:val="00F553A9"/>
    <w:rsid w:val="00F55C68"/>
    <w:rsid w:val="00F56EBB"/>
    <w:rsid w:val="00F5704A"/>
    <w:rsid w:val="00F57617"/>
    <w:rsid w:val="00F577CB"/>
    <w:rsid w:val="00F57EDB"/>
    <w:rsid w:val="00F6031C"/>
    <w:rsid w:val="00F604E7"/>
    <w:rsid w:val="00F610F0"/>
    <w:rsid w:val="00F613C9"/>
    <w:rsid w:val="00F6158D"/>
    <w:rsid w:val="00F6170D"/>
    <w:rsid w:val="00F6195E"/>
    <w:rsid w:val="00F61BCB"/>
    <w:rsid w:val="00F61C3D"/>
    <w:rsid w:val="00F61CB1"/>
    <w:rsid w:val="00F62B81"/>
    <w:rsid w:val="00F63183"/>
    <w:rsid w:val="00F6329C"/>
    <w:rsid w:val="00F6332C"/>
    <w:rsid w:val="00F63D0F"/>
    <w:rsid w:val="00F6501A"/>
    <w:rsid w:val="00F668F4"/>
    <w:rsid w:val="00F66C6D"/>
    <w:rsid w:val="00F70B4C"/>
    <w:rsid w:val="00F70C32"/>
    <w:rsid w:val="00F7172E"/>
    <w:rsid w:val="00F72382"/>
    <w:rsid w:val="00F728A9"/>
    <w:rsid w:val="00F72CA9"/>
    <w:rsid w:val="00F72EF7"/>
    <w:rsid w:val="00F73425"/>
    <w:rsid w:val="00F74345"/>
    <w:rsid w:val="00F7472C"/>
    <w:rsid w:val="00F75118"/>
    <w:rsid w:val="00F75168"/>
    <w:rsid w:val="00F7597A"/>
    <w:rsid w:val="00F76516"/>
    <w:rsid w:val="00F76DB5"/>
    <w:rsid w:val="00F76F06"/>
    <w:rsid w:val="00F77558"/>
    <w:rsid w:val="00F777F2"/>
    <w:rsid w:val="00F802F2"/>
    <w:rsid w:val="00F80A0A"/>
    <w:rsid w:val="00F80AFE"/>
    <w:rsid w:val="00F80B73"/>
    <w:rsid w:val="00F80DD6"/>
    <w:rsid w:val="00F81EEB"/>
    <w:rsid w:val="00F821CF"/>
    <w:rsid w:val="00F8259F"/>
    <w:rsid w:val="00F825FE"/>
    <w:rsid w:val="00F82645"/>
    <w:rsid w:val="00F82902"/>
    <w:rsid w:val="00F82B19"/>
    <w:rsid w:val="00F83845"/>
    <w:rsid w:val="00F838B5"/>
    <w:rsid w:val="00F839C1"/>
    <w:rsid w:val="00F84B99"/>
    <w:rsid w:val="00F85BBA"/>
    <w:rsid w:val="00F86091"/>
    <w:rsid w:val="00F872A7"/>
    <w:rsid w:val="00F87942"/>
    <w:rsid w:val="00F91579"/>
    <w:rsid w:val="00F9212D"/>
    <w:rsid w:val="00F92B62"/>
    <w:rsid w:val="00F934F0"/>
    <w:rsid w:val="00F9432B"/>
    <w:rsid w:val="00F94A73"/>
    <w:rsid w:val="00F95114"/>
    <w:rsid w:val="00F95123"/>
    <w:rsid w:val="00F953CC"/>
    <w:rsid w:val="00F953DD"/>
    <w:rsid w:val="00F965DA"/>
    <w:rsid w:val="00F9660B"/>
    <w:rsid w:val="00F96732"/>
    <w:rsid w:val="00F96913"/>
    <w:rsid w:val="00F96F9B"/>
    <w:rsid w:val="00F97354"/>
    <w:rsid w:val="00FA0133"/>
    <w:rsid w:val="00FA0C9A"/>
    <w:rsid w:val="00FA16DE"/>
    <w:rsid w:val="00FA1860"/>
    <w:rsid w:val="00FA35C5"/>
    <w:rsid w:val="00FA35DB"/>
    <w:rsid w:val="00FA406A"/>
    <w:rsid w:val="00FA4958"/>
    <w:rsid w:val="00FA4E5D"/>
    <w:rsid w:val="00FA50E3"/>
    <w:rsid w:val="00FA5477"/>
    <w:rsid w:val="00FA5747"/>
    <w:rsid w:val="00FA6190"/>
    <w:rsid w:val="00FA7B20"/>
    <w:rsid w:val="00FA7B93"/>
    <w:rsid w:val="00FB06EF"/>
    <w:rsid w:val="00FB08CE"/>
    <w:rsid w:val="00FB0E0F"/>
    <w:rsid w:val="00FB1509"/>
    <w:rsid w:val="00FB2109"/>
    <w:rsid w:val="00FB24F9"/>
    <w:rsid w:val="00FB2758"/>
    <w:rsid w:val="00FB396E"/>
    <w:rsid w:val="00FB503A"/>
    <w:rsid w:val="00FB50A7"/>
    <w:rsid w:val="00FB516C"/>
    <w:rsid w:val="00FB52FB"/>
    <w:rsid w:val="00FB5BE0"/>
    <w:rsid w:val="00FB5EC1"/>
    <w:rsid w:val="00FB643F"/>
    <w:rsid w:val="00FB646B"/>
    <w:rsid w:val="00FB6A6C"/>
    <w:rsid w:val="00FB6DA1"/>
    <w:rsid w:val="00FB7B09"/>
    <w:rsid w:val="00FC0765"/>
    <w:rsid w:val="00FC0861"/>
    <w:rsid w:val="00FC087B"/>
    <w:rsid w:val="00FC17FB"/>
    <w:rsid w:val="00FC1870"/>
    <w:rsid w:val="00FC206D"/>
    <w:rsid w:val="00FC257C"/>
    <w:rsid w:val="00FC268F"/>
    <w:rsid w:val="00FC29F8"/>
    <w:rsid w:val="00FC3712"/>
    <w:rsid w:val="00FC3768"/>
    <w:rsid w:val="00FC3BFF"/>
    <w:rsid w:val="00FC3E1B"/>
    <w:rsid w:val="00FC44BD"/>
    <w:rsid w:val="00FC4A85"/>
    <w:rsid w:val="00FC5BFA"/>
    <w:rsid w:val="00FC63E7"/>
    <w:rsid w:val="00FC6E0C"/>
    <w:rsid w:val="00FC7AAD"/>
    <w:rsid w:val="00FD0236"/>
    <w:rsid w:val="00FD07DC"/>
    <w:rsid w:val="00FD09EB"/>
    <w:rsid w:val="00FD0DC9"/>
    <w:rsid w:val="00FD118C"/>
    <w:rsid w:val="00FD15C0"/>
    <w:rsid w:val="00FD1738"/>
    <w:rsid w:val="00FD18F4"/>
    <w:rsid w:val="00FD1E5A"/>
    <w:rsid w:val="00FD25E3"/>
    <w:rsid w:val="00FD3674"/>
    <w:rsid w:val="00FD4134"/>
    <w:rsid w:val="00FD4590"/>
    <w:rsid w:val="00FD4B89"/>
    <w:rsid w:val="00FD54DB"/>
    <w:rsid w:val="00FD619F"/>
    <w:rsid w:val="00FD6571"/>
    <w:rsid w:val="00FD709B"/>
    <w:rsid w:val="00FD7CF7"/>
    <w:rsid w:val="00FD7E59"/>
    <w:rsid w:val="00FE10FA"/>
    <w:rsid w:val="00FE1CEF"/>
    <w:rsid w:val="00FE2ACD"/>
    <w:rsid w:val="00FE2D27"/>
    <w:rsid w:val="00FE37BC"/>
    <w:rsid w:val="00FE3B4A"/>
    <w:rsid w:val="00FE4037"/>
    <w:rsid w:val="00FE4F1F"/>
    <w:rsid w:val="00FE5A33"/>
    <w:rsid w:val="00FE6CD3"/>
    <w:rsid w:val="00FE7B6F"/>
    <w:rsid w:val="00FF0266"/>
    <w:rsid w:val="00FF07DD"/>
    <w:rsid w:val="00FF08BB"/>
    <w:rsid w:val="00FF0980"/>
    <w:rsid w:val="00FF0A60"/>
    <w:rsid w:val="00FF0C09"/>
    <w:rsid w:val="00FF0C19"/>
    <w:rsid w:val="00FF0ED0"/>
    <w:rsid w:val="00FF1494"/>
    <w:rsid w:val="00FF193E"/>
    <w:rsid w:val="00FF1D2E"/>
    <w:rsid w:val="00FF1D3D"/>
    <w:rsid w:val="00FF20D5"/>
    <w:rsid w:val="00FF24B7"/>
    <w:rsid w:val="00FF25DE"/>
    <w:rsid w:val="00FF32E1"/>
    <w:rsid w:val="00FF43ED"/>
    <w:rsid w:val="00FF4945"/>
    <w:rsid w:val="00FF4CD3"/>
    <w:rsid w:val="00FF4E31"/>
    <w:rsid w:val="00FF4F01"/>
    <w:rsid w:val="00FF587C"/>
    <w:rsid w:val="00FF6728"/>
    <w:rsid w:val="00FF6A8F"/>
    <w:rsid w:val="00FF7409"/>
    <w:rsid w:val="01001B5E"/>
    <w:rsid w:val="01011432"/>
    <w:rsid w:val="010351AA"/>
    <w:rsid w:val="01042CD0"/>
    <w:rsid w:val="01062EEC"/>
    <w:rsid w:val="01066A48"/>
    <w:rsid w:val="010A6538"/>
    <w:rsid w:val="010C0502"/>
    <w:rsid w:val="010D4F6F"/>
    <w:rsid w:val="01113D6B"/>
    <w:rsid w:val="0112094F"/>
    <w:rsid w:val="01132522"/>
    <w:rsid w:val="01140C06"/>
    <w:rsid w:val="0116312F"/>
    <w:rsid w:val="011837C3"/>
    <w:rsid w:val="0118605D"/>
    <w:rsid w:val="01192C1F"/>
    <w:rsid w:val="011C44BE"/>
    <w:rsid w:val="011E59FB"/>
    <w:rsid w:val="011F7384"/>
    <w:rsid w:val="01205D5C"/>
    <w:rsid w:val="01290F7E"/>
    <w:rsid w:val="012B4701"/>
    <w:rsid w:val="012D2A2A"/>
    <w:rsid w:val="01303AC5"/>
    <w:rsid w:val="013400FE"/>
    <w:rsid w:val="013637D1"/>
    <w:rsid w:val="01374E54"/>
    <w:rsid w:val="01396E1E"/>
    <w:rsid w:val="013B6B5D"/>
    <w:rsid w:val="013C246A"/>
    <w:rsid w:val="013D4B60"/>
    <w:rsid w:val="013E61E2"/>
    <w:rsid w:val="01401F5A"/>
    <w:rsid w:val="01422176"/>
    <w:rsid w:val="01423F24"/>
    <w:rsid w:val="01435EAC"/>
    <w:rsid w:val="01437C9C"/>
    <w:rsid w:val="014632E9"/>
    <w:rsid w:val="014A102B"/>
    <w:rsid w:val="014C6B51"/>
    <w:rsid w:val="0150576A"/>
    <w:rsid w:val="01513237"/>
    <w:rsid w:val="015717F3"/>
    <w:rsid w:val="015754F6"/>
    <w:rsid w:val="01583748"/>
    <w:rsid w:val="015974C0"/>
    <w:rsid w:val="015D1E09"/>
    <w:rsid w:val="016A347B"/>
    <w:rsid w:val="016C0FA1"/>
    <w:rsid w:val="016D6AC7"/>
    <w:rsid w:val="017311EE"/>
    <w:rsid w:val="017460A8"/>
    <w:rsid w:val="017B5688"/>
    <w:rsid w:val="017D1AFD"/>
    <w:rsid w:val="017E0CD4"/>
    <w:rsid w:val="017E2971"/>
    <w:rsid w:val="01822573"/>
    <w:rsid w:val="01830099"/>
    <w:rsid w:val="01852063"/>
    <w:rsid w:val="01853E11"/>
    <w:rsid w:val="0187402D"/>
    <w:rsid w:val="018A1427"/>
    <w:rsid w:val="018A58CB"/>
    <w:rsid w:val="018F6A3E"/>
    <w:rsid w:val="01944054"/>
    <w:rsid w:val="01962088"/>
    <w:rsid w:val="01967DCC"/>
    <w:rsid w:val="01987FE8"/>
    <w:rsid w:val="019B1886"/>
    <w:rsid w:val="019C4253"/>
    <w:rsid w:val="01A26771"/>
    <w:rsid w:val="01A61B7D"/>
    <w:rsid w:val="01AC75F0"/>
    <w:rsid w:val="01B61901"/>
    <w:rsid w:val="01B6221C"/>
    <w:rsid w:val="01B91464"/>
    <w:rsid w:val="01BB3CD7"/>
    <w:rsid w:val="01BB5A85"/>
    <w:rsid w:val="01BB7833"/>
    <w:rsid w:val="01BD7A4F"/>
    <w:rsid w:val="01C3064A"/>
    <w:rsid w:val="01C34939"/>
    <w:rsid w:val="01C506B1"/>
    <w:rsid w:val="01C54B55"/>
    <w:rsid w:val="01C761D7"/>
    <w:rsid w:val="01C81F50"/>
    <w:rsid w:val="01CF32DE"/>
    <w:rsid w:val="01D27B4F"/>
    <w:rsid w:val="01D628BE"/>
    <w:rsid w:val="01D803E5"/>
    <w:rsid w:val="01DB7ED5"/>
    <w:rsid w:val="01DD1E9F"/>
    <w:rsid w:val="01E4322D"/>
    <w:rsid w:val="01E5012D"/>
    <w:rsid w:val="01E52B01"/>
    <w:rsid w:val="01ED1741"/>
    <w:rsid w:val="01F01BD2"/>
    <w:rsid w:val="01F176F8"/>
    <w:rsid w:val="01F36FCC"/>
    <w:rsid w:val="01F40F97"/>
    <w:rsid w:val="01F4561D"/>
    <w:rsid w:val="01F571E8"/>
    <w:rsid w:val="01F86CD9"/>
    <w:rsid w:val="01F9035B"/>
    <w:rsid w:val="01FF0067"/>
    <w:rsid w:val="01FF3BC3"/>
    <w:rsid w:val="020016E9"/>
    <w:rsid w:val="02005B8D"/>
    <w:rsid w:val="02094A42"/>
    <w:rsid w:val="020B6A0C"/>
    <w:rsid w:val="020E3E06"/>
    <w:rsid w:val="020F7B7E"/>
    <w:rsid w:val="02111B48"/>
    <w:rsid w:val="02117D9A"/>
    <w:rsid w:val="02124B9D"/>
    <w:rsid w:val="02151639"/>
    <w:rsid w:val="02165151"/>
    <w:rsid w:val="02180A0F"/>
    <w:rsid w:val="02184C85"/>
    <w:rsid w:val="02186A33"/>
    <w:rsid w:val="021C1620"/>
    <w:rsid w:val="021C29C7"/>
    <w:rsid w:val="021D04ED"/>
    <w:rsid w:val="02203B3A"/>
    <w:rsid w:val="0224187C"/>
    <w:rsid w:val="0227311A"/>
    <w:rsid w:val="022B2C0A"/>
    <w:rsid w:val="022C6982"/>
    <w:rsid w:val="022E6257"/>
    <w:rsid w:val="02301FCF"/>
    <w:rsid w:val="02317AF5"/>
    <w:rsid w:val="0236335D"/>
    <w:rsid w:val="02380E83"/>
    <w:rsid w:val="02385327"/>
    <w:rsid w:val="02385AB4"/>
    <w:rsid w:val="023B1653"/>
    <w:rsid w:val="023B6BC5"/>
    <w:rsid w:val="023C4E17"/>
    <w:rsid w:val="023E1BBB"/>
    <w:rsid w:val="023F3BBA"/>
    <w:rsid w:val="02447828"/>
    <w:rsid w:val="024863AD"/>
    <w:rsid w:val="024A0CCD"/>
    <w:rsid w:val="024A69D2"/>
    <w:rsid w:val="025008C3"/>
    <w:rsid w:val="02521EB3"/>
    <w:rsid w:val="02551A35"/>
    <w:rsid w:val="025657AD"/>
    <w:rsid w:val="02572B53"/>
    <w:rsid w:val="02590097"/>
    <w:rsid w:val="025A5C68"/>
    <w:rsid w:val="025A704C"/>
    <w:rsid w:val="025C1016"/>
    <w:rsid w:val="025D7568"/>
    <w:rsid w:val="025F0B06"/>
    <w:rsid w:val="025F4662"/>
    <w:rsid w:val="02653FF9"/>
    <w:rsid w:val="02661E94"/>
    <w:rsid w:val="02681684"/>
    <w:rsid w:val="02685C0C"/>
    <w:rsid w:val="02693733"/>
    <w:rsid w:val="02697903"/>
    <w:rsid w:val="026B1259"/>
    <w:rsid w:val="026B3007"/>
    <w:rsid w:val="026C4FD1"/>
    <w:rsid w:val="026C6D7F"/>
    <w:rsid w:val="02702D13"/>
    <w:rsid w:val="02705C0D"/>
    <w:rsid w:val="02720839"/>
    <w:rsid w:val="02736B92"/>
    <w:rsid w:val="027427F8"/>
    <w:rsid w:val="02747A93"/>
    <w:rsid w:val="02750329"/>
    <w:rsid w:val="027D0F8C"/>
    <w:rsid w:val="027F104C"/>
    <w:rsid w:val="02814F7F"/>
    <w:rsid w:val="028247F4"/>
    <w:rsid w:val="02832A46"/>
    <w:rsid w:val="028458A5"/>
    <w:rsid w:val="02873BB9"/>
    <w:rsid w:val="02892727"/>
    <w:rsid w:val="02895B83"/>
    <w:rsid w:val="028B36A9"/>
    <w:rsid w:val="028D51BD"/>
    <w:rsid w:val="028D7421"/>
    <w:rsid w:val="028E5F70"/>
    <w:rsid w:val="02921448"/>
    <w:rsid w:val="02954528"/>
    <w:rsid w:val="02955E4D"/>
    <w:rsid w:val="02994853"/>
    <w:rsid w:val="029A1001"/>
    <w:rsid w:val="029A38EC"/>
    <w:rsid w:val="029A3B71"/>
    <w:rsid w:val="029C7664"/>
    <w:rsid w:val="029D16E1"/>
    <w:rsid w:val="029D33DC"/>
    <w:rsid w:val="029F6342"/>
    <w:rsid w:val="02A12ECC"/>
    <w:rsid w:val="02A418D7"/>
    <w:rsid w:val="02AB78A7"/>
    <w:rsid w:val="02AE1145"/>
    <w:rsid w:val="02AE55E9"/>
    <w:rsid w:val="02B32C00"/>
    <w:rsid w:val="02B413CC"/>
    <w:rsid w:val="02B56978"/>
    <w:rsid w:val="02B726F0"/>
    <w:rsid w:val="02B7624C"/>
    <w:rsid w:val="02BE3A7E"/>
    <w:rsid w:val="02C10E79"/>
    <w:rsid w:val="02C32E43"/>
    <w:rsid w:val="02C362F0"/>
    <w:rsid w:val="02C40969"/>
    <w:rsid w:val="02C57005"/>
    <w:rsid w:val="02C646E1"/>
    <w:rsid w:val="02C941D1"/>
    <w:rsid w:val="02C95F7F"/>
    <w:rsid w:val="02CA35F2"/>
    <w:rsid w:val="02CB3070"/>
    <w:rsid w:val="02CD1F13"/>
    <w:rsid w:val="02CD5A6F"/>
    <w:rsid w:val="02CF5EEA"/>
    <w:rsid w:val="02D0730E"/>
    <w:rsid w:val="02D247A8"/>
    <w:rsid w:val="02D2752A"/>
    <w:rsid w:val="02D41D88"/>
    <w:rsid w:val="02D432A2"/>
    <w:rsid w:val="02DA1F3A"/>
    <w:rsid w:val="02DC4F6F"/>
    <w:rsid w:val="02E5725D"/>
    <w:rsid w:val="02E828A9"/>
    <w:rsid w:val="02EA0864"/>
    <w:rsid w:val="02EB4148"/>
    <w:rsid w:val="02ED6112"/>
    <w:rsid w:val="02EF1E8A"/>
    <w:rsid w:val="02F23728"/>
    <w:rsid w:val="02F32FFC"/>
    <w:rsid w:val="02F456F2"/>
    <w:rsid w:val="02F76F90"/>
    <w:rsid w:val="02F949FE"/>
    <w:rsid w:val="02F96569"/>
    <w:rsid w:val="02FE031F"/>
    <w:rsid w:val="02FF5E45"/>
    <w:rsid w:val="03031491"/>
    <w:rsid w:val="03040434"/>
    <w:rsid w:val="03043B39"/>
    <w:rsid w:val="030516AD"/>
    <w:rsid w:val="030671D3"/>
    <w:rsid w:val="03095B08"/>
    <w:rsid w:val="030D0562"/>
    <w:rsid w:val="030E4812"/>
    <w:rsid w:val="03101F14"/>
    <w:rsid w:val="03104E09"/>
    <w:rsid w:val="03115D87"/>
    <w:rsid w:val="03125B78"/>
    <w:rsid w:val="03127926"/>
    <w:rsid w:val="03140F5D"/>
    <w:rsid w:val="031511C4"/>
    <w:rsid w:val="03165668"/>
    <w:rsid w:val="031756D8"/>
    <w:rsid w:val="031A057A"/>
    <w:rsid w:val="031A67DB"/>
    <w:rsid w:val="031C2553"/>
    <w:rsid w:val="032338E1"/>
    <w:rsid w:val="03247659"/>
    <w:rsid w:val="03292E3E"/>
    <w:rsid w:val="032A2EC2"/>
    <w:rsid w:val="032A4C70"/>
    <w:rsid w:val="032B6C3A"/>
    <w:rsid w:val="032D4760"/>
    <w:rsid w:val="032D650E"/>
    <w:rsid w:val="032F04D8"/>
    <w:rsid w:val="032F2286"/>
    <w:rsid w:val="03307BCF"/>
    <w:rsid w:val="03315CCB"/>
    <w:rsid w:val="03345AEF"/>
    <w:rsid w:val="03351867"/>
    <w:rsid w:val="0337738D"/>
    <w:rsid w:val="03380F32"/>
    <w:rsid w:val="033B6E7D"/>
    <w:rsid w:val="033D21D3"/>
    <w:rsid w:val="033E2742"/>
    <w:rsid w:val="034675D0"/>
    <w:rsid w:val="03483348"/>
    <w:rsid w:val="034A70C0"/>
    <w:rsid w:val="034D095E"/>
    <w:rsid w:val="034D4E02"/>
    <w:rsid w:val="03561F09"/>
    <w:rsid w:val="03597303"/>
    <w:rsid w:val="035B2C98"/>
    <w:rsid w:val="035E0DBD"/>
    <w:rsid w:val="035E2B6B"/>
    <w:rsid w:val="035F40DD"/>
    <w:rsid w:val="036068E4"/>
    <w:rsid w:val="036118B7"/>
    <w:rsid w:val="03664EA1"/>
    <w:rsid w:val="036839EA"/>
    <w:rsid w:val="036976B2"/>
    <w:rsid w:val="036D1000"/>
    <w:rsid w:val="03767EB5"/>
    <w:rsid w:val="03791753"/>
    <w:rsid w:val="037B196F"/>
    <w:rsid w:val="03824AAC"/>
    <w:rsid w:val="038500F8"/>
    <w:rsid w:val="0385459C"/>
    <w:rsid w:val="03866ED8"/>
    <w:rsid w:val="038720C2"/>
    <w:rsid w:val="038A570F"/>
    <w:rsid w:val="038D51FF"/>
    <w:rsid w:val="038F0F77"/>
    <w:rsid w:val="03932FCD"/>
    <w:rsid w:val="0396194E"/>
    <w:rsid w:val="03993379"/>
    <w:rsid w:val="03996E3F"/>
    <w:rsid w:val="039C3694"/>
    <w:rsid w:val="039D18E6"/>
    <w:rsid w:val="039E11BA"/>
    <w:rsid w:val="03A367D0"/>
    <w:rsid w:val="03AA4003"/>
    <w:rsid w:val="03AF05A0"/>
    <w:rsid w:val="03AF4145"/>
    <w:rsid w:val="03B44E81"/>
    <w:rsid w:val="03BB6551"/>
    <w:rsid w:val="03BC7892"/>
    <w:rsid w:val="03BD5772"/>
    <w:rsid w:val="03BD5AE4"/>
    <w:rsid w:val="03C43552"/>
    <w:rsid w:val="03C50E3C"/>
    <w:rsid w:val="03C54999"/>
    <w:rsid w:val="03C76963"/>
    <w:rsid w:val="03C947DD"/>
    <w:rsid w:val="03CE7CF1"/>
    <w:rsid w:val="03D33559"/>
    <w:rsid w:val="03D60954"/>
    <w:rsid w:val="03D66BA6"/>
    <w:rsid w:val="03DB41BC"/>
    <w:rsid w:val="03DD1CE2"/>
    <w:rsid w:val="03DE5A5A"/>
    <w:rsid w:val="03DF1EFE"/>
    <w:rsid w:val="03E02A63"/>
    <w:rsid w:val="03E05C76"/>
    <w:rsid w:val="03E312C3"/>
    <w:rsid w:val="03E36813"/>
    <w:rsid w:val="03E70DB3"/>
    <w:rsid w:val="03E72B61"/>
    <w:rsid w:val="03E77005"/>
    <w:rsid w:val="03E77D65"/>
    <w:rsid w:val="03E80687"/>
    <w:rsid w:val="03E868D9"/>
    <w:rsid w:val="03EA2651"/>
    <w:rsid w:val="03EA7B21"/>
    <w:rsid w:val="03EC0177"/>
    <w:rsid w:val="03EC10D7"/>
    <w:rsid w:val="03F139E0"/>
    <w:rsid w:val="03F31506"/>
    <w:rsid w:val="03F60FF6"/>
    <w:rsid w:val="03F92894"/>
    <w:rsid w:val="03FB03BA"/>
    <w:rsid w:val="03FF256C"/>
    <w:rsid w:val="040000C7"/>
    <w:rsid w:val="04012B21"/>
    <w:rsid w:val="0402799B"/>
    <w:rsid w:val="04041965"/>
    <w:rsid w:val="04043AA5"/>
    <w:rsid w:val="04051239"/>
    <w:rsid w:val="040B000E"/>
    <w:rsid w:val="040E27E3"/>
    <w:rsid w:val="040F3E66"/>
    <w:rsid w:val="040F43A0"/>
    <w:rsid w:val="04117BDE"/>
    <w:rsid w:val="041503D0"/>
    <w:rsid w:val="04153D40"/>
    <w:rsid w:val="04161698"/>
    <w:rsid w:val="04194CE4"/>
    <w:rsid w:val="041A2636"/>
    <w:rsid w:val="041E22FB"/>
    <w:rsid w:val="041F679F"/>
    <w:rsid w:val="042042C5"/>
    <w:rsid w:val="04221DEB"/>
    <w:rsid w:val="042711AF"/>
    <w:rsid w:val="042B2438"/>
    <w:rsid w:val="042C2C6A"/>
    <w:rsid w:val="042D27FE"/>
    <w:rsid w:val="042D7E0C"/>
    <w:rsid w:val="043B1F2D"/>
    <w:rsid w:val="043B4C5B"/>
    <w:rsid w:val="044004C3"/>
    <w:rsid w:val="04406715"/>
    <w:rsid w:val="04425FE9"/>
    <w:rsid w:val="04461F7D"/>
    <w:rsid w:val="04471852"/>
    <w:rsid w:val="04477AA3"/>
    <w:rsid w:val="044955CA"/>
    <w:rsid w:val="044A30F0"/>
    <w:rsid w:val="044B1342"/>
    <w:rsid w:val="044C50BA"/>
    <w:rsid w:val="044F4E1E"/>
    <w:rsid w:val="045126D0"/>
    <w:rsid w:val="04531FA4"/>
    <w:rsid w:val="04553F6E"/>
    <w:rsid w:val="04590024"/>
    <w:rsid w:val="045A6946"/>
    <w:rsid w:val="045B52FD"/>
    <w:rsid w:val="045F4DED"/>
    <w:rsid w:val="0462668B"/>
    <w:rsid w:val="04627CA9"/>
    <w:rsid w:val="04673CA2"/>
    <w:rsid w:val="04683B1B"/>
    <w:rsid w:val="046917C8"/>
    <w:rsid w:val="046A643B"/>
    <w:rsid w:val="047168CE"/>
    <w:rsid w:val="04722D72"/>
    <w:rsid w:val="04784101"/>
    <w:rsid w:val="047B6F67"/>
    <w:rsid w:val="047C599F"/>
    <w:rsid w:val="047C774D"/>
    <w:rsid w:val="04814D63"/>
    <w:rsid w:val="0482288A"/>
    <w:rsid w:val="048760F2"/>
    <w:rsid w:val="048900BC"/>
    <w:rsid w:val="048B7990"/>
    <w:rsid w:val="048C0345"/>
    <w:rsid w:val="048E122E"/>
    <w:rsid w:val="04900156"/>
    <w:rsid w:val="0490144A"/>
    <w:rsid w:val="04903E68"/>
    <w:rsid w:val="04904FA7"/>
    <w:rsid w:val="04910D1F"/>
    <w:rsid w:val="049115E6"/>
    <w:rsid w:val="049164CF"/>
    <w:rsid w:val="04936845"/>
    <w:rsid w:val="049525BD"/>
    <w:rsid w:val="04966335"/>
    <w:rsid w:val="04974587"/>
    <w:rsid w:val="049802FF"/>
    <w:rsid w:val="049820AD"/>
    <w:rsid w:val="04983E5B"/>
    <w:rsid w:val="049A5E25"/>
    <w:rsid w:val="049C7DEF"/>
    <w:rsid w:val="049D3B67"/>
    <w:rsid w:val="04A22F2C"/>
    <w:rsid w:val="04A24CDA"/>
    <w:rsid w:val="04A44EF6"/>
    <w:rsid w:val="04A62A1C"/>
    <w:rsid w:val="04A67D1B"/>
    <w:rsid w:val="04AB1DE0"/>
    <w:rsid w:val="04AD4237"/>
    <w:rsid w:val="04B05649"/>
    <w:rsid w:val="04B073F7"/>
    <w:rsid w:val="04B876E8"/>
    <w:rsid w:val="04BC215E"/>
    <w:rsid w:val="04BD38C2"/>
    <w:rsid w:val="04BE31D4"/>
    <w:rsid w:val="04BF588C"/>
    <w:rsid w:val="04C17856"/>
    <w:rsid w:val="04C3537C"/>
    <w:rsid w:val="04C42EA2"/>
    <w:rsid w:val="04C44C50"/>
    <w:rsid w:val="04C9495C"/>
    <w:rsid w:val="04C9670A"/>
    <w:rsid w:val="04CD61FB"/>
    <w:rsid w:val="04CE3D21"/>
    <w:rsid w:val="04D01847"/>
    <w:rsid w:val="04D56E5D"/>
    <w:rsid w:val="04D962EF"/>
    <w:rsid w:val="04D96EE6"/>
    <w:rsid w:val="04DA4474"/>
    <w:rsid w:val="04DC4690"/>
    <w:rsid w:val="04DF3C4E"/>
    <w:rsid w:val="04E050E9"/>
    <w:rsid w:val="04E23328"/>
    <w:rsid w:val="04E452F2"/>
    <w:rsid w:val="04E470A0"/>
    <w:rsid w:val="04E90B5B"/>
    <w:rsid w:val="04E946B7"/>
    <w:rsid w:val="04EA7113"/>
    <w:rsid w:val="04EB0520"/>
    <w:rsid w:val="04ED41A7"/>
    <w:rsid w:val="04F03C97"/>
    <w:rsid w:val="04F80D9E"/>
    <w:rsid w:val="04FC6AE0"/>
    <w:rsid w:val="04FD0162"/>
    <w:rsid w:val="04FE4606"/>
    <w:rsid w:val="05014417"/>
    <w:rsid w:val="050339CA"/>
    <w:rsid w:val="050634BB"/>
    <w:rsid w:val="05092FAB"/>
    <w:rsid w:val="05096B07"/>
    <w:rsid w:val="050D2A9B"/>
    <w:rsid w:val="050D65F7"/>
    <w:rsid w:val="051200B1"/>
    <w:rsid w:val="05143FCE"/>
    <w:rsid w:val="05157BA2"/>
    <w:rsid w:val="051F632A"/>
    <w:rsid w:val="052120A3"/>
    <w:rsid w:val="05235E1B"/>
    <w:rsid w:val="05241B93"/>
    <w:rsid w:val="05243941"/>
    <w:rsid w:val="052878D5"/>
    <w:rsid w:val="05290F57"/>
    <w:rsid w:val="052971A9"/>
    <w:rsid w:val="052A53FB"/>
    <w:rsid w:val="052B1173"/>
    <w:rsid w:val="052B2F21"/>
    <w:rsid w:val="052F2A11"/>
    <w:rsid w:val="05300538"/>
    <w:rsid w:val="053242B0"/>
    <w:rsid w:val="053718C6"/>
    <w:rsid w:val="05375C27"/>
    <w:rsid w:val="053A13B6"/>
    <w:rsid w:val="053A4F12"/>
    <w:rsid w:val="053C512E"/>
    <w:rsid w:val="053E5AFA"/>
    <w:rsid w:val="053F54D7"/>
    <w:rsid w:val="05404C1F"/>
    <w:rsid w:val="05410997"/>
    <w:rsid w:val="054144F3"/>
    <w:rsid w:val="054166BC"/>
    <w:rsid w:val="054364BD"/>
    <w:rsid w:val="054544AF"/>
    <w:rsid w:val="054B35C3"/>
    <w:rsid w:val="0552282F"/>
    <w:rsid w:val="05524952"/>
    <w:rsid w:val="05542478"/>
    <w:rsid w:val="05571F68"/>
    <w:rsid w:val="05575AC4"/>
    <w:rsid w:val="055C30DB"/>
    <w:rsid w:val="055E6E53"/>
    <w:rsid w:val="056401E1"/>
    <w:rsid w:val="056621AB"/>
    <w:rsid w:val="05665D07"/>
    <w:rsid w:val="056A3686"/>
    <w:rsid w:val="056F2E0E"/>
    <w:rsid w:val="05720B50"/>
    <w:rsid w:val="05746676"/>
    <w:rsid w:val="057A17B3"/>
    <w:rsid w:val="057B5C57"/>
    <w:rsid w:val="057B7A05"/>
    <w:rsid w:val="057C552B"/>
    <w:rsid w:val="057D6BA7"/>
    <w:rsid w:val="0580501B"/>
    <w:rsid w:val="058A5E9A"/>
    <w:rsid w:val="058F525E"/>
    <w:rsid w:val="05900FD6"/>
    <w:rsid w:val="05922FA0"/>
    <w:rsid w:val="05926AFC"/>
    <w:rsid w:val="05940AC6"/>
    <w:rsid w:val="05942874"/>
    <w:rsid w:val="05946774"/>
    <w:rsid w:val="059565ED"/>
    <w:rsid w:val="059705B7"/>
    <w:rsid w:val="059C5BCD"/>
    <w:rsid w:val="059C797B"/>
    <w:rsid w:val="059E7B97"/>
    <w:rsid w:val="05A21435"/>
    <w:rsid w:val="05A607FA"/>
    <w:rsid w:val="05A7587F"/>
    <w:rsid w:val="05A827C4"/>
    <w:rsid w:val="05A84572"/>
    <w:rsid w:val="05AC4062"/>
    <w:rsid w:val="05AF0C21"/>
    <w:rsid w:val="05B15303"/>
    <w:rsid w:val="05B253F0"/>
    <w:rsid w:val="05B60A3D"/>
    <w:rsid w:val="05C1766B"/>
    <w:rsid w:val="05C23886"/>
    <w:rsid w:val="05C3315A"/>
    <w:rsid w:val="05C55721"/>
    <w:rsid w:val="05C869C2"/>
    <w:rsid w:val="05CC0260"/>
    <w:rsid w:val="05CC64B2"/>
    <w:rsid w:val="05CE5343"/>
    <w:rsid w:val="05CF1AFF"/>
    <w:rsid w:val="05D215EF"/>
    <w:rsid w:val="05D76C05"/>
    <w:rsid w:val="05D84E57"/>
    <w:rsid w:val="05DE7F94"/>
    <w:rsid w:val="05E03D0C"/>
    <w:rsid w:val="05E11832"/>
    <w:rsid w:val="05E27A84"/>
    <w:rsid w:val="05E355AA"/>
    <w:rsid w:val="05E51322"/>
    <w:rsid w:val="05E57574"/>
    <w:rsid w:val="05EA4B8A"/>
    <w:rsid w:val="05EB32DD"/>
    <w:rsid w:val="05EB486B"/>
    <w:rsid w:val="05ED01D7"/>
    <w:rsid w:val="05ED6429"/>
    <w:rsid w:val="05EE6BE0"/>
    <w:rsid w:val="05EF467C"/>
    <w:rsid w:val="05F72E03"/>
    <w:rsid w:val="05F83EAE"/>
    <w:rsid w:val="0600615C"/>
    <w:rsid w:val="060077E8"/>
    <w:rsid w:val="06020126"/>
    <w:rsid w:val="060379FA"/>
    <w:rsid w:val="06055520"/>
    <w:rsid w:val="06085010"/>
    <w:rsid w:val="060A2B37"/>
    <w:rsid w:val="060B715F"/>
    <w:rsid w:val="060E4F02"/>
    <w:rsid w:val="060E6ACB"/>
    <w:rsid w:val="06127C3D"/>
    <w:rsid w:val="061340E1"/>
    <w:rsid w:val="061614DB"/>
    <w:rsid w:val="0616597F"/>
    <w:rsid w:val="061A394A"/>
    <w:rsid w:val="061A5470"/>
    <w:rsid w:val="061B2F96"/>
    <w:rsid w:val="061D0ABC"/>
    <w:rsid w:val="06233BF8"/>
    <w:rsid w:val="0624009C"/>
    <w:rsid w:val="06253E14"/>
    <w:rsid w:val="062C4B5F"/>
    <w:rsid w:val="063302DF"/>
    <w:rsid w:val="06367DD0"/>
    <w:rsid w:val="063858F6"/>
    <w:rsid w:val="06391410"/>
    <w:rsid w:val="063B7194"/>
    <w:rsid w:val="063D4CBA"/>
    <w:rsid w:val="063E7D85"/>
    <w:rsid w:val="063F1604"/>
    <w:rsid w:val="063F4ED6"/>
    <w:rsid w:val="064029FC"/>
    <w:rsid w:val="064222D0"/>
    <w:rsid w:val="06432B56"/>
    <w:rsid w:val="064424ED"/>
    <w:rsid w:val="06451DC1"/>
    <w:rsid w:val="06456265"/>
    <w:rsid w:val="06484DAE"/>
    <w:rsid w:val="064A5EDE"/>
    <w:rsid w:val="064F2C3F"/>
    <w:rsid w:val="06510766"/>
    <w:rsid w:val="065344DE"/>
    <w:rsid w:val="065546FA"/>
    <w:rsid w:val="06607510"/>
    <w:rsid w:val="06624721"/>
    <w:rsid w:val="06640499"/>
    <w:rsid w:val="06693D01"/>
    <w:rsid w:val="066E1317"/>
    <w:rsid w:val="066E57BB"/>
    <w:rsid w:val="067032E2"/>
    <w:rsid w:val="067A4160"/>
    <w:rsid w:val="067B1C86"/>
    <w:rsid w:val="06805772"/>
    <w:rsid w:val="0680729D"/>
    <w:rsid w:val="068154EF"/>
    <w:rsid w:val="06832AFE"/>
    <w:rsid w:val="068428E9"/>
    <w:rsid w:val="06856661"/>
    <w:rsid w:val="06862B05"/>
    <w:rsid w:val="06874077"/>
    <w:rsid w:val="06874187"/>
    <w:rsid w:val="06896151"/>
    <w:rsid w:val="068C3E93"/>
    <w:rsid w:val="068C79F0"/>
    <w:rsid w:val="068F128E"/>
    <w:rsid w:val="06935222"/>
    <w:rsid w:val="06936FD0"/>
    <w:rsid w:val="0695635D"/>
    <w:rsid w:val="069845E6"/>
    <w:rsid w:val="069D1BFD"/>
    <w:rsid w:val="069F3BC7"/>
    <w:rsid w:val="069F7723"/>
    <w:rsid w:val="06A12170"/>
    <w:rsid w:val="06A25465"/>
    <w:rsid w:val="06A72A7B"/>
    <w:rsid w:val="06A82B4A"/>
    <w:rsid w:val="06AC0092"/>
    <w:rsid w:val="06AC1E40"/>
    <w:rsid w:val="06AD62E4"/>
    <w:rsid w:val="06AE7966"/>
    <w:rsid w:val="06B036DE"/>
    <w:rsid w:val="06B331CE"/>
    <w:rsid w:val="06B34F7C"/>
    <w:rsid w:val="06B35987"/>
    <w:rsid w:val="06B93462"/>
    <w:rsid w:val="06BD229F"/>
    <w:rsid w:val="06BF6017"/>
    <w:rsid w:val="06C07699"/>
    <w:rsid w:val="06C13B3D"/>
    <w:rsid w:val="06C453DB"/>
    <w:rsid w:val="06C61153"/>
    <w:rsid w:val="06C76C7A"/>
    <w:rsid w:val="06C853B3"/>
    <w:rsid w:val="06C947A0"/>
    <w:rsid w:val="06D2293F"/>
    <w:rsid w:val="06D27AF8"/>
    <w:rsid w:val="06D373CC"/>
    <w:rsid w:val="06D44CBF"/>
    <w:rsid w:val="06D67EFC"/>
    <w:rsid w:val="06D73361"/>
    <w:rsid w:val="06D82C35"/>
    <w:rsid w:val="06D95C71"/>
    <w:rsid w:val="06DD024B"/>
    <w:rsid w:val="06E12BAE"/>
    <w:rsid w:val="06E25862"/>
    <w:rsid w:val="06E31D05"/>
    <w:rsid w:val="06E415DA"/>
    <w:rsid w:val="06EC66E0"/>
    <w:rsid w:val="06F2019A"/>
    <w:rsid w:val="06F832D7"/>
    <w:rsid w:val="06FC4B75"/>
    <w:rsid w:val="06FD269B"/>
    <w:rsid w:val="070103DE"/>
    <w:rsid w:val="0701218C"/>
    <w:rsid w:val="07034156"/>
    <w:rsid w:val="0707271F"/>
    <w:rsid w:val="07075397"/>
    <w:rsid w:val="070954E4"/>
    <w:rsid w:val="070B300A"/>
    <w:rsid w:val="070E34A9"/>
    <w:rsid w:val="071023CF"/>
    <w:rsid w:val="071579E5"/>
    <w:rsid w:val="07181283"/>
    <w:rsid w:val="0718536E"/>
    <w:rsid w:val="071A149F"/>
    <w:rsid w:val="071A324D"/>
    <w:rsid w:val="071E0F8F"/>
    <w:rsid w:val="0721282E"/>
    <w:rsid w:val="07224756"/>
    <w:rsid w:val="072440CC"/>
    <w:rsid w:val="07286F7A"/>
    <w:rsid w:val="07293490"/>
    <w:rsid w:val="07293586"/>
    <w:rsid w:val="07295285"/>
    <w:rsid w:val="072B7208"/>
    <w:rsid w:val="0730481F"/>
    <w:rsid w:val="073065CD"/>
    <w:rsid w:val="07320597"/>
    <w:rsid w:val="073267E9"/>
    <w:rsid w:val="073360BD"/>
    <w:rsid w:val="07372051"/>
    <w:rsid w:val="073A569E"/>
    <w:rsid w:val="073E518E"/>
    <w:rsid w:val="07464042"/>
    <w:rsid w:val="0748600C"/>
    <w:rsid w:val="074A1D85"/>
    <w:rsid w:val="074B1659"/>
    <w:rsid w:val="074D3097"/>
    <w:rsid w:val="07506A90"/>
    <w:rsid w:val="07550729"/>
    <w:rsid w:val="07550FFD"/>
    <w:rsid w:val="07571DAC"/>
    <w:rsid w:val="075A189C"/>
    <w:rsid w:val="075B5D40"/>
    <w:rsid w:val="075E313A"/>
    <w:rsid w:val="075F46F8"/>
    <w:rsid w:val="076170CE"/>
    <w:rsid w:val="07632E46"/>
    <w:rsid w:val="07636392"/>
    <w:rsid w:val="0764500A"/>
    <w:rsid w:val="076F034F"/>
    <w:rsid w:val="076F5347"/>
    <w:rsid w:val="077706A0"/>
    <w:rsid w:val="07770C56"/>
    <w:rsid w:val="077730CD"/>
    <w:rsid w:val="077E37DC"/>
    <w:rsid w:val="077E558A"/>
    <w:rsid w:val="07816602"/>
    <w:rsid w:val="07832BA1"/>
    <w:rsid w:val="07846919"/>
    <w:rsid w:val="07854B6B"/>
    <w:rsid w:val="078801B7"/>
    <w:rsid w:val="078F7797"/>
    <w:rsid w:val="07911761"/>
    <w:rsid w:val="07927288"/>
    <w:rsid w:val="07944A78"/>
    <w:rsid w:val="079B25E0"/>
    <w:rsid w:val="079B438E"/>
    <w:rsid w:val="079C0106"/>
    <w:rsid w:val="079E79DA"/>
    <w:rsid w:val="07A11279"/>
    <w:rsid w:val="07A1396F"/>
    <w:rsid w:val="07A1571D"/>
    <w:rsid w:val="07A62D33"/>
    <w:rsid w:val="07AA637F"/>
    <w:rsid w:val="07AD5E6F"/>
    <w:rsid w:val="07B0770E"/>
    <w:rsid w:val="07B611C8"/>
    <w:rsid w:val="07B76CEE"/>
    <w:rsid w:val="07BB67DE"/>
    <w:rsid w:val="07C531CC"/>
    <w:rsid w:val="07C5765D"/>
    <w:rsid w:val="07C80EFB"/>
    <w:rsid w:val="07CA4C73"/>
    <w:rsid w:val="07CA6A21"/>
    <w:rsid w:val="07CB0DF0"/>
    <w:rsid w:val="07CF5DE6"/>
    <w:rsid w:val="07D16002"/>
    <w:rsid w:val="07D21D7A"/>
    <w:rsid w:val="07D24A1A"/>
    <w:rsid w:val="07D4164E"/>
    <w:rsid w:val="07D478A0"/>
    <w:rsid w:val="07D653C6"/>
    <w:rsid w:val="07D948ED"/>
    <w:rsid w:val="07D96C64"/>
    <w:rsid w:val="07DA312E"/>
    <w:rsid w:val="07DB478B"/>
    <w:rsid w:val="07E13D6B"/>
    <w:rsid w:val="07E52E90"/>
    <w:rsid w:val="07E8334B"/>
    <w:rsid w:val="07EC2E3C"/>
    <w:rsid w:val="07EC6998"/>
    <w:rsid w:val="07ED1622"/>
    <w:rsid w:val="07ED2710"/>
    <w:rsid w:val="07EF0236"/>
    <w:rsid w:val="07EF4010"/>
    <w:rsid w:val="07EF6488"/>
    <w:rsid w:val="07F41CF0"/>
    <w:rsid w:val="07F43A9E"/>
    <w:rsid w:val="07F51244"/>
    <w:rsid w:val="07F7533D"/>
    <w:rsid w:val="07FC2953"/>
    <w:rsid w:val="08053EFD"/>
    <w:rsid w:val="080737D2"/>
    <w:rsid w:val="080812F8"/>
    <w:rsid w:val="0808579C"/>
    <w:rsid w:val="080A371B"/>
    <w:rsid w:val="080A78AC"/>
    <w:rsid w:val="080F2686"/>
    <w:rsid w:val="08114650"/>
    <w:rsid w:val="08120471"/>
    <w:rsid w:val="081303C8"/>
    <w:rsid w:val="08162B07"/>
    <w:rsid w:val="0817778D"/>
    <w:rsid w:val="08183C31"/>
    <w:rsid w:val="081B54CF"/>
    <w:rsid w:val="081C4DA3"/>
    <w:rsid w:val="081D1247"/>
    <w:rsid w:val="08204893"/>
    <w:rsid w:val="08210512"/>
    <w:rsid w:val="0822060B"/>
    <w:rsid w:val="082223BA"/>
    <w:rsid w:val="08224593"/>
    <w:rsid w:val="08236C88"/>
    <w:rsid w:val="08253C58"/>
    <w:rsid w:val="082779D0"/>
    <w:rsid w:val="082A6E89"/>
    <w:rsid w:val="082B6977"/>
    <w:rsid w:val="082D0D5E"/>
    <w:rsid w:val="08316AA1"/>
    <w:rsid w:val="08320D8F"/>
    <w:rsid w:val="083420ED"/>
    <w:rsid w:val="08387E2F"/>
    <w:rsid w:val="08393BA7"/>
    <w:rsid w:val="08397703"/>
    <w:rsid w:val="083B347B"/>
    <w:rsid w:val="08444A26"/>
    <w:rsid w:val="0845254C"/>
    <w:rsid w:val="084560A8"/>
    <w:rsid w:val="0849203C"/>
    <w:rsid w:val="084C5688"/>
    <w:rsid w:val="084D31AF"/>
    <w:rsid w:val="08510EF1"/>
    <w:rsid w:val="08517143"/>
    <w:rsid w:val="0854453D"/>
    <w:rsid w:val="08597DA5"/>
    <w:rsid w:val="085B3B1D"/>
    <w:rsid w:val="085B58CB"/>
    <w:rsid w:val="085E7779"/>
    <w:rsid w:val="08602DD3"/>
    <w:rsid w:val="08602EE2"/>
    <w:rsid w:val="08626C5A"/>
    <w:rsid w:val="08627F12"/>
    <w:rsid w:val="08640C24"/>
    <w:rsid w:val="08687FE8"/>
    <w:rsid w:val="086A3D60"/>
    <w:rsid w:val="086E1AA3"/>
    <w:rsid w:val="086F1377"/>
    <w:rsid w:val="08744BDF"/>
    <w:rsid w:val="08793FA4"/>
    <w:rsid w:val="087B5F6E"/>
    <w:rsid w:val="087D3A94"/>
    <w:rsid w:val="08843074"/>
    <w:rsid w:val="088929EC"/>
    <w:rsid w:val="088B6211"/>
    <w:rsid w:val="088F5575"/>
    <w:rsid w:val="08931509"/>
    <w:rsid w:val="08962DA7"/>
    <w:rsid w:val="08964B56"/>
    <w:rsid w:val="089D7C92"/>
    <w:rsid w:val="089E3A0A"/>
    <w:rsid w:val="089F1C5C"/>
    <w:rsid w:val="08A13C26"/>
    <w:rsid w:val="08A234FA"/>
    <w:rsid w:val="08A52FEB"/>
    <w:rsid w:val="08A76D63"/>
    <w:rsid w:val="08A84E85"/>
    <w:rsid w:val="08A92ADB"/>
    <w:rsid w:val="08AA23AF"/>
    <w:rsid w:val="08AB6853"/>
    <w:rsid w:val="08AD6024"/>
    <w:rsid w:val="08AE286A"/>
    <w:rsid w:val="08AF0BCB"/>
    <w:rsid w:val="08AF79C5"/>
    <w:rsid w:val="08B03E69"/>
    <w:rsid w:val="08BA39DE"/>
    <w:rsid w:val="08BA49DD"/>
    <w:rsid w:val="08BA6A96"/>
    <w:rsid w:val="08BB45BC"/>
    <w:rsid w:val="08BB636A"/>
    <w:rsid w:val="08BC62FE"/>
    <w:rsid w:val="08BF22FE"/>
    <w:rsid w:val="08C416C3"/>
    <w:rsid w:val="08C571E9"/>
    <w:rsid w:val="08C6543B"/>
    <w:rsid w:val="08C77405"/>
    <w:rsid w:val="08C85FE2"/>
    <w:rsid w:val="08C90A87"/>
    <w:rsid w:val="08CC0577"/>
    <w:rsid w:val="08CC4A1B"/>
    <w:rsid w:val="08D51B22"/>
    <w:rsid w:val="08D55A15"/>
    <w:rsid w:val="08D8516E"/>
    <w:rsid w:val="08DA0EE6"/>
    <w:rsid w:val="08E65ADD"/>
    <w:rsid w:val="08E6788B"/>
    <w:rsid w:val="08EB6C4F"/>
    <w:rsid w:val="08EC0C19"/>
    <w:rsid w:val="08EC29C7"/>
    <w:rsid w:val="08EE6DD9"/>
    <w:rsid w:val="08F024B8"/>
    <w:rsid w:val="08F5133F"/>
    <w:rsid w:val="08F5187C"/>
    <w:rsid w:val="08F55D20"/>
    <w:rsid w:val="08F57ACE"/>
    <w:rsid w:val="08FA1588"/>
    <w:rsid w:val="08FB2C0B"/>
    <w:rsid w:val="08FC0E5C"/>
    <w:rsid w:val="08FD6983"/>
    <w:rsid w:val="08FF26FB"/>
    <w:rsid w:val="09000221"/>
    <w:rsid w:val="0902043D"/>
    <w:rsid w:val="09061CDB"/>
    <w:rsid w:val="090C4E18"/>
    <w:rsid w:val="090E6DE2"/>
    <w:rsid w:val="09120680"/>
    <w:rsid w:val="091268D2"/>
    <w:rsid w:val="09137F54"/>
    <w:rsid w:val="091B505B"/>
    <w:rsid w:val="091D0DD3"/>
    <w:rsid w:val="091E569B"/>
    <w:rsid w:val="09212671"/>
    <w:rsid w:val="092217DD"/>
    <w:rsid w:val="092403B3"/>
    <w:rsid w:val="092D370C"/>
    <w:rsid w:val="092D54BA"/>
    <w:rsid w:val="09300B06"/>
    <w:rsid w:val="0935436E"/>
    <w:rsid w:val="093820FC"/>
    <w:rsid w:val="0939688D"/>
    <w:rsid w:val="093A7294"/>
    <w:rsid w:val="093C394F"/>
    <w:rsid w:val="093F343F"/>
    <w:rsid w:val="094445B2"/>
    <w:rsid w:val="0946032A"/>
    <w:rsid w:val="094822F4"/>
    <w:rsid w:val="094B5940"/>
    <w:rsid w:val="094C5B48"/>
    <w:rsid w:val="094E3682"/>
    <w:rsid w:val="095073FA"/>
    <w:rsid w:val="0952109C"/>
    <w:rsid w:val="09554A11"/>
    <w:rsid w:val="09570333"/>
    <w:rsid w:val="09572537"/>
    <w:rsid w:val="09591064"/>
    <w:rsid w:val="095A2027"/>
    <w:rsid w:val="095D5673"/>
    <w:rsid w:val="095E2056"/>
    <w:rsid w:val="095F13EB"/>
    <w:rsid w:val="096168DE"/>
    <w:rsid w:val="09657E30"/>
    <w:rsid w:val="09664528"/>
    <w:rsid w:val="09694018"/>
    <w:rsid w:val="096A1BCE"/>
    <w:rsid w:val="096D3B08"/>
    <w:rsid w:val="096D58B6"/>
    <w:rsid w:val="097053A7"/>
    <w:rsid w:val="09722ECD"/>
    <w:rsid w:val="09727863"/>
    <w:rsid w:val="09736F48"/>
    <w:rsid w:val="097430E9"/>
    <w:rsid w:val="097906FF"/>
    <w:rsid w:val="097A3797"/>
    <w:rsid w:val="097A6225"/>
    <w:rsid w:val="097A67FC"/>
    <w:rsid w:val="09806698"/>
    <w:rsid w:val="098470A4"/>
    <w:rsid w:val="09866978"/>
    <w:rsid w:val="098705F9"/>
    <w:rsid w:val="098826F0"/>
    <w:rsid w:val="098B0432"/>
    <w:rsid w:val="098B3F8E"/>
    <w:rsid w:val="098D7D07"/>
    <w:rsid w:val="098E0239"/>
    <w:rsid w:val="098F1CD1"/>
    <w:rsid w:val="09905A49"/>
    <w:rsid w:val="0992531D"/>
    <w:rsid w:val="09972933"/>
    <w:rsid w:val="09976DD7"/>
    <w:rsid w:val="099866AB"/>
    <w:rsid w:val="09992B4F"/>
    <w:rsid w:val="099C263F"/>
    <w:rsid w:val="09A137B2"/>
    <w:rsid w:val="09A3577C"/>
    <w:rsid w:val="09A43E33"/>
    <w:rsid w:val="09A45050"/>
    <w:rsid w:val="09A514F4"/>
    <w:rsid w:val="09AA02A7"/>
    <w:rsid w:val="09AD03A9"/>
    <w:rsid w:val="09AD4EE5"/>
    <w:rsid w:val="09B5725D"/>
    <w:rsid w:val="09B63701"/>
    <w:rsid w:val="09BE4364"/>
    <w:rsid w:val="09C01ECA"/>
    <w:rsid w:val="09C15C02"/>
    <w:rsid w:val="09C63218"/>
    <w:rsid w:val="09C676BC"/>
    <w:rsid w:val="09C82C33"/>
    <w:rsid w:val="09C851E3"/>
    <w:rsid w:val="09C86F91"/>
    <w:rsid w:val="09CE595E"/>
    <w:rsid w:val="09D45935"/>
    <w:rsid w:val="09D5113E"/>
    <w:rsid w:val="09D771D4"/>
    <w:rsid w:val="09D92F4C"/>
    <w:rsid w:val="09DA6CC4"/>
    <w:rsid w:val="09DC0C8E"/>
    <w:rsid w:val="09DC47EA"/>
    <w:rsid w:val="09DF68E3"/>
    <w:rsid w:val="09E30437"/>
    <w:rsid w:val="09E35B78"/>
    <w:rsid w:val="09E50C48"/>
    <w:rsid w:val="09E57B43"/>
    <w:rsid w:val="09E638BB"/>
    <w:rsid w:val="09E813E1"/>
    <w:rsid w:val="09EA6F07"/>
    <w:rsid w:val="09EB0ED1"/>
    <w:rsid w:val="09F45FD8"/>
    <w:rsid w:val="09F47D86"/>
    <w:rsid w:val="09F558AC"/>
    <w:rsid w:val="09F61D50"/>
    <w:rsid w:val="09F77876"/>
    <w:rsid w:val="09F935EE"/>
    <w:rsid w:val="09F943E0"/>
    <w:rsid w:val="09FA4786"/>
    <w:rsid w:val="09FB1114"/>
    <w:rsid w:val="09FC30DE"/>
    <w:rsid w:val="09FE29B2"/>
    <w:rsid w:val="0A0124A3"/>
    <w:rsid w:val="0A03446D"/>
    <w:rsid w:val="0A073F5D"/>
    <w:rsid w:val="0A075D0B"/>
    <w:rsid w:val="0A081A83"/>
    <w:rsid w:val="0A0B50CF"/>
    <w:rsid w:val="0A0D52EB"/>
    <w:rsid w:val="0A0F3905"/>
    <w:rsid w:val="0A0F696E"/>
    <w:rsid w:val="0A122902"/>
    <w:rsid w:val="0A12645E"/>
    <w:rsid w:val="0A13403D"/>
    <w:rsid w:val="0A157CFC"/>
    <w:rsid w:val="0A1977EC"/>
    <w:rsid w:val="0A1B17B6"/>
    <w:rsid w:val="0A1C108A"/>
    <w:rsid w:val="0A1F0894"/>
    <w:rsid w:val="0A1F3D04"/>
    <w:rsid w:val="0A20501F"/>
    <w:rsid w:val="0A263993"/>
    <w:rsid w:val="0A2D3AC2"/>
    <w:rsid w:val="0A2E2EBC"/>
    <w:rsid w:val="0A2E773B"/>
    <w:rsid w:val="0A360B6D"/>
    <w:rsid w:val="0A374116"/>
    <w:rsid w:val="0A375EC4"/>
    <w:rsid w:val="0A3E36F7"/>
    <w:rsid w:val="0A4030AF"/>
    <w:rsid w:val="0A410AF1"/>
    <w:rsid w:val="0A424F95"/>
    <w:rsid w:val="0A432ABB"/>
    <w:rsid w:val="0A4405EF"/>
    <w:rsid w:val="0A466107"/>
    <w:rsid w:val="0A4C2D93"/>
    <w:rsid w:val="0A4C5E14"/>
    <w:rsid w:val="0A4C7BC2"/>
    <w:rsid w:val="0A4D56E8"/>
    <w:rsid w:val="0A530095"/>
    <w:rsid w:val="0A560A40"/>
    <w:rsid w:val="0A566A16"/>
    <w:rsid w:val="0A590531"/>
    <w:rsid w:val="0A5B1BB3"/>
    <w:rsid w:val="0A5B7E05"/>
    <w:rsid w:val="0A5E16A3"/>
    <w:rsid w:val="0A5E78F5"/>
    <w:rsid w:val="0A604F22"/>
    <w:rsid w:val="0A615F1A"/>
    <w:rsid w:val="0A636CB9"/>
    <w:rsid w:val="0A650C83"/>
    <w:rsid w:val="0A652D14"/>
    <w:rsid w:val="0A665D1E"/>
    <w:rsid w:val="0A670558"/>
    <w:rsid w:val="0A6767AA"/>
    <w:rsid w:val="0A6F1B02"/>
    <w:rsid w:val="0A717628"/>
    <w:rsid w:val="0A726EFC"/>
    <w:rsid w:val="0A781198"/>
    <w:rsid w:val="0A7E1D45"/>
    <w:rsid w:val="0A821835"/>
    <w:rsid w:val="0A8235E3"/>
    <w:rsid w:val="0A8530D4"/>
    <w:rsid w:val="0A892BC4"/>
    <w:rsid w:val="0A927580"/>
    <w:rsid w:val="0A951569"/>
    <w:rsid w:val="0A960E3D"/>
    <w:rsid w:val="0A98139A"/>
    <w:rsid w:val="0A982E07"/>
    <w:rsid w:val="0A9926DB"/>
    <w:rsid w:val="0A9A6B7F"/>
    <w:rsid w:val="0A9B688B"/>
    <w:rsid w:val="0A9F3ACB"/>
    <w:rsid w:val="0AA03A6A"/>
    <w:rsid w:val="0AA7129C"/>
    <w:rsid w:val="0AA755DF"/>
    <w:rsid w:val="0AA95014"/>
    <w:rsid w:val="0AAA2B3A"/>
    <w:rsid w:val="0AAB40F7"/>
    <w:rsid w:val="0AAB6E9A"/>
    <w:rsid w:val="0AAC240E"/>
    <w:rsid w:val="0AAD0691"/>
    <w:rsid w:val="0AAE262A"/>
    <w:rsid w:val="0AAE43D8"/>
    <w:rsid w:val="0AB3379D"/>
    <w:rsid w:val="0AB539B9"/>
    <w:rsid w:val="0AB85257"/>
    <w:rsid w:val="0AC076B1"/>
    <w:rsid w:val="0AC10BB2"/>
    <w:rsid w:val="0AC168AF"/>
    <w:rsid w:val="0AC7549A"/>
    <w:rsid w:val="0AC77248"/>
    <w:rsid w:val="0ACA0AE6"/>
    <w:rsid w:val="0ACB31DC"/>
    <w:rsid w:val="0ACF46B6"/>
    <w:rsid w:val="0AD171E1"/>
    <w:rsid w:val="0AD32091"/>
    <w:rsid w:val="0AD61B81"/>
    <w:rsid w:val="0AD6392F"/>
    <w:rsid w:val="0AD876A7"/>
    <w:rsid w:val="0ADB25DD"/>
    <w:rsid w:val="0ADD081A"/>
    <w:rsid w:val="0ADD625D"/>
    <w:rsid w:val="0ADD6A6C"/>
    <w:rsid w:val="0AE0387E"/>
    <w:rsid w:val="0AE72A95"/>
    <w:rsid w:val="0AE93662"/>
    <w:rsid w:val="0AEE2A27"/>
    <w:rsid w:val="0AEE303F"/>
    <w:rsid w:val="0AF0679F"/>
    <w:rsid w:val="0AF50259"/>
    <w:rsid w:val="0AF65D7F"/>
    <w:rsid w:val="0AF838A6"/>
    <w:rsid w:val="0AFD0EBC"/>
    <w:rsid w:val="0AFD710E"/>
    <w:rsid w:val="0AFF2E86"/>
    <w:rsid w:val="0B0009AC"/>
    <w:rsid w:val="0B016BFE"/>
    <w:rsid w:val="0B024724"/>
    <w:rsid w:val="0B0264D2"/>
    <w:rsid w:val="0B071D3B"/>
    <w:rsid w:val="0B072C11"/>
    <w:rsid w:val="0B09160F"/>
    <w:rsid w:val="0B095AB3"/>
    <w:rsid w:val="0B0C55A3"/>
    <w:rsid w:val="0B0E131B"/>
    <w:rsid w:val="0B0F299D"/>
    <w:rsid w:val="0B120D44"/>
    <w:rsid w:val="0B1526A9"/>
    <w:rsid w:val="0B16477F"/>
    <w:rsid w:val="0B183F48"/>
    <w:rsid w:val="0B1A1A6E"/>
    <w:rsid w:val="0B1C57E6"/>
    <w:rsid w:val="0B1D7A4B"/>
    <w:rsid w:val="0B1F7F3E"/>
    <w:rsid w:val="0B21104E"/>
    <w:rsid w:val="0B212BCE"/>
    <w:rsid w:val="0B212DFC"/>
    <w:rsid w:val="0B21451D"/>
    <w:rsid w:val="0B220922"/>
    <w:rsid w:val="0B224DC6"/>
    <w:rsid w:val="0B24469B"/>
    <w:rsid w:val="0B252B64"/>
    <w:rsid w:val="0B2621C1"/>
    <w:rsid w:val="0B2823DD"/>
    <w:rsid w:val="0B297F03"/>
    <w:rsid w:val="0B2B3C7B"/>
    <w:rsid w:val="0B2B6D61"/>
    <w:rsid w:val="0B2D62C5"/>
    <w:rsid w:val="0B2D79F3"/>
    <w:rsid w:val="0B2E1EE3"/>
    <w:rsid w:val="0B2F5EE6"/>
    <w:rsid w:val="0B335CF7"/>
    <w:rsid w:val="0B36617C"/>
    <w:rsid w:val="0B381EF4"/>
    <w:rsid w:val="0B3A2110"/>
    <w:rsid w:val="0B3A3EBE"/>
    <w:rsid w:val="0B3B3792"/>
    <w:rsid w:val="0B41349E"/>
    <w:rsid w:val="0B445C59"/>
    <w:rsid w:val="0B464611"/>
    <w:rsid w:val="0B492353"/>
    <w:rsid w:val="0B505490"/>
    <w:rsid w:val="0B50723E"/>
    <w:rsid w:val="0B51127F"/>
    <w:rsid w:val="0B512FB6"/>
    <w:rsid w:val="0B582596"/>
    <w:rsid w:val="0B5A379F"/>
    <w:rsid w:val="0B5C3E34"/>
    <w:rsid w:val="0B5E3A24"/>
    <w:rsid w:val="0B5E5DFE"/>
    <w:rsid w:val="0B63493C"/>
    <w:rsid w:val="0B64718D"/>
    <w:rsid w:val="0B6B22C9"/>
    <w:rsid w:val="0B6C77CA"/>
    <w:rsid w:val="0B723658"/>
    <w:rsid w:val="0B73117E"/>
    <w:rsid w:val="0B752DD1"/>
    <w:rsid w:val="0B752F96"/>
    <w:rsid w:val="0B753148"/>
    <w:rsid w:val="0B754EF6"/>
    <w:rsid w:val="0B7A42BB"/>
    <w:rsid w:val="0B7C6285"/>
    <w:rsid w:val="0B7D3DAB"/>
    <w:rsid w:val="0B7F3FC7"/>
    <w:rsid w:val="0B815649"/>
    <w:rsid w:val="0B835347"/>
    <w:rsid w:val="0B84338B"/>
    <w:rsid w:val="0B8A73FF"/>
    <w:rsid w:val="0B8B471A"/>
    <w:rsid w:val="0B8D7114"/>
    <w:rsid w:val="0B8E420A"/>
    <w:rsid w:val="0B8E5FB8"/>
    <w:rsid w:val="0B907F82"/>
    <w:rsid w:val="0B920E35"/>
    <w:rsid w:val="0B957346"/>
    <w:rsid w:val="0B973201"/>
    <w:rsid w:val="0B9A2BAF"/>
    <w:rsid w:val="0B9C06D5"/>
    <w:rsid w:val="0B9D4CB5"/>
    <w:rsid w:val="0B9E269F"/>
    <w:rsid w:val="0B9F6417"/>
    <w:rsid w:val="0BA37CB5"/>
    <w:rsid w:val="0BA56877"/>
    <w:rsid w:val="0BA852CC"/>
    <w:rsid w:val="0BAB6B6A"/>
    <w:rsid w:val="0BB04180"/>
    <w:rsid w:val="0BB21CA6"/>
    <w:rsid w:val="0BB53545"/>
    <w:rsid w:val="0BB974D9"/>
    <w:rsid w:val="0BBA0B5B"/>
    <w:rsid w:val="0BBA4FFF"/>
    <w:rsid w:val="0BBA591E"/>
    <w:rsid w:val="0BBC0D77"/>
    <w:rsid w:val="0BBE064B"/>
    <w:rsid w:val="0BBE689D"/>
    <w:rsid w:val="0BC47C2C"/>
    <w:rsid w:val="0BC96FF0"/>
    <w:rsid w:val="0BCB0FBA"/>
    <w:rsid w:val="0BCB2D68"/>
    <w:rsid w:val="0BCD088E"/>
    <w:rsid w:val="0BCE4606"/>
    <w:rsid w:val="0BD14F70"/>
    <w:rsid w:val="0BD22349"/>
    <w:rsid w:val="0BD25035"/>
    <w:rsid w:val="0BD27BF6"/>
    <w:rsid w:val="0BD51E39"/>
    <w:rsid w:val="0BD674D3"/>
    <w:rsid w:val="0BD7795F"/>
    <w:rsid w:val="0BD80EA7"/>
    <w:rsid w:val="0BD936D7"/>
    <w:rsid w:val="0BDC70EB"/>
    <w:rsid w:val="0BDE0CED"/>
    <w:rsid w:val="0BDE6F3F"/>
    <w:rsid w:val="0BDF1D07"/>
    <w:rsid w:val="0BDF6167"/>
    <w:rsid w:val="0BE04A65"/>
    <w:rsid w:val="0BE1433A"/>
    <w:rsid w:val="0BE61950"/>
    <w:rsid w:val="0BE65DF4"/>
    <w:rsid w:val="0BEA58E4"/>
    <w:rsid w:val="0BED0F30"/>
    <w:rsid w:val="0BEF4CA9"/>
    <w:rsid w:val="0BF11A4E"/>
    <w:rsid w:val="0BF16C73"/>
    <w:rsid w:val="0BF24799"/>
    <w:rsid w:val="0BF7590B"/>
    <w:rsid w:val="0BF978D5"/>
    <w:rsid w:val="0BFA364D"/>
    <w:rsid w:val="0BFB6C8E"/>
    <w:rsid w:val="0BFC56D1"/>
    <w:rsid w:val="0C012C2E"/>
    <w:rsid w:val="0C0149DC"/>
    <w:rsid w:val="0C030754"/>
    <w:rsid w:val="0C0355A4"/>
    <w:rsid w:val="0C0544CC"/>
    <w:rsid w:val="0C05627A"/>
    <w:rsid w:val="0C0F70F9"/>
    <w:rsid w:val="0C1110C3"/>
    <w:rsid w:val="0C120997"/>
    <w:rsid w:val="0C122745"/>
    <w:rsid w:val="0C134260"/>
    <w:rsid w:val="0C1464BD"/>
    <w:rsid w:val="0C152235"/>
    <w:rsid w:val="0C1C1816"/>
    <w:rsid w:val="0C234952"/>
    <w:rsid w:val="0C2661F0"/>
    <w:rsid w:val="0C2A7A8F"/>
    <w:rsid w:val="0C2D3A23"/>
    <w:rsid w:val="0C304DB8"/>
    <w:rsid w:val="0C34090D"/>
    <w:rsid w:val="0C3628D7"/>
    <w:rsid w:val="0C383A1B"/>
    <w:rsid w:val="0C3B3C7D"/>
    <w:rsid w:val="0C3C77C2"/>
    <w:rsid w:val="0C3E178C"/>
    <w:rsid w:val="0C405504"/>
    <w:rsid w:val="0C430B50"/>
    <w:rsid w:val="0C434FF4"/>
    <w:rsid w:val="0C443EC7"/>
    <w:rsid w:val="0C460641"/>
    <w:rsid w:val="0C48260B"/>
    <w:rsid w:val="0C4A0131"/>
    <w:rsid w:val="0C4A1EDF"/>
    <w:rsid w:val="0C4B673B"/>
    <w:rsid w:val="0C4D5E73"/>
    <w:rsid w:val="0C4F74F5"/>
    <w:rsid w:val="0C5059D0"/>
    <w:rsid w:val="0C540FAF"/>
    <w:rsid w:val="0C542D5E"/>
    <w:rsid w:val="0C58208C"/>
    <w:rsid w:val="0C5A60ED"/>
    <w:rsid w:val="0C5A7452"/>
    <w:rsid w:val="0C5B0590"/>
    <w:rsid w:val="0C6236CC"/>
    <w:rsid w:val="0C637445"/>
    <w:rsid w:val="0C656D19"/>
    <w:rsid w:val="0C665913"/>
    <w:rsid w:val="0C673F81"/>
    <w:rsid w:val="0C6805B7"/>
    <w:rsid w:val="0C68338A"/>
    <w:rsid w:val="0C6A568B"/>
    <w:rsid w:val="0C6B7072"/>
    <w:rsid w:val="0C6C62F9"/>
    <w:rsid w:val="0C700C3A"/>
    <w:rsid w:val="0C781B61"/>
    <w:rsid w:val="0C803B53"/>
    <w:rsid w:val="0C811298"/>
    <w:rsid w:val="0C8353F1"/>
    <w:rsid w:val="0C8C0749"/>
    <w:rsid w:val="0C8C63AB"/>
    <w:rsid w:val="0C8F1FE8"/>
    <w:rsid w:val="0C9E047D"/>
    <w:rsid w:val="0CA152FE"/>
    <w:rsid w:val="0CA27F6D"/>
    <w:rsid w:val="0CA37841"/>
    <w:rsid w:val="0CA6624D"/>
    <w:rsid w:val="0CA710DF"/>
    <w:rsid w:val="0CAB2EAE"/>
    <w:rsid w:val="0CAC2B9A"/>
    <w:rsid w:val="0CAF4315"/>
    <w:rsid w:val="0CB101B0"/>
    <w:rsid w:val="0CB61F51"/>
    <w:rsid w:val="0CB8153E"/>
    <w:rsid w:val="0CB832EC"/>
    <w:rsid w:val="0CB877EC"/>
    <w:rsid w:val="0CB90E13"/>
    <w:rsid w:val="0CBB2DDD"/>
    <w:rsid w:val="0CC0267A"/>
    <w:rsid w:val="0CC31C91"/>
    <w:rsid w:val="0CC450AB"/>
    <w:rsid w:val="0CC51EAD"/>
    <w:rsid w:val="0CC6110C"/>
    <w:rsid w:val="0CCB6973"/>
    <w:rsid w:val="0CCD3B33"/>
    <w:rsid w:val="0CCE019F"/>
    <w:rsid w:val="0CD04679"/>
    <w:rsid w:val="0CD12600"/>
    <w:rsid w:val="0CD914B5"/>
    <w:rsid w:val="0CDE5118"/>
    <w:rsid w:val="0CE045F1"/>
    <w:rsid w:val="0CE73BD2"/>
    <w:rsid w:val="0CE75980"/>
    <w:rsid w:val="0CE95B9C"/>
    <w:rsid w:val="0CEA5470"/>
    <w:rsid w:val="0CF307C8"/>
    <w:rsid w:val="0CF3634C"/>
    <w:rsid w:val="0CF4009D"/>
    <w:rsid w:val="0CF85DDF"/>
    <w:rsid w:val="0CF87B8D"/>
    <w:rsid w:val="0CF92BF4"/>
    <w:rsid w:val="0CFE7F60"/>
    <w:rsid w:val="0D046532"/>
    <w:rsid w:val="0D0504FC"/>
    <w:rsid w:val="0D075AA7"/>
    <w:rsid w:val="0D077DD0"/>
    <w:rsid w:val="0D097FEC"/>
    <w:rsid w:val="0D0C188A"/>
    <w:rsid w:val="0D0C6C6B"/>
    <w:rsid w:val="0D0E115E"/>
    <w:rsid w:val="0D0E5602"/>
    <w:rsid w:val="0D0E73B0"/>
    <w:rsid w:val="0D10137A"/>
    <w:rsid w:val="0D103128"/>
    <w:rsid w:val="0D110C4F"/>
    <w:rsid w:val="0D116EA1"/>
    <w:rsid w:val="0D126C80"/>
    <w:rsid w:val="0D1534C3"/>
    <w:rsid w:val="0D1644B7"/>
    <w:rsid w:val="0D166366"/>
    <w:rsid w:val="0D176F04"/>
    <w:rsid w:val="0D197B03"/>
    <w:rsid w:val="0D1D5845"/>
    <w:rsid w:val="0D200E92"/>
    <w:rsid w:val="0D2210AE"/>
    <w:rsid w:val="0D222E5C"/>
    <w:rsid w:val="0D240982"/>
    <w:rsid w:val="0D292DC9"/>
    <w:rsid w:val="0D2C3CDA"/>
    <w:rsid w:val="0D2E35AF"/>
    <w:rsid w:val="0D305579"/>
    <w:rsid w:val="0D314E4D"/>
    <w:rsid w:val="0D38267F"/>
    <w:rsid w:val="0D3A117D"/>
    <w:rsid w:val="0D3D1A44"/>
    <w:rsid w:val="0D3F57BC"/>
    <w:rsid w:val="0D490E16"/>
    <w:rsid w:val="0D49488C"/>
    <w:rsid w:val="0D4A5F0F"/>
    <w:rsid w:val="0D4B23B2"/>
    <w:rsid w:val="0D4B4161"/>
    <w:rsid w:val="0D4C225E"/>
    <w:rsid w:val="0D4E1EA3"/>
    <w:rsid w:val="0D4E59FF"/>
    <w:rsid w:val="0D505C1B"/>
    <w:rsid w:val="0D5154EF"/>
    <w:rsid w:val="0D533015"/>
    <w:rsid w:val="0D554FDF"/>
    <w:rsid w:val="0D5A25F6"/>
    <w:rsid w:val="0D5D3E94"/>
    <w:rsid w:val="0D616980"/>
    <w:rsid w:val="0D621C7D"/>
    <w:rsid w:val="0D63594E"/>
    <w:rsid w:val="0D662D48"/>
    <w:rsid w:val="0D6671EC"/>
    <w:rsid w:val="0D676AC1"/>
    <w:rsid w:val="0D681B8E"/>
    <w:rsid w:val="0D696CDD"/>
    <w:rsid w:val="0D6E42F3"/>
    <w:rsid w:val="0D71793F"/>
    <w:rsid w:val="0D721683"/>
    <w:rsid w:val="0D73130E"/>
    <w:rsid w:val="0D7511DD"/>
    <w:rsid w:val="0D783CF0"/>
    <w:rsid w:val="0D7A12B9"/>
    <w:rsid w:val="0D7A4A46"/>
    <w:rsid w:val="0D7A6610"/>
    <w:rsid w:val="0D7C07BE"/>
    <w:rsid w:val="0D7F0FF2"/>
    <w:rsid w:val="0D821B4C"/>
    <w:rsid w:val="0D86163D"/>
    <w:rsid w:val="0D870F11"/>
    <w:rsid w:val="0D8962D5"/>
    <w:rsid w:val="0D8A1F3D"/>
    <w:rsid w:val="0D8E04F1"/>
    <w:rsid w:val="0D8F1F77"/>
    <w:rsid w:val="0D900286"/>
    <w:rsid w:val="0D92714F"/>
    <w:rsid w:val="0D95362E"/>
    <w:rsid w:val="0D975F08"/>
    <w:rsid w:val="0D976274"/>
    <w:rsid w:val="0D9A6E96"/>
    <w:rsid w:val="0D9C32E2"/>
    <w:rsid w:val="0D9E6986"/>
    <w:rsid w:val="0DA25D4B"/>
    <w:rsid w:val="0DA47D15"/>
    <w:rsid w:val="0DA601C5"/>
    <w:rsid w:val="0DA87805"/>
    <w:rsid w:val="0DAD4E1B"/>
    <w:rsid w:val="0DAE649D"/>
    <w:rsid w:val="0DAF0B93"/>
    <w:rsid w:val="0DB02216"/>
    <w:rsid w:val="0DB37F58"/>
    <w:rsid w:val="0DB8731C"/>
    <w:rsid w:val="0DB937C0"/>
    <w:rsid w:val="0DBE2B84"/>
    <w:rsid w:val="0DC43F13"/>
    <w:rsid w:val="0DC61A39"/>
    <w:rsid w:val="0DC7755F"/>
    <w:rsid w:val="0DC83A03"/>
    <w:rsid w:val="0DC857B1"/>
    <w:rsid w:val="0DC932D7"/>
    <w:rsid w:val="0DCD365A"/>
    <w:rsid w:val="0DCD3AB1"/>
    <w:rsid w:val="0DCF4D92"/>
    <w:rsid w:val="0DD06AB7"/>
    <w:rsid w:val="0DD73C46"/>
    <w:rsid w:val="0DDA54E4"/>
    <w:rsid w:val="0DDE3227"/>
    <w:rsid w:val="0DDE4FD5"/>
    <w:rsid w:val="0DE1181F"/>
    <w:rsid w:val="0DE27B9E"/>
    <w:rsid w:val="0DE325EB"/>
    <w:rsid w:val="0DE545B5"/>
    <w:rsid w:val="0DE620DB"/>
    <w:rsid w:val="0DE93979"/>
    <w:rsid w:val="0DE95727"/>
    <w:rsid w:val="0DEA0FA8"/>
    <w:rsid w:val="0DEB14A0"/>
    <w:rsid w:val="0DED5218"/>
    <w:rsid w:val="0DEE2D3E"/>
    <w:rsid w:val="0DF06AB6"/>
    <w:rsid w:val="0DF212B6"/>
    <w:rsid w:val="0DF2282E"/>
    <w:rsid w:val="0DF26CD2"/>
    <w:rsid w:val="0DF513F2"/>
    <w:rsid w:val="0DF77E44"/>
    <w:rsid w:val="0DFA16E3"/>
    <w:rsid w:val="0DFA7935"/>
    <w:rsid w:val="0DFC4600"/>
    <w:rsid w:val="0E0013EF"/>
    <w:rsid w:val="0E012A71"/>
    <w:rsid w:val="0E016F15"/>
    <w:rsid w:val="0E0367E9"/>
    <w:rsid w:val="0E0407B3"/>
    <w:rsid w:val="0E07338C"/>
    <w:rsid w:val="0E0802A4"/>
    <w:rsid w:val="0E0B1044"/>
    <w:rsid w:val="0E0B4A8C"/>
    <w:rsid w:val="0E0B7D94"/>
    <w:rsid w:val="0E0D58BA"/>
    <w:rsid w:val="0E107158"/>
    <w:rsid w:val="0E1327A4"/>
    <w:rsid w:val="0E1409F6"/>
    <w:rsid w:val="0E19425F"/>
    <w:rsid w:val="0E197DBB"/>
    <w:rsid w:val="0E1F1149"/>
    <w:rsid w:val="0E3015A8"/>
    <w:rsid w:val="0E303356"/>
    <w:rsid w:val="0E3177FA"/>
    <w:rsid w:val="0E327C36"/>
    <w:rsid w:val="0E3476F2"/>
    <w:rsid w:val="0E3D5069"/>
    <w:rsid w:val="0E3E3CC5"/>
    <w:rsid w:val="0E3E731D"/>
    <w:rsid w:val="0E3E79DA"/>
    <w:rsid w:val="0E4137B5"/>
    <w:rsid w:val="0E477FDC"/>
    <w:rsid w:val="0E4A266A"/>
    <w:rsid w:val="0E4D3F08"/>
    <w:rsid w:val="0E4E34C9"/>
    <w:rsid w:val="0E4F089F"/>
    <w:rsid w:val="0E501D2F"/>
    <w:rsid w:val="0E56100F"/>
    <w:rsid w:val="0E5B4877"/>
    <w:rsid w:val="0E5C05EF"/>
    <w:rsid w:val="0E5D1762"/>
    <w:rsid w:val="0E6059EA"/>
    <w:rsid w:val="0E63372C"/>
    <w:rsid w:val="0E6354DA"/>
    <w:rsid w:val="0E67321C"/>
    <w:rsid w:val="0E680D42"/>
    <w:rsid w:val="0E686F94"/>
    <w:rsid w:val="0E6A7911"/>
    <w:rsid w:val="0E6B42CA"/>
    <w:rsid w:val="0E6D6359"/>
    <w:rsid w:val="0E6E3B77"/>
    <w:rsid w:val="0E6F0323"/>
    <w:rsid w:val="0E6F3E7F"/>
    <w:rsid w:val="0E7019A5"/>
    <w:rsid w:val="0E703FC4"/>
    <w:rsid w:val="0E715E49"/>
    <w:rsid w:val="0E72396F"/>
    <w:rsid w:val="0E73034D"/>
    <w:rsid w:val="0E745939"/>
    <w:rsid w:val="0E7B6CC7"/>
    <w:rsid w:val="0E8042DE"/>
    <w:rsid w:val="0E821C25"/>
    <w:rsid w:val="0E83792A"/>
    <w:rsid w:val="0E8611C8"/>
    <w:rsid w:val="0E883192"/>
    <w:rsid w:val="0E8A0CB9"/>
    <w:rsid w:val="0E8A2A67"/>
    <w:rsid w:val="0E8C4A31"/>
    <w:rsid w:val="0E8D066C"/>
    <w:rsid w:val="0E9071C2"/>
    <w:rsid w:val="0E941B37"/>
    <w:rsid w:val="0E955A95"/>
    <w:rsid w:val="0E963B01"/>
    <w:rsid w:val="0E9B1118"/>
    <w:rsid w:val="0E9B63F6"/>
    <w:rsid w:val="0E9E6512"/>
    <w:rsid w:val="0EA224A6"/>
    <w:rsid w:val="0EA578A0"/>
    <w:rsid w:val="0EA7186A"/>
    <w:rsid w:val="0EA93835"/>
    <w:rsid w:val="0EAA7549"/>
    <w:rsid w:val="0EAD49A7"/>
    <w:rsid w:val="0EAD731F"/>
    <w:rsid w:val="0EAF071F"/>
    <w:rsid w:val="0EB4355C"/>
    <w:rsid w:val="0EB616AF"/>
    <w:rsid w:val="0EB61AAE"/>
    <w:rsid w:val="0EB83A78"/>
    <w:rsid w:val="0EBB474D"/>
    <w:rsid w:val="0EBB70C4"/>
    <w:rsid w:val="0EBD2E3C"/>
    <w:rsid w:val="0EBE4E06"/>
    <w:rsid w:val="0EBF04CD"/>
    <w:rsid w:val="0EC0292C"/>
    <w:rsid w:val="0EC046DA"/>
    <w:rsid w:val="0EC04B60"/>
    <w:rsid w:val="0EC1763F"/>
    <w:rsid w:val="0EC248F6"/>
    <w:rsid w:val="0EC32D44"/>
    <w:rsid w:val="0EC73CBB"/>
    <w:rsid w:val="0ECC12D1"/>
    <w:rsid w:val="0ECC7523"/>
    <w:rsid w:val="0ED14B39"/>
    <w:rsid w:val="0ED168E7"/>
    <w:rsid w:val="0ED2440E"/>
    <w:rsid w:val="0ED308B1"/>
    <w:rsid w:val="0ED71034"/>
    <w:rsid w:val="0ED9579C"/>
    <w:rsid w:val="0EDA02D8"/>
    <w:rsid w:val="0EDB7766"/>
    <w:rsid w:val="0EDE2DB2"/>
    <w:rsid w:val="0EE26D46"/>
    <w:rsid w:val="0EEC3F08"/>
    <w:rsid w:val="0EEE740C"/>
    <w:rsid w:val="0EEF6D6E"/>
    <w:rsid w:val="0EF44384"/>
    <w:rsid w:val="0EF45E39"/>
    <w:rsid w:val="0EF67916"/>
    <w:rsid w:val="0EF97BEC"/>
    <w:rsid w:val="0EFB1BB6"/>
    <w:rsid w:val="0EFE6317"/>
    <w:rsid w:val="0EFF0B63"/>
    <w:rsid w:val="0F02192F"/>
    <w:rsid w:val="0F0526A1"/>
    <w:rsid w:val="0F052A35"/>
    <w:rsid w:val="0F087E2F"/>
    <w:rsid w:val="0F0C2D0E"/>
    <w:rsid w:val="0F0E7B3C"/>
    <w:rsid w:val="0F0F0CC3"/>
    <w:rsid w:val="0F0F11BE"/>
    <w:rsid w:val="0F1113DA"/>
    <w:rsid w:val="0F13775A"/>
    <w:rsid w:val="0F1516A3"/>
    <w:rsid w:val="0F152C78"/>
    <w:rsid w:val="0F16079E"/>
    <w:rsid w:val="0F1669F0"/>
    <w:rsid w:val="0F19203C"/>
    <w:rsid w:val="0F1C1228"/>
    <w:rsid w:val="0F1E7653"/>
    <w:rsid w:val="0F1F3AF7"/>
    <w:rsid w:val="0F216FC8"/>
    <w:rsid w:val="0F225B97"/>
    <w:rsid w:val="0F234C69"/>
    <w:rsid w:val="0F2478E6"/>
    <w:rsid w:val="0F263D0E"/>
    <w:rsid w:val="0F274759"/>
    <w:rsid w:val="0F2A424A"/>
    <w:rsid w:val="0F2A5FF8"/>
    <w:rsid w:val="0F2C1D70"/>
    <w:rsid w:val="0F2E5AE8"/>
    <w:rsid w:val="0F2E7896"/>
    <w:rsid w:val="0F3330FE"/>
    <w:rsid w:val="0F346E76"/>
    <w:rsid w:val="0F36499C"/>
    <w:rsid w:val="0F403A6D"/>
    <w:rsid w:val="0F40581B"/>
    <w:rsid w:val="0F470958"/>
    <w:rsid w:val="0F4C05FA"/>
    <w:rsid w:val="0F4E1CE6"/>
    <w:rsid w:val="0F515C7A"/>
    <w:rsid w:val="0F527801"/>
    <w:rsid w:val="0F5372FC"/>
    <w:rsid w:val="0F563291"/>
    <w:rsid w:val="0F5764BE"/>
    <w:rsid w:val="0F59068B"/>
    <w:rsid w:val="0F5A5BA1"/>
    <w:rsid w:val="0F5A68DD"/>
    <w:rsid w:val="0F5F45FE"/>
    <w:rsid w:val="0F657030"/>
    <w:rsid w:val="0F670FFA"/>
    <w:rsid w:val="0F694D72"/>
    <w:rsid w:val="0F6A48A4"/>
    <w:rsid w:val="0F6B2258"/>
    <w:rsid w:val="0F6C4862"/>
    <w:rsid w:val="0F6C6610"/>
    <w:rsid w:val="0F6D69BB"/>
    <w:rsid w:val="0F6E2388"/>
    <w:rsid w:val="0F707EAE"/>
    <w:rsid w:val="0F7337A5"/>
    <w:rsid w:val="0F751969"/>
    <w:rsid w:val="0F786D63"/>
    <w:rsid w:val="0F7A6F7F"/>
    <w:rsid w:val="0F7F6343"/>
    <w:rsid w:val="0F803E6A"/>
    <w:rsid w:val="0F841B59"/>
    <w:rsid w:val="0F852E02"/>
    <w:rsid w:val="0F8751F8"/>
    <w:rsid w:val="0F882BE7"/>
    <w:rsid w:val="0F8B4CE8"/>
    <w:rsid w:val="0F906C15"/>
    <w:rsid w:val="0F912498"/>
    <w:rsid w:val="0F916077"/>
    <w:rsid w:val="0F930041"/>
    <w:rsid w:val="0F95746B"/>
    <w:rsid w:val="0F96368D"/>
    <w:rsid w:val="0F987405"/>
    <w:rsid w:val="0F9A112B"/>
    <w:rsid w:val="0F9C1270"/>
    <w:rsid w:val="0F9E229F"/>
    <w:rsid w:val="0F9F69E6"/>
    <w:rsid w:val="0FA26822"/>
    <w:rsid w:val="0FA5376C"/>
    <w:rsid w:val="0FA7589A"/>
    <w:rsid w:val="0FA97864"/>
    <w:rsid w:val="0FAD3935"/>
    <w:rsid w:val="0FAE4E7B"/>
    <w:rsid w:val="0FB104C7"/>
    <w:rsid w:val="0FB26719"/>
    <w:rsid w:val="0FB3423F"/>
    <w:rsid w:val="0FB51D65"/>
    <w:rsid w:val="0FB71F81"/>
    <w:rsid w:val="0FBC1346"/>
    <w:rsid w:val="0FBD0C1A"/>
    <w:rsid w:val="0FC1559D"/>
    <w:rsid w:val="0FC24482"/>
    <w:rsid w:val="0FC87CEA"/>
    <w:rsid w:val="0FCB77DB"/>
    <w:rsid w:val="0FCF7859"/>
    <w:rsid w:val="0FD03043"/>
    <w:rsid w:val="0FD04DF1"/>
    <w:rsid w:val="0FD12D30"/>
    <w:rsid w:val="0FD20B69"/>
    <w:rsid w:val="0FD3043D"/>
    <w:rsid w:val="0FD3668F"/>
    <w:rsid w:val="0FD46AE0"/>
    <w:rsid w:val="0FD4748F"/>
    <w:rsid w:val="0FD52407"/>
    <w:rsid w:val="0FD85A54"/>
    <w:rsid w:val="0FDA17CC"/>
    <w:rsid w:val="0FDA4158"/>
    <w:rsid w:val="0FDC19E8"/>
    <w:rsid w:val="0FDD12BC"/>
    <w:rsid w:val="0FDE750E"/>
    <w:rsid w:val="0FE05083"/>
    <w:rsid w:val="0FE10DAC"/>
    <w:rsid w:val="0FE20680"/>
    <w:rsid w:val="0FE268D2"/>
    <w:rsid w:val="0FE34B24"/>
    <w:rsid w:val="0FE4264A"/>
    <w:rsid w:val="0FE62385"/>
    <w:rsid w:val="0FE91A0F"/>
    <w:rsid w:val="0FE97C61"/>
    <w:rsid w:val="0FEA05A8"/>
    <w:rsid w:val="0FEE5EBF"/>
    <w:rsid w:val="0FF3288D"/>
    <w:rsid w:val="0FF85EDB"/>
    <w:rsid w:val="0FF94348"/>
    <w:rsid w:val="0FF9631D"/>
    <w:rsid w:val="0FFC7994"/>
    <w:rsid w:val="0FFD54BA"/>
    <w:rsid w:val="0FFF0604"/>
    <w:rsid w:val="0FFF1232"/>
    <w:rsid w:val="10014FAA"/>
    <w:rsid w:val="10042CED"/>
    <w:rsid w:val="10046849"/>
    <w:rsid w:val="1004704F"/>
    <w:rsid w:val="100B7BD7"/>
    <w:rsid w:val="100D394F"/>
    <w:rsid w:val="100D7DF3"/>
    <w:rsid w:val="10120F66"/>
    <w:rsid w:val="101271B8"/>
    <w:rsid w:val="101649EC"/>
    <w:rsid w:val="1017657C"/>
    <w:rsid w:val="10190546"/>
    <w:rsid w:val="101A42BE"/>
    <w:rsid w:val="101A66A4"/>
    <w:rsid w:val="101F18D4"/>
    <w:rsid w:val="10207B26"/>
    <w:rsid w:val="102313C5"/>
    <w:rsid w:val="10284619"/>
    <w:rsid w:val="103274FC"/>
    <w:rsid w:val="1033098C"/>
    <w:rsid w:val="1034260A"/>
    <w:rsid w:val="10345380"/>
    <w:rsid w:val="1034712E"/>
    <w:rsid w:val="10352FA6"/>
    <w:rsid w:val="10354C54"/>
    <w:rsid w:val="10374E70"/>
    <w:rsid w:val="10376C1E"/>
    <w:rsid w:val="104430E9"/>
    <w:rsid w:val="104650B3"/>
    <w:rsid w:val="10480E2B"/>
    <w:rsid w:val="104F21BA"/>
    <w:rsid w:val="10505F32"/>
    <w:rsid w:val="10507CE0"/>
    <w:rsid w:val="105477D0"/>
    <w:rsid w:val="10572E1C"/>
    <w:rsid w:val="106D0892"/>
    <w:rsid w:val="106D2F64"/>
    <w:rsid w:val="10703EDE"/>
    <w:rsid w:val="10757746"/>
    <w:rsid w:val="10765998"/>
    <w:rsid w:val="107734BE"/>
    <w:rsid w:val="10795489"/>
    <w:rsid w:val="10797237"/>
    <w:rsid w:val="107A6B0B"/>
    <w:rsid w:val="107B2FAF"/>
    <w:rsid w:val="107B31E4"/>
    <w:rsid w:val="107E2A9F"/>
    <w:rsid w:val="107E2F66"/>
    <w:rsid w:val="10806817"/>
    <w:rsid w:val="10822D43"/>
    <w:rsid w:val="108300B5"/>
    <w:rsid w:val="108856CC"/>
    <w:rsid w:val="108A1444"/>
    <w:rsid w:val="108A31F2"/>
    <w:rsid w:val="108B5536"/>
    <w:rsid w:val="108E2F51"/>
    <w:rsid w:val="108F0808"/>
    <w:rsid w:val="10961B97"/>
    <w:rsid w:val="109C2F25"/>
    <w:rsid w:val="10A122E9"/>
    <w:rsid w:val="10A50CDB"/>
    <w:rsid w:val="10A5706B"/>
    <w:rsid w:val="10A62093"/>
    <w:rsid w:val="10A65B52"/>
    <w:rsid w:val="10AF18A9"/>
    <w:rsid w:val="10B4201D"/>
    <w:rsid w:val="10B62239"/>
    <w:rsid w:val="10B63710"/>
    <w:rsid w:val="10B63FE7"/>
    <w:rsid w:val="10B71B0D"/>
    <w:rsid w:val="10BB33AB"/>
    <w:rsid w:val="10BD35C7"/>
    <w:rsid w:val="10BE10ED"/>
    <w:rsid w:val="10C34956"/>
    <w:rsid w:val="10C761F4"/>
    <w:rsid w:val="10C77FA2"/>
    <w:rsid w:val="10C81F6C"/>
    <w:rsid w:val="10C83D1A"/>
    <w:rsid w:val="10CD30DE"/>
    <w:rsid w:val="10CD6A2A"/>
    <w:rsid w:val="10CE1BB2"/>
    <w:rsid w:val="10CF32FA"/>
    <w:rsid w:val="10CF50A9"/>
    <w:rsid w:val="10D428D6"/>
    <w:rsid w:val="10D6121D"/>
    <w:rsid w:val="10DC1574"/>
    <w:rsid w:val="10DD46B8"/>
    <w:rsid w:val="10DD77C5"/>
    <w:rsid w:val="10E30B54"/>
    <w:rsid w:val="10E548CC"/>
    <w:rsid w:val="10E87F18"/>
    <w:rsid w:val="10EA0134"/>
    <w:rsid w:val="10EB7CBC"/>
    <w:rsid w:val="10ED3781"/>
    <w:rsid w:val="10EE19D3"/>
    <w:rsid w:val="10EE1DD4"/>
    <w:rsid w:val="10EF12A7"/>
    <w:rsid w:val="10F10820"/>
    <w:rsid w:val="10F2082F"/>
    <w:rsid w:val="10F20D97"/>
    <w:rsid w:val="10F22B45"/>
    <w:rsid w:val="10F57B36"/>
    <w:rsid w:val="10F62635"/>
    <w:rsid w:val="10F7015B"/>
    <w:rsid w:val="10F93ED3"/>
    <w:rsid w:val="10FA2DD1"/>
    <w:rsid w:val="10FB7C4C"/>
    <w:rsid w:val="10FC5772"/>
    <w:rsid w:val="1102547E"/>
    <w:rsid w:val="11026E77"/>
    <w:rsid w:val="11034D52"/>
    <w:rsid w:val="11036B00"/>
    <w:rsid w:val="1104237A"/>
    <w:rsid w:val="11056D1C"/>
    <w:rsid w:val="11067D65"/>
    <w:rsid w:val="110A3A4A"/>
    <w:rsid w:val="110D797F"/>
    <w:rsid w:val="111365EE"/>
    <w:rsid w:val="1115264F"/>
    <w:rsid w:val="11166833"/>
    <w:rsid w:val="111927C8"/>
    <w:rsid w:val="111B209C"/>
    <w:rsid w:val="111C2F7A"/>
    <w:rsid w:val="111E393A"/>
    <w:rsid w:val="11203B56"/>
    <w:rsid w:val="11252F1A"/>
    <w:rsid w:val="11270A41"/>
    <w:rsid w:val="11274EE5"/>
    <w:rsid w:val="11276C93"/>
    <w:rsid w:val="112812B5"/>
    <w:rsid w:val="11292A0B"/>
    <w:rsid w:val="112A0531"/>
    <w:rsid w:val="112A22DF"/>
    <w:rsid w:val="112C7DF0"/>
    <w:rsid w:val="112E1DCF"/>
    <w:rsid w:val="112F3D99"/>
    <w:rsid w:val="11360C84"/>
    <w:rsid w:val="113759E8"/>
    <w:rsid w:val="113849FC"/>
    <w:rsid w:val="11390774"/>
    <w:rsid w:val="113A39C4"/>
    <w:rsid w:val="113B0990"/>
    <w:rsid w:val="113B273E"/>
    <w:rsid w:val="113E3FDC"/>
    <w:rsid w:val="114063D0"/>
    <w:rsid w:val="114333A1"/>
    <w:rsid w:val="11445362"/>
    <w:rsid w:val="11472E91"/>
    <w:rsid w:val="1148415E"/>
    <w:rsid w:val="114C66F9"/>
    <w:rsid w:val="11513D10"/>
    <w:rsid w:val="115225F0"/>
    <w:rsid w:val="115455AE"/>
    <w:rsid w:val="1158509E"/>
    <w:rsid w:val="115A0E16"/>
    <w:rsid w:val="115B2588"/>
    <w:rsid w:val="115F467E"/>
    <w:rsid w:val="11604C92"/>
    <w:rsid w:val="11627CCB"/>
    <w:rsid w:val="11643A43"/>
    <w:rsid w:val="11660CBD"/>
    <w:rsid w:val="11665CA1"/>
    <w:rsid w:val="11697B20"/>
    <w:rsid w:val="116C0B49"/>
    <w:rsid w:val="116D4627"/>
    <w:rsid w:val="117143B2"/>
    <w:rsid w:val="11716160"/>
    <w:rsid w:val="11717F0E"/>
    <w:rsid w:val="1173012A"/>
    <w:rsid w:val="11743D26"/>
    <w:rsid w:val="117748B7"/>
    <w:rsid w:val="1178129C"/>
    <w:rsid w:val="117B00BB"/>
    <w:rsid w:val="11800151"/>
    <w:rsid w:val="1181566E"/>
    <w:rsid w:val="1181633F"/>
    <w:rsid w:val="1184061B"/>
    <w:rsid w:val="1186718F"/>
    <w:rsid w:val="1187310D"/>
    <w:rsid w:val="1188174B"/>
    <w:rsid w:val="118A0FD0"/>
    <w:rsid w:val="118E286E"/>
    <w:rsid w:val="1190104B"/>
    <w:rsid w:val="11904838"/>
    <w:rsid w:val="11916802"/>
    <w:rsid w:val="119836EC"/>
    <w:rsid w:val="119A56B6"/>
    <w:rsid w:val="119C142F"/>
    <w:rsid w:val="119F2CCD"/>
    <w:rsid w:val="11A227BD"/>
    <w:rsid w:val="11AD5C9A"/>
    <w:rsid w:val="11AE2F10"/>
    <w:rsid w:val="11AE4CBE"/>
    <w:rsid w:val="11AE5A53"/>
    <w:rsid w:val="11B147AE"/>
    <w:rsid w:val="11B76268"/>
    <w:rsid w:val="11BA3663"/>
    <w:rsid w:val="11BB562D"/>
    <w:rsid w:val="11BD75F7"/>
    <w:rsid w:val="11BF3ECF"/>
    <w:rsid w:val="11BF5650"/>
    <w:rsid w:val="11C24C0D"/>
    <w:rsid w:val="11C664AC"/>
    <w:rsid w:val="11C92723"/>
    <w:rsid w:val="11C95F9C"/>
    <w:rsid w:val="11CC15E8"/>
    <w:rsid w:val="11CC3396"/>
    <w:rsid w:val="11CE5360"/>
    <w:rsid w:val="11D230A2"/>
    <w:rsid w:val="11D64215"/>
    <w:rsid w:val="11D84431"/>
    <w:rsid w:val="11DA5AB3"/>
    <w:rsid w:val="11DD37F5"/>
    <w:rsid w:val="11DF30C9"/>
    <w:rsid w:val="11DF756D"/>
    <w:rsid w:val="11E3705D"/>
    <w:rsid w:val="11E44B84"/>
    <w:rsid w:val="11E46932"/>
    <w:rsid w:val="11E64458"/>
    <w:rsid w:val="11E9596B"/>
    <w:rsid w:val="11EA1A5C"/>
    <w:rsid w:val="11EB7CC0"/>
    <w:rsid w:val="11EC3A38"/>
    <w:rsid w:val="11ED1C8A"/>
    <w:rsid w:val="11EE77B0"/>
    <w:rsid w:val="11F052D6"/>
    <w:rsid w:val="11F07E01"/>
    <w:rsid w:val="11F36B75"/>
    <w:rsid w:val="11F70F68"/>
    <w:rsid w:val="11F755A9"/>
    <w:rsid w:val="11F7576D"/>
    <w:rsid w:val="11FC1ECD"/>
    <w:rsid w:val="11FD2592"/>
    <w:rsid w:val="11FD5C45"/>
    <w:rsid w:val="11FE3E97"/>
    <w:rsid w:val="11FF25F0"/>
    <w:rsid w:val="12040D82"/>
    <w:rsid w:val="1206210D"/>
    <w:rsid w:val="12080872"/>
    <w:rsid w:val="120945EA"/>
    <w:rsid w:val="120D5E88"/>
    <w:rsid w:val="12103BCB"/>
    <w:rsid w:val="121216F1"/>
    <w:rsid w:val="12130FC5"/>
    <w:rsid w:val="121420F8"/>
    <w:rsid w:val="1218482D"/>
    <w:rsid w:val="12185725"/>
    <w:rsid w:val="121A67F7"/>
    <w:rsid w:val="121B1FCB"/>
    <w:rsid w:val="121C60CC"/>
    <w:rsid w:val="121C75C3"/>
    <w:rsid w:val="121D5045"/>
    <w:rsid w:val="121E62E8"/>
    <w:rsid w:val="121F3E0E"/>
    <w:rsid w:val="122136E2"/>
    <w:rsid w:val="12241424"/>
    <w:rsid w:val="12274A70"/>
    <w:rsid w:val="12280F14"/>
    <w:rsid w:val="122907E8"/>
    <w:rsid w:val="12294EB7"/>
    <w:rsid w:val="12296A3A"/>
    <w:rsid w:val="122D2087"/>
    <w:rsid w:val="122E4051"/>
    <w:rsid w:val="122E5DFF"/>
    <w:rsid w:val="123305D6"/>
    <w:rsid w:val="12372F05"/>
    <w:rsid w:val="12374CB3"/>
    <w:rsid w:val="123A69E4"/>
    <w:rsid w:val="123C0392"/>
    <w:rsid w:val="123D63F3"/>
    <w:rsid w:val="123F625E"/>
    <w:rsid w:val="124A70DD"/>
    <w:rsid w:val="124B075F"/>
    <w:rsid w:val="124D44D7"/>
    <w:rsid w:val="124E024F"/>
    <w:rsid w:val="124F5746"/>
    <w:rsid w:val="12575356"/>
    <w:rsid w:val="125910CE"/>
    <w:rsid w:val="125A6BF4"/>
    <w:rsid w:val="125C471A"/>
    <w:rsid w:val="125E66E4"/>
    <w:rsid w:val="126006AE"/>
    <w:rsid w:val="12617F82"/>
    <w:rsid w:val="12631F4C"/>
    <w:rsid w:val="12641821"/>
    <w:rsid w:val="12661A3D"/>
    <w:rsid w:val="126B0E01"/>
    <w:rsid w:val="126F08F1"/>
    <w:rsid w:val="12717ADA"/>
    <w:rsid w:val="127203E1"/>
    <w:rsid w:val="12747CB6"/>
    <w:rsid w:val="12751C80"/>
    <w:rsid w:val="127777A6"/>
    <w:rsid w:val="127952CC"/>
    <w:rsid w:val="127C300E"/>
    <w:rsid w:val="127C4DBC"/>
    <w:rsid w:val="127C6B6A"/>
    <w:rsid w:val="127D4165"/>
    <w:rsid w:val="127E013D"/>
    <w:rsid w:val="127F1BE9"/>
    <w:rsid w:val="127F48AC"/>
    <w:rsid w:val="1283439D"/>
    <w:rsid w:val="1286241A"/>
    <w:rsid w:val="128679E9"/>
    <w:rsid w:val="128A572B"/>
    <w:rsid w:val="128B1CD8"/>
    <w:rsid w:val="1290609D"/>
    <w:rsid w:val="12942105"/>
    <w:rsid w:val="12993BC0"/>
    <w:rsid w:val="129A3494"/>
    <w:rsid w:val="129C0FBA"/>
    <w:rsid w:val="129C545E"/>
    <w:rsid w:val="129C720C"/>
    <w:rsid w:val="12A06CFD"/>
    <w:rsid w:val="12A12A75"/>
    <w:rsid w:val="12A17021"/>
    <w:rsid w:val="12A3059B"/>
    <w:rsid w:val="12A367ED"/>
    <w:rsid w:val="12A926AA"/>
    <w:rsid w:val="12AA7B7B"/>
    <w:rsid w:val="12B10F0A"/>
    <w:rsid w:val="12B5154F"/>
    <w:rsid w:val="12B55EEF"/>
    <w:rsid w:val="12B66520"/>
    <w:rsid w:val="12B72298"/>
    <w:rsid w:val="12B72988"/>
    <w:rsid w:val="12BC340B"/>
    <w:rsid w:val="12C30C3D"/>
    <w:rsid w:val="12C34799"/>
    <w:rsid w:val="12C80001"/>
    <w:rsid w:val="12CD1ABC"/>
    <w:rsid w:val="12D06EB6"/>
    <w:rsid w:val="12D15108"/>
    <w:rsid w:val="12D40754"/>
    <w:rsid w:val="12D60970"/>
    <w:rsid w:val="12D76496"/>
    <w:rsid w:val="12D90460"/>
    <w:rsid w:val="12D9220E"/>
    <w:rsid w:val="12E82452"/>
    <w:rsid w:val="12E84200"/>
    <w:rsid w:val="12EA441C"/>
    <w:rsid w:val="12EA61CA"/>
    <w:rsid w:val="12EB6CA7"/>
    <w:rsid w:val="12F157AA"/>
    <w:rsid w:val="12F232D0"/>
    <w:rsid w:val="12F2507E"/>
    <w:rsid w:val="12F47048"/>
    <w:rsid w:val="12F473A6"/>
    <w:rsid w:val="12F86B39"/>
    <w:rsid w:val="12F9465F"/>
    <w:rsid w:val="12FA35D5"/>
    <w:rsid w:val="12FB03D7"/>
    <w:rsid w:val="130152C1"/>
    <w:rsid w:val="1301536A"/>
    <w:rsid w:val="130962A5"/>
    <w:rsid w:val="130C274F"/>
    <w:rsid w:val="130F5C30"/>
    <w:rsid w:val="130F79DE"/>
    <w:rsid w:val="13144FF5"/>
    <w:rsid w:val="13160D6D"/>
    <w:rsid w:val="13165211"/>
    <w:rsid w:val="1319260B"/>
    <w:rsid w:val="13196AAF"/>
    <w:rsid w:val="131B6383"/>
    <w:rsid w:val="131C20FB"/>
    <w:rsid w:val="131D034D"/>
    <w:rsid w:val="13201BEB"/>
    <w:rsid w:val="13207E3D"/>
    <w:rsid w:val="13223BB5"/>
    <w:rsid w:val="132316DC"/>
    <w:rsid w:val="13253FFE"/>
    <w:rsid w:val="13272F7A"/>
    <w:rsid w:val="132A2A6A"/>
    <w:rsid w:val="132C67E2"/>
    <w:rsid w:val="13352DDB"/>
    <w:rsid w:val="13367661"/>
    <w:rsid w:val="133B07D3"/>
    <w:rsid w:val="133D454B"/>
    <w:rsid w:val="133E02C4"/>
    <w:rsid w:val="133E2072"/>
    <w:rsid w:val="133E6515"/>
    <w:rsid w:val="133F6D99"/>
    <w:rsid w:val="1340403C"/>
    <w:rsid w:val="13441D7E"/>
    <w:rsid w:val="13453400"/>
    <w:rsid w:val="1347361C"/>
    <w:rsid w:val="134948D0"/>
    <w:rsid w:val="134A4EBA"/>
    <w:rsid w:val="134A6C68"/>
    <w:rsid w:val="134E49AB"/>
    <w:rsid w:val="134F24D1"/>
    <w:rsid w:val="135505C5"/>
    <w:rsid w:val="13581385"/>
    <w:rsid w:val="135871A6"/>
    <w:rsid w:val="135971B8"/>
    <w:rsid w:val="135C2F68"/>
    <w:rsid w:val="135C425F"/>
    <w:rsid w:val="135D43F8"/>
    <w:rsid w:val="1360023A"/>
    <w:rsid w:val="13622204"/>
    <w:rsid w:val="136441CE"/>
    <w:rsid w:val="13651CF4"/>
    <w:rsid w:val="136A730B"/>
    <w:rsid w:val="136C3083"/>
    <w:rsid w:val="13702B73"/>
    <w:rsid w:val="13722AF6"/>
    <w:rsid w:val="137361BF"/>
    <w:rsid w:val="13763F01"/>
    <w:rsid w:val="13781A27"/>
    <w:rsid w:val="13785584"/>
    <w:rsid w:val="1379754E"/>
    <w:rsid w:val="137B1518"/>
    <w:rsid w:val="137D703E"/>
    <w:rsid w:val="137F2DB6"/>
    <w:rsid w:val="138008DC"/>
    <w:rsid w:val="1380268A"/>
    <w:rsid w:val="13806B2E"/>
    <w:rsid w:val="13816859"/>
    <w:rsid w:val="13821088"/>
    <w:rsid w:val="138403CC"/>
    <w:rsid w:val="1384217A"/>
    <w:rsid w:val="13871C6A"/>
    <w:rsid w:val="138E2FF9"/>
    <w:rsid w:val="138E4DA7"/>
    <w:rsid w:val="13900507"/>
    <w:rsid w:val="1393465A"/>
    <w:rsid w:val="13946135"/>
    <w:rsid w:val="13951726"/>
    <w:rsid w:val="139525D9"/>
    <w:rsid w:val="13997C09"/>
    <w:rsid w:val="139A7BF0"/>
    <w:rsid w:val="139D3726"/>
    <w:rsid w:val="139F1E83"/>
    <w:rsid w:val="13A02D2C"/>
    <w:rsid w:val="13A04ADA"/>
    <w:rsid w:val="13A24CF6"/>
    <w:rsid w:val="13A4001D"/>
    <w:rsid w:val="13A91BE1"/>
    <w:rsid w:val="13B10A95"/>
    <w:rsid w:val="13B62550"/>
    <w:rsid w:val="13B642FE"/>
    <w:rsid w:val="13B76BA2"/>
    <w:rsid w:val="13B80076"/>
    <w:rsid w:val="13B90F6C"/>
    <w:rsid w:val="13BA5B9C"/>
    <w:rsid w:val="13BB7B66"/>
    <w:rsid w:val="13BC2C0C"/>
    <w:rsid w:val="13BD38DE"/>
    <w:rsid w:val="13BF7656"/>
    <w:rsid w:val="13C37816"/>
    <w:rsid w:val="13C46A1B"/>
    <w:rsid w:val="13C50D8E"/>
    <w:rsid w:val="13C54541"/>
    <w:rsid w:val="13C7475D"/>
    <w:rsid w:val="13C82EBD"/>
    <w:rsid w:val="13CA158C"/>
    <w:rsid w:val="13CA4465"/>
    <w:rsid w:val="13CB7DA9"/>
    <w:rsid w:val="13CE1647"/>
    <w:rsid w:val="13CE7899"/>
    <w:rsid w:val="13CF716E"/>
    <w:rsid w:val="13D07F0E"/>
    <w:rsid w:val="13D21C0B"/>
    <w:rsid w:val="13D33102"/>
    <w:rsid w:val="13D53825"/>
    <w:rsid w:val="13D604FC"/>
    <w:rsid w:val="13DA4490"/>
    <w:rsid w:val="13DA623E"/>
    <w:rsid w:val="13DC75A4"/>
    <w:rsid w:val="13DD7ADC"/>
    <w:rsid w:val="13DF3855"/>
    <w:rsid w:val="13E1581F"/>
    <w:rsid w:val="13E250F3"/>
    <w:rsid w:val="13E40E6B"/>
    <w:rsid w:val="13E946D3"/>
    <w:rsid w:val="13EB21F9"/>
    <w:rsid w:val="13F33B15"/>
    <w:rsid w:val="13F53078"/>
    <w:rsid w:val="13FA068E"/>
    <w:rsid w:val="13FA6B54"/>
    <w:rsid w:val="13FD3CDB"/>
    <w:rsid w:val="13FF3EF7"/>
    <w:rsid w:val="14027543"/>
    <w:rsid w:val="14074B59"/>
    <w:rsid w:val="14092680"/>
    <w:rsid w:val="14100946"/>
    <w:rsid w:val="141259D8"/>
    <w:rsid w:val="14132975"/>
    <w:rsid w:val="14157276"/>
    <w:rsid w:val="141A663B"/>
    <w:rsid w:val="141D437D"/>
    <w:rsid w:val="141E19EB"/>
    <w:rsid w:val="141F1EA3"/>
    <w:rsid w:val="14261483"/>
    <w:rsid w:val="14261574"/>
    <w:rsid w:val="14270D58"/>
    <w:rsid w:val="142825B6"/>
    <w:rsid w:val="14295324"/>
    <w:rsid w:val="142C636E"/>
    <w:rsid w:val="142E658A"/>
    <w:rsid w:val="14302302"/>
    <w:rsid w:val="14396509"/>
    <w:rsid w:val="143F0797"/>
    <w:rsid w:val="14411E19"/>
    <w:rsid w:val="1443024D"/>
    <w:rsid w:val="14447B5C"/>
    <w:rsid w:val="14467430"/>
    <w:rsid w:val="144933C4"/>
    <w:rsid w:val="144E2788"/>
    <w:rsid w:val="144E4536"/>
    <w:rsid w:val="1457788F"/>
    <w:rsid w:val="14587163"/>
    <w:rsid w:val="14593607"/>
    <w:rsid w:val="145A112D"/>
    <w:rsid w:val="145A2EDB"/>
    <w:rsid w:val="145F6743"/>
    <w:rsid w:val="14627FE2"/>
    <w:rsid w:val="14636945"/>
    <w:rsid w:val="14641FAC"/>
    <w:rsid w:val="14681A9C"/>
    <w:rsid w:val="146B2CC3"/>
    <w:rsid w:val="146D0E60"/>
    <w:rsid w:val="146D2C0E"/>
    <w:rsid w:val="146E4BD8"/>
    <w:rsid w:val="147026FF"/>
    <w:rsid w:val="147A532B"/>
    <w:rsid w:val="147B4BCC"/>
    <w:rsid w:val="147E132C"/>
    <w:rsid w:val="1481490C"/>
    <w:rsid w:val="148166BA"/>
    <w:rsid w:val="148530C5"/>
    <w:rsid w:val="14863CD0"/>
    <w:rsid w:val="148D505F"/>
    <w:rsid w:val="148E3042"/>
    <w:rsid w:val="14902DA1"/>
    <w:rsid w:val="149208C7"/>
    <w:rsid w:val="14924A74"/>
    <w:rsid w:val="14991C55"/>
    <w:rsid w:val="149E54BE"/>
    <w:rsid w:val="14A30D26"/>
    <w:rsid w:val="14A34882"/>
    <w:rsid w:val="14A423A8"/>
    <w:rsid w:val="14A979BF"/>
    <w:rsid w:val="14AB3737"/>
    <w:rsid w:val="14AB7BDB"/>
    <w:rsid w:val="14AD74AF"/>
    <w:rsid w:val="14AF1479"/>
    <w:rsid w:val="14B00D4D"/>
    <w:rsid w:val="14B06F9F"/>
    <w:rsid w:val="14BA600C"/>
    <w:rsid w:val="14BC1DE8"/>
    <w:rsid w:val="14BC3B96"/>
    <w:rsid w:val="14C36CD2"/>
    <w:rsid w:val="14C55CE2"/>
    <w:rsid w:val="14CB5B87"/>
    <w:rsid w:val="14CD5DA3"/>
    <w:rsid w:val="14CF38C9"/>
    <w:rsid w:val="14CF52C6"/>
    <w:rsid w:val="14D013EF"/>
    <w:rsid w:val="14D40EDF"/>
    <w:rsid w:val="14D829B4"/>
    <w:rsid w:val="14DD2C3C"/>
    <w:rsid w:val="14DE58BA"/>
    <w:rsid w:val="14E03DAA"/>
    <w:rsid w:val="14E1184E"/>
    <w:rsid w:val="14E53B8B"/>
    <w:rsid w:val="14E629C1"/>
    <w:rsid w:val="14E8498B"/>
    <w:rsid w:val="14EB6229"/>
    <w:rsid w:val="14EC447B"/>
    <w:rsid w:val="14F055ED"/>
    <w:rsid w:val="14F1386F"/>
    <w:rsid w:val="14F21366"/>
    <w:rsid w:val="14F670A8"/>
    <w:rsid w:val="14F7697C"/>
    <w:rsid w:val="14F94BD2"/>
    <w:rsid w:val="14FB2F80"/>
    <w:rsid w:val="14FC0436"/>
    <w:rsid w:val="14FC60B6"/>
    <w:rsid w:val="14FD6A90"/>
    <w:rsid w:val="14FE7D0A"/>
    <w:rsid w:val="150115A9"/>
    <w:rsid w:val="15011C23"/>
    <w:rsid w:val="150177FB"/>
    <w:rsid w:val="15033573"/>
    <w:rsid w:val="15035C84"/>
    <w:rsid w:val="15063063"/>
    <w:rsid w:val="15064605"/>
    <w:rsid w:val="15067F8B"/>
    <w:rsid w:val="15082937"/>
    <w:rsid w:val="15091AF6"/>
    <w:rsid w:val="150B2427"/>
    <w:rsid w:val="150F2E19"/>
    <w:rsid w:val="15107A3E"/>
    <w:rsid w:val="15170DCC"/>
    <w:rsid w:val="15175270"/>
    <w:rsid w:val="15186A1A"/>
    <w:rsid w:val="151A266A"/>
    <w:rsid w:val="152139F9"/>
    <w:rsid w:val="15227E9D"/>
    <w:rsid w:val="1525101E"/>
    <w:rsid w:val="1525798D"/>
    <w:rsid w:val="15261B20"/>
    <w:rsid w:val="15267261"/>
    <w:rsid w:val="15273705"/>
    <w:rsid w:val="152754B3"/>
    <w:rsid w:val="152C0D1B"/>
    <w:rsid w:val="153100E0"/>
    <w:rsid w:val="15323E58"/>
    <w:rsid w:val="15344AB2"/>
    <w:rsid w:val="153656F6"/>
    <w:rsid w:val="15393438"/>
    <w:rsid w:val="153951E6"/>
    <w:rsid w:val="153B2D0D"/>
    <w:rsid w:val="153D4CD7"/>
    <w:rsid w:val="153E27FD"/>
    <w:rsid w:val="154047C7"/>
    <w:rsid w:val="154222ED"/>
    <w:rsid w:val="15475B55"/>
    <w:rsid w:val="15477903"/>
    <w:rsid w:val="154D47EE"/>
    <w:rsid w:val="154F4A0A"/>
    <w:rsid w:val="15520056"/>
    <w:rsid w:val="15542020"/>
    <w:rsid w:val="15567B46"/>
    <w:rsid w:val="155913E5"/>
    <w:rsid w:val="15593193"/>
    <w:rsid w:val="15597637"/>
    <w:rsid w:val="155A5817"/>
    <w:rsid w:val="1560191E"/>
    <w:rsid w:val="15613053"/>
    <w:rsid w:val="156404B5"/>
    <w:rsid w:val="1565422D"/>
    <w:rsid w:val="156825AE"/>
    <w:rsid w:val="156C1118"/>
    <w:rsid w:val="156C2EC6"/>
    <w:rsid w:val="156C736A"/>
    <w:rsid w:val="156F29B6"/>
    <w:rsid w:val="15714980"/>
    <w:rsid w:val="15732AFC"/>
    <w:rsid w:val="15744470"/>
    <w:rsid w:val="15763D45"/>
    <w:rsid w:val="157D1577"/>
    <w:rsid w:val="157D50D3"/>
    <w:rsid w:val="157D657D"/>
    <w:rsid w:val="157F5F94"/>
    <w:rsid w:val="15806971"/>
    <w:rsid w:val="158346B4"/>
    <w:rsid w:val="15842905"/>
    <w:rsid w:val="1585667E"/>
    <w:rsid w:val="158C17BA"/>
    <w:rsid w:val="158C5316"/>
    <w:rsid w:val="158F12AA"/>
    <w:rsid w:val="159468C1"/>
    <w:rsid w:val="15973CBB"/>
    <w:rsid w:val="159863B1"/>
    <w:rsid w:val="15997A33"/>
    <w:rsid w:val="159B37AB"/>
    <w:rsid w:val="159D39C7"/>
    <w:rsid w:val="159D4B97"/>
    <w:rsid w:val="159D5775"/>
    <w:rsid w:val="159E329B"/>
    <w:rsid w:val="15A00DC2"/>
    <w:rsid w:val="15A07014"/>
    <w:rsid w:val="15A24B3A"/>
    <w:rsid w:val="15A54D74"/>
    <w:rsid w:val="15A703A2"/>
    <w:rsid w:val="15A9236C"/>
    <w:rsid w:val="15A93017"/>
    <w:rsid w:val="15AA1C40"/>
    <w:rsid w:val="15AC59B8"/>
    <w:rsid w:val="15B13177"/>
    <w:rsid w:val="15B17473"/>
    <w:rsid w:val="15B34F99"/>
    <w:rsid w:val="15B36D47"/>
    <w:rsid w:val="15B8091F"/>
    <w:rsid w:val="15B80929"/>
    <w:rsid w:val="15B825AF"/>
    <w:rsid w:val="15BB3E4D"/>
    <w:rsid w:val="15C63491"/>
    <w:rsid w:val="15C745A0"/>
    <w:rsid w:val="15C75E4B"/>
    <w:rsid w:val="15CA4090"/>
    <w:rsid w:val="15CA5B4B"/>
    <w:rsid w:val="15CC520E"/>
    <w:rsid w:val="15CC605B"/>
    <w:rsid w:val="15CE592F"/>
    <w:rsid w:val="15D31197"/>
    <w:rsid w:val="15D373E9"/>
    <w:rsid w:val="15D46CBD"/>
    <w:rsid w:val="15D849FF"/>
    <w:rsid w:val="15D87EFC"/>
    <w:rsid w:val="15DD0268"/>
    <w:rsid w:val="15E0436E"/>
    <w:rsid w:val="15E50ECA"/>
    <w:rsid w:val="15E6711C"/>
    <w:rsid w:val="15E839EB"/>
    <w:rsid w:val="15EA64E1"/>
    <w:rsid w:val="15EE7D7F"/>
    <w:rsid w:val="15F1161D"/>
    <w:rsid w:val="15F15AC1"/>
    <w:rsid w:val="15F24D5C"/>
    <w:rsid w:val="15F555B1"/>
    <w:rsid w:val="15F5735F"/>
    <w:rsid w:val="15F64E85"/>
    <w:rsid w:val="15F66C34"/>
    <w:rsid w:val="15F80BFE"/>
    <w:rsid w:val="15F874DA"/>
    <w:rsid w:val="15F87753"/>
    <w:rsid w:val="15FD7FC2"/>
    <w:rsid w:val="16005D69"/>
    <w:rsid w:val="1603178E"/>
    <w:rsid w:val="16040312"/>
    <w:rsid w:val="1606331B"/>
    <w:rsid w:val="160752E5"/>
    <w:rsid w:val="16077093"/>
    <w:rsid w:val="16087E1D"/>
    <w:rsid w:val="160E0421"/>
    <w:rsid w:val="16102902"/>
    <w:rsid w:val="16104199"/>
    <w:rsid w:val="16144A8D"/>
    <w:rsid w:val="1615355E"/>
    <w:rsid w:val="16157A01"/>
    <w:rsid w:val="16165F18"/>
    <w:rsid w:val="161A5018"/>
    <w:rsid w:val="161C0D90"/>
    <w:rsid w:val="161D68B6"/>
    <w:rsid w:val="16210154"/>
    <w:rsid w:val="162639BD"/>
    <w:rsid w:val="16273291"/>
    <w:rsid w:val="16282019"/>
    <w:rsid w:val="16297009"/>
    <w:rsid w:val="162C08A7"/>
    <w:rsid w:val="162D57EF"/>
    <w:rsid w:val="162D642C"/>
    <w:rsid w:val="162E2871"/>
    <w:rsid w:val="162E461F"/>
    <w:rsid w:val="163360DA"/>
    <w:rsid w:val="163836F0"/>
    <w:rsid w:val="163A6782"/>
    <w:rsid w:val="164125A5"/>
    <w:rsid w:val="16421E79"/>
    <w:rsid w:val="164278B1"/>
    <w:rsid w:val="16445BF1"/>
    <w:rsid w:val="16461969"/>
    <w:rsid w:val="16473933"/>
    <w:rsid w:val="1647748F"/>
    <w:rsid w:val="164976AB"/>
    <w:rsid w:val="164D719B"/>
    <w:rsid w:val="164E4CC1"/>
    <w:rsid w:val="16500A3A"/>
    <w:rsid w:val="165027E8"/>
    <w:rsid w:val="16504596"/>
    <w:rsid w:val="16556050"/>
    <w:rsid w:val="16565924"/>
    <w:rsid w:val="165669B3"/>
    <w:rsid w:val="165A18B8"/>
    <w:rsid w:val="165C118C"/>
    <w:rsid w:val="16610551"/>
    <w:rsid w:val="1662251B"/>
    <w:rsid w:val="1663076D"/>
    <w:rsid w:val="16681976"/>
    <w:rsid w:val="166B7621"/>
    <w:rsid w:val="166E2C6E"/>
    <w:rsid w:val="16730284"/>
    <w:rsid w:val="167308AC"/>
    <w:rsid w:val="167364D6"/>
    <w:rsid w:val="167427AE"/>
    <w:rsid w:val="16786FA1"/>
    <w:rsid w:val="16795C6E"/>
    <w:rsid w:val="167A5AB7"/>
    <w:rsid w:val="167C182F"/>
    <w:rsid w:val="167D4675"/>
    <w:rsid w:val="167F55F9"/>
    <w:rsid w:val="168129A1"/>
    <w:rsid w:val="168626AD"/>
    <w:rsid w:val="16870F53"/>
    <w:rsid w:val="168B3820"/>
    <w:rsid w:val="168D7598"/>
    <w:rsid w:val="168E26D8"/>
    <w:rsid w:val="16907088"/>
    <w:rsid w:val="169166B8"/>
    <w:rsid w:val="16922E00"/>
    <w:rsid w:val="16995DF6"/>
    <w:rsid w:val="169A7F07"/>
    <w:rsid w:val="169D3553"/>
    <w:rsid w:val="169F1079"/>
    <w:rsid w:val="169F72CB"/>
    <w:rsid w:val="16A13043"/>
    <w:rsid w:val="16A14DF1"/>
    <w:rsid w:val="16A448E1"/>
    <w:rsid w:val="16A6065A"/>
    <w:rsid w:val="16A91EF8"/>
    <w:rsid w:val="16AB5C70"/>
    <w:rsid w:val="16AE5760"/>
    <w:rsid w:val="16B014D8"/>
    <w:rsid w:val="16B03286"/>
    <w:rsid w:val="16B32D77"/>
    <w:rsid w:val="16BC1C2B"/>
    <w:rsid w:val="16BE1E47"/>
    <w:rsid w:val="16C15493"/>
    <w:rsid w:val="16C60CFC"/>
    <w:rsid w:val="16C62AAA"/>
    <w:rsid w:val="16C84A74"/>
    <w:rsid w:val="16C90EF1"/>
    <w:rsid w:val="16C94348"/>
    <w:rsid w:val="16CA6972"/>
    <w:rsid w:val="16CB4564"/>
    <w:rsid w:val="16CC5760"/>
    <w:rsid w:val="16CE195E"/>
    <w:rsid w:val="16CE5378"/>
    <w:rsid w:val="16D0666A"/>
    <w:rsid w:val="16D2144F"/>
    <w:rsid w:val="16D231FD"/>
    <w:rsid w:val="16D276A1"/>
    <w:rsid w:val="16D43419"/>
    <w:rsid w:val="16D451C7"/>
    <w:rsid w:val="16DA6212"/>
    <w:rsid w:val="16DB77CE"/>
    <w:rsid w:val="16DE1BA1"/>
    <w:rsid w:val="16DE7DF3"/>
    <w:rsid w:val="16E3540A"/>
    <w:rsid w:val="16E573D4"/>
    <w:rsid w:val="16EB0762"/>
    <w:rsid w:val="16EB42BE"/>
    <w:rsid w:val="16ED6288"/>
    <w:rsid w:val="16F002E5"/>
    <w:rsid w:val="16F05C47"/>
    <w:rsid w:val="16F05D79"/>
    <w:rsid w:val="16F21AF1"/>
    <w:rsid w:val="16F2389F"/>
    <w:rsid w:val="16F86CF6"/>
    <w:rsid w:val="16FA2A69"/>
    <w:rsid w:val="16FA3301"/>
    <w:rsid w:val="16FB6BF7"/>
    <w:rsid w:val="16FE0496"/>
    <w:rsid w:val="17051824"/>
    <w:rsid w:val="1706559C"/>
    <w:rsid w:val="17084E70"/>
    <w:rsid w:val="170A508C"/>
    <w:rsid w:val="170C7D3C"/>
    <w:rsid w:val="170D2487"/>
    <w:rsid w:val="170F61FF"/>
    <w:rsid w:val="171333AE"/>
    <w:rsid w:val="17150A16"/>
    <w:rsid w:val="1715758D"/>
    <w:rsid w:val="17193D80"/>
    <w:rsid w:val="171E4694"/>
    <w:rsid w:val="171E63FC"/>
    <w:rsid w:val="171E6442"/>
    <w:rsid w:val="17214184"/>
    <w:rsid w:val="17255A22"/>
    <w:rsid w:val="172577D0"/>
    <w:rsid w:val="1726179A"/>
    <w:rsid w:val="17263548"/>
    <w:rsid w:val="17285513"/>
    <w:rsid w:val="172A220F"/>
    <w:rsid w:val="172A69F4"/>
    <w:rsid w:val="172D2B29"/>
    <w:rsid w:val="173043C7"/>
    <w:rsid w:val="17340E19"/>
    <w:rsid w:val="17343EB7"/>
    <w:rsid w:val="17345C65"/>
    <w:rsid w:val="17377504"/>
    <w:rsid w:val="173B5246"/>
    <w:rsid w:val="173B6FF4"/>
    <w:rsid w:val="173E7FFA"/>
    <w:rsid w:val="174114E0"/>
    <w:rsid w:val="1743234C"/>
    <w:rsid w:val="17457E73"/>
    <w:rsid w:val="17481711"/>
    <w:rsid w:val="174A3990"/>
    <w:rsid w:val="174A7237"/>
    <w:rsid w:val="174B01C5"/>
    <w:rsid w:val="174D6D27"/>
    <w:rsid w:val="174F2A9F"/>
    <w:rsid w:val="175045F4"/>
    <w:rsid w:val="17516817"/>
    <w:rsid w:val="1752433D"/>
    <w:rsid w:val="175400B6"/>
    <w:rsid w:val="17544559"/>
    <w:rsid w:val="17547C85"/>
    <w:rsid w:val="17562080"/>
    <w:rsid w:val="17571954"/>
    <w:rsid w:val="175956CC"/>
    <w:rsid w:val="175A3BFE"/>
    <w:rsid w:val="175C5856"/>
    <w:rsid w:val="175C6F6A"/>
    <w:rsid w:val="17602EFE"/>
    <w:rsid w:val="17604CAC"/>
    <w:rsid w:val="176302F9"/>
    <w:rsid w:val="1767428D"/>
    <w:rsid w:val="17681DB3"/>
    <w:rsid w:val="176C0D57"/>
    <w:rsid w:val="176D4508"/>
    <w:rsid w:val="17701D14"/>
    <w:rsid w:val="17710C68"/>
    <w:rsid w:val="17722603"/>
    <w:rsid w:val="17732C32"/>
    <w:rsid w:val="17735226"/>
    <w:rsid w:val="1775412A"/>
    <w:rsid w:val="17797B1C"/>
    <w:rsid w:val="177B1AE6"/>
    <w:rsid w:val="177B5642"/>
    <w:rsid w:val="177C760C"/>
    <w:rsid w:val="177E126D"/>
    <w:rsid w:val="17836BED"/>
    <w:rsid w:val="178766DD"/>
    <w:rsid w:val="1788002A"/>
    <w:rsid w:val="17884203"/>
    <w:rsid w:val="17884C82"/>
    <w:rsid w:val="178E7A6B"/>
    <w:rsid w:val="17914E66"/>
    <w:rsid w:val="179C380B"/>
    <w:rsid w:val="17A0779F"/>
    <w:rsid w:val="17A252C5"/>
    <w:rsid w:val="17A27073"/>
    <w:rsid w:val="17A32DEB"/>
    <w:rsid w:val="17A34B99"/>
    <w:rsid w:val="17A6096F"/>
    <w:rsid w:val="17A708DF"/>
    <w:rsid w:val="17A74689"/>
    <w:rsid w:val="17AA5F28"/>
    <w:rsid w:val="17AD199B"/>
    <w:rsid w:val="17AF353E"/>
    <w:rsid w:val="17B15508"/>
    <w:rsid w:val="17B2302E"/>
    <w:rsid w:val="17B30445"/>
    <w:rsid w:val="17B31280"/>
    <w:rsid w:val="17B86896"/>
    <w:rsid w:val="17B9260F"/>
    <w:rsid w:val="17BC7272"/>
    <w:rsid w:val="17BE19D3"/>
    <w:rsid w:val="17C0399D"/>
    <w:rsid w:val="17C05240"/>
    <w:rsid w:val="17C0574B"/>
    <w:rsid w:val="17C074F9"/>
    <w:rsid w:val="17C31582"/>
    <w:rsid w:val="17C3523B"/>
    <w:rsid w:val="17C52D61"/>
    <w:rsid w:val="17C70888"/>
    <w:rsid w:val="17C74D2B"/>
    <w:rsid w:val="17C84C12"/>
    <w:rsid w:val="17C84DD7"/>
    <w:rsid w:val="17C90AA4"/>
    <w:rsid w:val="17CE60BA"/>
    <w:rsid w:val="17CE7E68"/>
    <w:rsid w:val="17D03763"/>
    <w:rsid w:val="17D11706"/>
    <w:rsid w:val="17D15BAA"/>
    <w:rsid w:val="17D244D2"/>
    <w:rsid w:val="17D411F6"/>
    <w:rsid w:val="17D631C0"/>
    <w:rsid w:val="17D66D1D"/>
    <w:rsid w:val="17D70B33"/>
    <w:rsid w:val="17DA4A5F"/>
    <w:rsid w:val="17E1714A"/>
    <w:rsid w:val="17E23913"/>
    <w:rsid w:val="17E41539"/>
    <w:rsid w:val="17EA0A1A"/>
    <w:rsid w:val="17EE050A"/>
    <w:rsid w:val="17F17FFA"/>
    <w:rsid w:val="17F453F5"/>
    <w:rsid w:val="17F51899"/>
    <w:rsid w:val="17FD24FB"/>
    <w:rsid w:val="18023FB5"/>
    <w:rsid w:val="18025D64"/>
    <w:rsid w:val="180513B0"/>
    <w:rsid w:val="18075128"/>
    <w:rsid w:val="180C0990"/>
    <w:rsid w:val="180C6E5D"/>
    <w:rsid w:val="180E295A"/>
    <w:rsid w:val="180F0D38"/>
    <w:rsid w:val="181066D2"/>
    <w:rsid w:val="18113658"/>
    <w:rsid w:val="181141F9"/>
    <w:rsid w:val="181276B9"/>
    <w:rsid w:val="18147845"/>
    <w:rsid w:val="1816180F"/>
    <w:rsid w:val="181C076B"/>
    <w:rsid w:val="1821268E"/>
    <w:rsid w:val="182127A7"/>
    <w:rsid w:val="182201B4"/>
    <w:rsid w:val="18243F2C"/>
    <w:rsid w:val="18245CDA"/>
    <w:rsid w:val="18251A52"/>
    <w:rsid w:val="182911EB"/>
    <w:rsid w:val="18291542"/>
    <w:rsid w:val="182B350C"/>
    <w:rsid w:val="182C2DE0"/>
    <w:rsid w:val="182E0907"/>
    <w:rsid w:val="183323C1"/>
    <w:rsid w:val="1833416F"/>
    <w:rsid w:val="18351C95"/>
    <w:rsid w:val="18357EE7"/>
    <w:rsid w:val="18383533"/>
    <w:rsid w:val="183F66D6"/>
    <w:rsid w:val="1840063A"/>
    <w:rsid w:val="18414ADE"/>
    <w:rsid w:val="18425057"/>
    <w:rsid w:val="184503DD"/>
    <w:rsid w:val="18493992"/>
    <w:rsid w:val="18495740"/>
    <w:rsid w:val="1850222C"/>
    <w:rsid w:val="18504D21"/>
    <w:rsid w:val="18506ACF"/>
    <w:rsid w:val="1850765B"/>
    <w:rsid w:val="18510A99"/>
    <w:rsid w:val="18511F7B"/>
    <w:rsid w:val="185540E5"/>
    <w:rsid w:val="18583BD5"/>
    <w:rsid w:val="185A794E"/>
    <w:rsid w:val="185D743E"/>
    <w:rsid w:val="185F6D12"/>
    <w:rsid w:val="18610CDC"/>
    <w:rsid w:val="18622CA6"/>
    <w:rsid w:val="18624C16"/>
    <w:rsid w:val="1867217A"/>
    <w:rsid w:val="186802BC"/>
    <w:rsid w:val="1869511A"/>
    <w:rsid w:val="186B56B7"/>
    <w:rsid w:val="186C7681"/>
    <w:rsid w:val="186D58D3"/>
    <w:rsid w:val="18746A55"/>
    <w:rsid w:val="18787DD4"/>
    <w:rsid w:val="187A1D9E"/>
    <w:rsid w:val="187C3D68"/>
    <w:rsid w:val="187C78C4"/>
    <w:rsid w:val="187F4D45"/>
    <w:rsid w:val="18814EDA"/>
    <w:rsid w:val="188449CB"/>
    <w:rsid w:val="18856C48"/>
    <w:rsid w:val="18860D7D"/>
    <w:rsid w:val="18871757"/>
    <w:rsid w:val="188744BB"/>
    <w:rsid w:val="188C387F"/>
    <w:rsid w:val="189310B2"/>
    <w:rsid w:val="18934C0E"/>
    <w:rsid w:val="18950986"/>
    <w:rsid w:val="18980476"/>
    <w:rsid w:val="189866C8"/>
    <w:rsid w:val="18997E67"/>
    <w:rsid w:val="189A41EE"/>
    <w:rsid w:val="189C1D14"/>
    <w:rsid w:val="189D783A"/>
    <w:rsid w:val="189E3CDE"/>
    <w:rsid w:val="189F35B2"/>
    <w:rsid w:val="189F624C"/>
    <w:rsid w:val="18A1557C"/>
    <w:rsid w:val="18A230A3"/>
    <w:rsid w:val="18A24E51"/>
    <w:rsid w:val="18A64941"/>
    <w:rsid w:val="18AB01A9"/>
    <w:rsid w:val="18AD3F21"/>
    <w:rsid w:val="18AE7C99"/>
    <w:rsid w:val="18AF5EEB"/>
    <w:rsid w:val="18B63C84"/>
    <w:rsid w:val="18B84674"/>
    <w:rsid w:val="18BB16A1"/>
    <w:rsid w:val="18C0505C"/>
    <w:rsid w:val="18C1177B"/>
    <w:rsid w:val="18C15C1F"/>
    <w:rsid w:val="18C179CD"/>
    <w:rsid w:val="18C354F3"/>
    <w:rsid w:val="18C80D5B"/>
    <w:rsid w:val="18C96881"/>
    <w:rsid w:val="18CB138B"/>
    <w:rsid w:val="18CB25F9"/>
    <w:rsid w:val="18CE7660"/>
    <w:rsid w:val="18CF1CD4"/>
    <w:rsid w:val="18D23988"/>
    <w:rsid w:val="18D45952"/>
    <w:rsid w:val="18D56FD4"/>
    <w:rsid w:val="18D70712"/>
    <w:rsid w:val="18D70F9E"/>
    <w:rsid w:val="18D771F0"/>
    <w:rsid w:val="18D95D53"/>
    <w:rsid w:val="18DA283C"/>
    <w:rsid w:val="18DC3E63"/>
    <w:rsid w:val="18DC65B5"/>
    <w:rsid w:val="18DF7E53"/>
    <w:rsid w:val="18E436BB"/>
    <w:rsid w:val="18E45469"/>
    <w:rsid w:val="18E5190D"/>
    <w:rsid w:val="18E67433"/>
    <w:rsid w:val="18E7065A"/>
    <w:rsid w:val="18E71174"/>
    <w:rsid w:val="18E81D62"/>
    <w:rsid w:val="18E831AB"/>
    <w:rsid w:val="18ED14A8"/>
    <w:rsid w:val="18ED431E"/>
    <w:rsid w:val="18EF20B0"/>
    <w:rsid w:val="18F062F7"/>
    <w:rsid w:val="18F2402A"/>
    <w:rsid w:val="18F25DD8"/>
    <w:rsid w:val="18F27B86"/>
    <w:rsid w:val="18F57676"/>
    <w:rsid w:val="18F865BB"/>
    <w:rsid w:val="18F90F15"/>
    <w:rsid w:val="18FA4C8D"/>
    <w:rsid w:val="18FD1F0E"/>
    <w:rsid w:val="18FE477D"/>
    <w:rsid w:val="19017DC9"/>
    <w:rsid w:val="190478B9"/>
    <w:rsid w:val="190B0C48"/>
    <w:rsid w:val="190F698A"/>
    <w:rsid w:val="1910625E"/>
    <w:rsid w:val="19156D35"/>
    <w:rsid w:val="191E4E1F"/>
    <w:rsid w:val="19202945"/>
    <w:rsid w:val="192143D6"/>
    <w:rsid w:val="192D01EC"/>
    <w:rsid w:val="192F2B88"/>
    <w:rsid w:val="193006AE"/>
    <w:rsid w:val="19322678"/>
    <w:rsid w:val="19324427"/>
    <w:rsid w:val="19340F17"/>
    <w:rsid w:val="19341F4D"/>
    <w:rsid w:val="193463F1"/>
    <w:rsid w:val="19371A3D"/>
    <w:rsid w:val="19375EE1"/>
    <w:rsid w:val="193957B5"/>
    <w:rsid w:val="193A152D"/>
    <w:rsid w:val="193B777F"/>
    <w:rsid w:val="193C34F7"/>
    <w:rsid w:val="193E0CBA"/>
    <w:rsid w:val="193F3921"/>
    <w:rsid w:val="194303E2"/>
    <w:rsid w:val="19481E9C"/>
    <w:rsid w:val="194859F8"/>
    <w:rsid w:val="19495E63"/>
    <w:rsid w:val="194C2307"/>
    <w:rsid w:val="194D285A"/>
    <w:rsid w:val="19520625"/>
    <w:rsid w:val="19521D97"/>
    <w:rsid w:val="19533227"/>
    <w:rsid w:val="19570331"/>
    <w:rsid w:val="195919B3"/>
    <w:rsid w:val="19597C05"/>
    <w:rsid w:val="195A572B"/>
    <w:rsid w:val="19616ABA"/>
    <w:rsid w:val="19644C42"/>
    <w:rsid w:val="196C5B8A"/>
    <w:rsid w:val="196D36B1"/>
    <w:rsid w:val="19726F19"/>
    <w:rsid w:val="197467ED"/>
    <w:rsid w:val="19766A09"/>
    <w:rsid w:val="19793E03"/>
    <w:rsid w:val="197D7D98"/>
    <w:rsid w:val="19801636"/>
    <w:rsid w:val="19802244"/>
    <w:rsid w:val="19810F0A"/>
    <w:rsid w:val="198253AE"/>
    <w:rsid w:val="19832ED4"/>
    <w:rsid w:val="19866520"/>
    <w:rsid w:val="198804EA"/>
    <w:rsid w:val="198A4786"/>
    <w:rsid w:val="198A7DBF"/>
    <w:rsid w:val="198D747A"/>
    <w:rsid w:val="198F1879"/>
    <w:rsid w:val="19911A88"/>
    <w:rsid w:val="19923902"/>
    <w:rsid w:val="19946E8F"/>
    <w:rsid w:val="1997072D"/>
    <w:rsid w:val="1998195B"/>
    <w:rsid w:val="199926F8"/>
    <w:rsid w:val="19996254"/>
    <w:rsid w:val="199A3E11"/>
    <w:rsid w:val="199B1FCC"/>
    <w:rsid w:val="199C5D44"/>
    <w:rsid w:val="199D21E8"/>
    <w:rsid w:val="199E1ABC"/>
    <w:rsid w:val="19A10699"/>
    <w:rsid w:val="19A215AC"/>
    <w:rsid w:val="19A436D1"/>
    <w:rsid w:val="19A5109C"/>
    <w:rsid w:val="19A76CF2"/>
    <w:rsid w:val="19AA0461"/>
    <w:rsid w:val="19AA220F"/>
    <w:rsid w:val="19AC41D9"/>
    <w:rsid w:val="19B25567"/>
    <w:rsid w:val="19B72B7E"/>
    <w:rsid w:val="19B80DD0"/>
    <w:rsid w:val="19BB266E"/>
    <w:rsid w:val="19BE21E6"/>
    <w:rsid w:val="19C01A32"/>
    <w:rsid w:val="19C21C4E"/>
    <w:rsid w:val="19C31523"/>
    <w:rsid w:val="19C534ED"/>
    <w:rsid w:val="19C90789"/>
    <w:rsid w:val="19CA28B1"/>
    <w:rsid w:val="19CC03D7"/>
    <w:rsid w:val="19CD414F"/>
    <w:rsid w:val="19CE23A1"/>
    <w:rsid w:val="19D159ED"/>
    <w:rsid w:val="19D4436C"/>
    <w:rsid w:val="19D83220"/>
    <w:rsid w:val="19D9027E"/>
    <w:rsid w:val="19DE010A"/>
    <w:rsid w:val="19DF151F"/>
    <w:rsid w:val="19E219A9"/>
    <w:rsid w:val="19E33973"/>
    <w:rsid w:val="19E82D37"/>
    <w:rsid w:val="19F3005A"/>
    <w:rsid w:val="19F45B80"/>
    <w:rsid w:val="19F4792E"/>
    <w:rsid w:val="19F65454"/>
    <w:rsid w:val="19F704E3"/>
    <w:rsid w:val="19F93196"/>
    <w:rsid w:val="19FB2A6A"/>
    <w:rsid w:val="19FD2C86"/>
    <w:rsid w:val="1A004525"/>
    <w:rsid w:val="1A023DF9"/>
    <w:rsid w:val="1A051B3B"/>
    <w:rsid w:val="1A07140F"/>
    <w:rsid w:val="1A08264E"/>
    <w:rsid w:val="1A0C111B"/>
    <w:rsid w:val="1A0E5A2C"/>
    <w:rsid w:val="1A0F4768"/>
    <w:rsid w:val="1A0F6516"/>
    <w:rsid w:val="1A1104E0"/>
    <w:rsid w:val="1A12583D"/>
    <w:rsid w:val="1A126F7E"/>
    <w:rsid w:val="1A163D48"/>
    <w:rsid w:val="1A18361C"/>
    <w:rsid w:val="1A1A3838"/>
    <w:rsid w:val="1A1C66C0"/>
    <w:rsid w:val="1A206975"/>
    <w:rsid w:val="1A22449B"/>
    <w:rsid w:val="1A271AB1"/>
    <w:rsid w:val="1A2811A4"/>
    <w:rsid w:val="1A295829"/>
    <w:rsid w:val="1A2C356C"/>
    <w:rsid w:val="1A2E4BEE"/>
    <w:rsid w:val="1A2E7004"/>
    <w:rsid w:val="1A2F0966"/>
    <w:rsid w:val="1A367F46"/>
    <w:rsid w:val="1A3701C0"/>
    <w:rsid w:val="1A383CBF"/>
    <w:rsid w:val="1A400DC5"/>
    <w:rsid w:val="1A402B73"/>
    <w:rsid w:val="1A420699"/>
    <w:rsid w:val="1A42393B"/>
    <w:rsid w:val="1A475CB0"/>
    <w:rsid w:val="1A4E703E"/>
    <w:rsid w:val="1A4F6F20"/>
    <w:rsid w:val="1A554870"/>
    <w:rsid w:val="1A5959E3"/>
    <w:rsid w:val="1A5B175B"/>
    <w:rsid w:val="1A5B5BFF"/>
    <w:rsid w:val="1A5D54D3"/>
    <w:rsid w:val="1A604FC3"/>
    <w:rsid w:val="1A69031C"/>
    <w:rsid w:val="1A693E78"/>
    <w:rsid w:val="1A6C5716"/>
    <w:rsid w:val="1A6E76E0"/>
    <w:rsid w:val="1A705206"/>
    <w:rsid w:val="1A734E8B"/>
    <w:rsid w:val="1A761976"/>
    <w:rsid w:val="1A7647E7"/>
    <w:rsid w:val="1A78230D"/>
    <w:rsid w:val="1A7D3DC7"/>
    <w:rsid w:val="1A7F5449"/>
    <w:rsid w:val="1A8213DE"/>
    <w:rsid w:val="1A845156"/>
    <w:rsid w:val="1A846F04"/>
    <w:rsid w:val="1A871F5C"/>
    <w:rsid w:val="1A8962C8"/>
    <w:rsid w:val="1A8A0541"/>
    <w:rsid w:val="1A8C6350"/>
    <w:rsid w:val="1A907E51"/>
    <w:rsid w:val="1A944AAE"/>
    <w:rsid w:val="1A98650B"/>
    <w:rsid w:val="1A995465"/>
    <w:rsid w:val="1A9A7055"/>
    <w:rsid w:val="1A9E2B3B"/>
    <w:rsid w:val="1A9F3D3E"/>
    <w:rsid w:val="1AA255DC"/>
    <w:rsid w:val="1AA2738A"/>
    <w:rsid w:val="1AA92ECE"/>
    <w:rsid w:val="1AAB623F"/>
    <w:rsid w:val="1AAC1FB7"/>
    <w:rsid w:val="1AAD45DE"/>
    <w:rsid w:val="1AAE5354"/>
    <w:rsid w:val="1AB33345"/>
    <w:rsid w:val="1AB377E9"/>
    <w:rsid w:val="1AB64BE3"/>
    <w:rsid w:val="1AB71087"/>
    <w:rsid w:val="1AB8095B"/>
    <w:rsid w:val="1ABC669E"/>
    <w:rsid w:val="1AC217DA"/>
    <w:rsid w:val="1AC45552"/>
    <w:rsid w:val="1AC85518"/>
    <w:rsid w:val="1ACD08AB"/>
    <w:rsid w:val="1ACD2659"/>
    <w:rsid w:val="1AD0039B"/>
    <w:rsid w:val="1AD02149"/>
    <w:rsid w:val="1AD339E7"/>
    <w:rsid w:val="1AD5775F"/>
    <w:rsid w:val="1ADC289C"/>
    <w:rsid w:val="1ADC6D40"/>
    <w:rsid w:val="1ADF238C"/>
    <w:rsid w:val="1AE14A63"/>
    <w:rsid w:val="1AE16104"/>
    <w:rsid w:val="1AE45BF4"/>
    <w:rsid w:val="1AE47A2C"/>
    <w:rsid w:val="1AE6371B"/>
    <w:rsid w:val="1AE856E5"/>
    <w:rsid w:val="1AED393F"/>
    <w:rsid w:val="1AEE0821"/>
    <w:rsid w:val="1AF37BE5"/>
    <w:rsid w:val="1AF51BB0"/>
    <w:rsid w:val="1AF851FC"/>
    <w:rsid w:val="1AFE6CB6"/>
    <w:rsid w:val="1AFF2A2E"/>
    <w:rsid w:val="1B041DF3"/>
    <w:rsid w:val="1B046F80"/>
    <w:rsid w:val="1B091FFE"/>
    <w:rsid w:val="1B09565B"/>
    <w:rsid w:val="1B0C5787"/>
    <w:rsid w:val="1B0E568F"/>
    <w:rsid w:val="1B132036"/>
    <w:rsid w:val="1B140288"/>
    <w:rsid w:val="1B154000"/>
    <w:rsid w:val="1B155DAE"/>
    <w:rsid w:val="1B19589E"/>
    <w:rsid w:val="1B1C0922"/>
    <w:rsid w:val="1B1C670C"/>
    <w:rsid w:val="1B1D07A3"/>
    <w:rsid w:val="1B207EA5"/>
    <w:rsid w:val="1B214753"/>
    <w:rsid w:val="1B233A0E"/>
    <w:rsid w:val="1B244243"/>
    <w:rsid w:val="1B256297"/>
    <w:rsid w:val="1B267FBB"/>
    <w:rsid w:val="1B294C9D"/>
    <w:rsid w:val="1B2D759B"/>
    <w:rsid w:val="1B2E0C1E"/>
    <w:rsid w:val="1B2E6E70"/>
    <w:rsid w:val="1B302BE8"/>
    <w:rsid w:val="1B304996"/>
    <w:rsid w:val="1B306F48"/>
    <w:rsid w:val="1B3267B5"/>
    <w:rsid w:val="1B334486"/>
    <w:rsid w:val="1B3501FE"/>
    <w:rsid w:val="1B375D24"/>
    <w:rsid w:val="1B401424"/>
    <w:rsid w:val="1B40161D"/>
    <w:rsid w:val="1B441859"/>
    <w:rsid w:val="1B46065D"/>
    <w:rsid w:val="1B4641B9"/>
    <w:rsid w:val="1B4B5C73"/>
    <w:rsid w:val="1B4D72F6"/>
    <w:rsid w:val="1B502A2B"/>
    <w:rsid w:val="1B542D7A"/>
    <w:rsid w:val="1B544B28"/>
    <w:rsid w:val="1B55540D"/>
    <w:rsid w:val="1B577A36"/>
    <w:rsid w:val="1B59213E"/>
    <w:rsid w:val="1B5A5C20"/>
    <w:rsid w:val="1B5C1C2F"/>
    <w:rsid w:val="1B5E0712"/>
    <w:rsid w:val="1B5E59A7"/>
    <w:rsid w:val="1B610FF3"/>
    <w:rsid w:val="1B634D6B"/>
    <w:rsid w:val="1B636B19"/>
    <w:rsid w:val="1B650AE3"/>
    <w:rsid w:val="1B6606B1"/>
    <w:rsid w:val="1B697EA8"/>
    <w:rsid w:val="1B6A434C"/>
    <w:rsid w:val="1B6D1746"/>
    <w:rsid w:val="1B6F54BE"/>
    <w:rsid w:val="1B724FAE"/>
    <w:rsid w:val="1B762CF0"/>
    <w:rsid w:val="1B7731E6"/>
    <w:rsid w:val="1B776A68"/>
    <w:rsid w:val="1B7927E1"/>
    <w:rsid w:val="1B7A20B5"/>
    <w:rsid w:val="1B7E1BA5"/>
    <w:rsid w:val="1B7E7CEF"/>
    <w:rsid w:val="1B882A24"/>
    <w:rsid w:val="1B886580"/>
    <w:rsid w:val="1B8A054A"/>
    <w:rsid w:val="1B8B5E4D"/>
    <w:rsid w:val="1B8D3B96"/>
    <w:rsid w:val="1B8D410D"/>
    <w:rsid w:val="1B9118D8"/>
    <w:rsid w:val="1B93777B"/>
    <w:rsid w:val="1B970EB9"/>
    <w:rsid w:val="1B981220"/>
    <w:rsid w:val="1B9B2757"/>
    <w:rsid w:val="1B9B4505"/>
    <w:rsid w:val="1B9B4FD0"/>
    <w:rsid w:val="1B9E3FF5"/>
    <w:rsid w:val="1BA02EBA"/>
    <w:rsid w:val="1BA3160C"/>
    <w:rsid w:val="1BA535D6"/>
    <w:rsid w:val="1BA57132"/>
    <w:rsid w:val="1BA62EAA"/>
    <w:rsid w:val="1BA64C58"/>
    <w:rsid w:val="1BA710FC"/>
    <w:rsid w:val="1BA84A19"/>
    <w:rsid w:val="1BAD248A"/>
    <w:rsid w:val="1BAF7FB0"/>
    <w:rsid w:val="1BB03EA9"/>
    <w:rsid w:val="1BB11F7A"/>
    <w:rsid w:val="1BB13D28"/>
    <w:rsid w:val="1BB83309"/>
    <w:rsid w:val="1BB92BDD"/>
    <w:rsid w:val="1BBB0703"/>
    <w:rsid w:val="1BBF43CB"/>
    <w:rsid w:val="1BC05D1A"/>
    <w:rsid w:val="1BC0785C"/>
    <w:rsid w:val="1BC17CE4"/>
    <w:rsid w:val="1BC32914"/>
    <w:rsid w:val="1BC53330"/>
    <w:rsid w:val="1BC7354C"/>
    <w:rsid w:val="1BCF0653"/>
    <w:rsid w:val="1BD25A4D"/>
    <w:rsid w:val="1BD347AA"/>
    <w:rsid w:val="1BD47A17"/>
    <w:rsid w:val="1BD712B5"/>
    <w:rsid w:val="1BD96DDB"/>
    <w:rsid w:val="1BDD4B1E"/>
    <w:rsid w:val="1BDD64C4"/>
    <w:rsid w:val="1BDE43F2"/>
    <w:rsid w:val="1BE063BC"/>
    <w:rsid w:val="1BE22134"/>
    <w:rsid w:val="1BE340FE"/>
    <w:rsid w:val="1BE37C5A"/>
    <w:rsid w:val="1BE51C24"/>
    <w:rsid w:val="1BE539D2"/>
    <w:rsid w:val="1BE55780"/>
    <w:rsid w:val="1BE91714"/>
    <w:rsid w:val="1BEA0FE8"/>
    <w:rsid w:val="1BEA14D8"/>
    <w:rsid w:val="1BEA2D97"/>
    <w:rsid w:val="1BEA548C"/>
    <w:rsid w:val="1BEC2FB3"/>
    <w:rsid w:val="1BED0AD9"/>
    <w:rsid w:val="1BEE6D2B"/>
    <w:rsid w:val="1BF400B9"/>
    <w:rsid w:val="1BF9122C"/>
    <w:rsid w:val="1BF9747E"/>
    <w:rsid w:val="1BFA2B98"/>
    <w:rsid w:val="1BFB4FA4"/>
    <w:rsid w:val="1BFC5356"/>
    <w:rsid w:val="1C024584"/>
    <w:rsid w:val="1C0A168B"/>
    <w:rsid w:val="1C0A51E7"/>
    <w:rsid w:val="1C0A6971"/>
    <w:rsid w:val="1C0C0F5F"/>
    <w:rsid w:val="1C0C5403"/>
    <w:rsid w:val="1C0C71B1"/>
    <w:rsid w:val="1C0D4CD7"/>
    <w:rsid w:val="1C0F6CA1"/>
    <w:rsid w:val="1C104F9B"/>
    <w:rsid w:val="1C161DDD"/>
    <w:rsid w:val="1C1A3895"/>
    <w:rsid w:val="1C204A0A"/>
    <w:rsid w:val="1C2071AA"/>
    <w:rsid w:val="1C2269D4"/>
    <w:rsid w:val="1C2362A8"/>
    <w:rsid w:val="1C240D64"/>
    <w:rsid w:val="1C2A5889"/>
    <w:rsid w:val="1C2C1601"/>
    <w:rsid w:val="1C2C33AF"/>
    <w:rsid w:val="1C2D7127"/>
    <w:rsid w:val="1C341BDE"/>
    <w:rsid w:val="1C346708"/>
    <w:rsid w:val="1C365FDC"/>
    <w:rsid w:val="1C3861F8"/>
    <w:rsid w:val="1C39518F"/>
    <w:rsid w:val="1C395ACC"/>
    <w:rsid w:val="1C3A1F70"/>
    <w:rsid w:val="1C406E5A"/>
    <w:rsid w:val="1C427076"/>
    <w:rsid w:val="1C485D0F"/>
    <w:rsid w:val="1C4A5F2B"/>
    <w:rsid w:val="1C4C57FF"/>
    <w:rsid w:val="1C4E5A1B"/>
    <w:rsid w:val="1C4F50A5"/>
    <w:rsid w:val="1C4F52EF"/>
    <w:rsid w:val="1C5046FF"/>
    <w:rsid w:val="1C541BD6"/>
    <w:rsid w:val="1C597F1C"/>
    <w:rsid w:val="1C5B5A42"/>
    <w:rsid w:val="1C5D3C4D"/>
    <w:rsid w:val="1C5D7A0C"/>
    <w:rsid w:val="1C5E7925"/>
    <w:rsid w:val="1C623275"/>
    <w:rsid w:val="1C625023"/>
    <w:rsid w:val="1C6B65AE"/>
    <w:rsid w:val="1C6D22B3"/>
    <w:rsid w:val="1C6F14EE"/>
    <w:rsid w:val="1C6F468F"/>
    <w:rsid w:val="1C705992"/>
    <w:rsid w:val="1C784846"/>
    <w:rsid w:val="1C7865F4"/>
    <w:rsid w:val="1C7D1E5D"/>
    <w:rsid w:val="1C806926"/>
    <w:rsid w:val="1C874A89"/>
    <w:rsid w:val="1C8B1061"/>
    <w:rsid w:val="1C913B5A"/>
    <w:rsid w:val="1C9176B6"/>
    <w:rsid w:val="1C93342E"/>
    <w:rsid w:val="1C9442FC"/>
    <w:rsid w:val="1C962F1E"/>
    <w:rsid w:val="1C99656B"/>
    <w:rsid w:val="1C9A0C60"/>
    <w:rsid w:val="1C9B22E3"/>
    <w:rsid w:val="1C9C4DED"/>
    <w:rsid w:val="1C9D42AD"/>
    <w:rsid w:val="1CA13D9D"/>
    <w:rsid w:val="1CA15CD3"/>
    <w:rsid w:val="1CA1608E"/>
    <w:rsid w:val="1CA3357F"/>
    <w:rsid w:val="1CA473E9"/>
    <w:rsid w:val="1CA532CE"/>
    <w:rsid w:val="1CA7004B"/>
    <w:rsid w:val="1CA94A00"/>
    <w:rsid w:val="1CAB5593"/>
    <w:rsid w:val="1CB02232"/>
    <w:rsid w:val="1CB03FE0"/>
    <w:rsid w:val="1CB11B06"/>
    <w:rsid w:val="1CB25FAA"/>
    <w:rsid w:val="1CB27013"/>
    <w:rsid w:val="1CB515F6"/>
    <w:rsid w:val="1CB702B4"/>
    <w:rsid w:val="1CBC1555"/>
    <w:rsid w:val="1CBF2475"/>
    <w:rsid w:val="1CC01D49"/>
    <w:rsid w:val="1CC37203"/>
    <w:rsid w:val="1CC57360"/>
    <w:rsid w:val="1CC730D8"/>
    <w:rsid w:val="1CCB0E1A"/>
    <w:rsid w:val="1CCE4466"/>
    <w:rsid w:val="1CD06430"/>
    <w:rsid w:val="1CD203FA"/>
    <w:rsid w:val="1CD31A7D"/>
    <w:rsid w:val="1CD37CCF"/>
    <w:rsid w:val="1CD852E5"/>
    <w:rsid w:val="1CD86F62"/>
    <w:rsid w:val="1CDA7AC0"/>
    <w:rsid w:val="1CDD6D9F"/>
    <w:rsid w:val="1CDF48C5"/>
    <w:rsid w:val="1CE27F12"/>
    <w:rsid w:val="1CE67A02"/>
    <w:rsid w:val="1CEC1DDD"/>
    <w:rsid w:val="1CEE68B6"/>
    <w:rsid w:val="1CEF7D82"/>
    <w:rsid w:val="1CF642B6"/>
    <w:rsid w:val="1CF71C0F"/>
    <w:rsid w:val="1CF90066"/>
    <w:rsid w:val="1CF94F18"/>
    <w:rsid w:val="1CFB0451"/>
    <w:rsid w:val="1CFD070F"/>
    <w:rsid w:val="1CFF6D16"/>
    <w:rsid w:val="1D012A8E"/>
    <w:rsid w:val="1D0165EA"/>
    <w:rsid w:val="1D04432C"/>
    <w:rsid w:val="1D0A3566"/>
    <w:rsid w:val="1D0D1432"/>
    <w:rsid w:val="1D1247BD"/>
    <w:rsid w:val="1D1E3640"/>
    <w:rsid w:val="1D1F4CC2"/>
    <w:rsid w:val="1D24052A"/>
    <w:rsid w:val="1D241D81"/>
    <w:rsid w:val="1D295B40"/>
    <w:rsid w:val="1D2B18B9"/>
    <w:rsid w:val="1D2B1A65"/>
    <w:rsid w:val="1D2E3157"/>
    <w:rsid w:val="1D320E99"/>
    <w:rsid w:val="1D350989"/>
    <w:rsid w:val="1D3A155A"/>
    <w:rsid w:val="1D3A1AFC"/>
    <w:rsid w:val="1D3A7D4E"/>
    <w:rsid w:val="1D3C5874"/>
    <w:rsid w:val="1D3D1E99"/>
    <w:rsid w:val="1D3F35B6"/>
    <w:rsid w:val="1D3F5364"/>
    <w:rsid w:val="1D412E8A"/>
    <w:rsid w:val="1D436C02"/>
    <w:rsid w:val="1D440BCC"/>
    <w:rsid w:val="1D445EF1"/>
    <w:rsid w:val="1D4551DD"/>
    <w:rsid w:val="1D491D3F"/>
    <w:rsid w:val="1D497F91"/>
    <w:rsid w:val="1D50131F"/>
    <w:rsid w:val="1D5521F6"/>
    <w:rsid w:val="1D570900"/>
    <w:rsid w:val="1D582FCC"/>
    <w:rsid w:val="1D596426"/>
    <w:rsid w:val="1D5A0B44"/>
    <w:rsid w:val="1D5A219E"/>
    <w:rsid w:val="1D5F6196"/>
    <w:rsid w:val="1D6132A5"/>
    <w:rsid w:val="1D644DCB"/>
    <w:rsid w:val="1D6B43AB"/>
    <w:rsid w:val="1D7414B2"/>
    <w:rsid w:val="1D74500E"/>
    <w:rsid w:val="1D752B34"/>
    <w:rsid w:val="1D772D50"/>
    <w:rsid w:val="1D7C2A4E"/>
    <w:rsid w:val="1D807957"/>
    <w:rsid w:val="1D81597C"/>
    <w:rsid w:val="1D8164D4"/>
    <w:rsid w:val="1D8334A3"/>
    <w:rsid w:val="1D85546D"/>
    <w:rsid w:val="1D8611E5"/>
    <w:rsid w:val="1D8B05A9"/>
    <w:rsid w:val="1D8B67FB"/>
    <w:rsid w:val="1D8E3BF5"/>
    <w:rsid w:val="1D8E56D5"/>
    <w:rsid w:val="1D916391"/>
    <w:rsid w:val="1D921938"/>
    <w:rsid w:val="1D927B8A"/>
    <w:rsid w:val="1D9374E4"/>
    <w:rsid w:val="1D9531D6"/>
    <w:rsid w:val="1D990F18"/>
    <w:rsid w:val="1D9A07EC"/>
    <w:rsid w:val="1D9E2DB8"/>
    <w:rsid w:val="1DA55279"/>
    <w:rsid w:val="1DA63635"/>
    <w:rsid w:val="1DA64B0B"/>
    <w:rsid w:val="1DA90A2F"/>
    <w:rsid w:val="1DA90ACE"/>
    <w:rsid w:val="1DAF58DD"/>
    <w:rsid w:val="1DB36389"/>
    <w:rsid w:val="1DB37BCA"/>
    <w:rsid w:val="1DBB0E8E"/>
    <w:rsid w:val="1DBB7BBC"/>
    <w:rsid w:val="1DC37D43"/>
    <w:rsid w:val="1DC86484"/>
    <w:rsid w:val="1DCD0BC2"/>
    <w:rsid w:val="1DCF0496"/>
    <w:rsid w:val="1DD12460"/>
    <w:rsid w:val="1DD2442A"/>
    <w:rsid w:val="1DD67A76"/>
    <w:rsid w:val="1DD71A40"/>
    <w:rsid w:val="1DD7559C"/>
    <w:rsid w:val="1DDA4574"/>
    <w:rsid w:val="1DDB508D"/>
    <w:rsid w:val="1DDD518B"/>
    <w:rsid w:val="1DDD7D99"/>
    <w:rsid w:val="1DDE4B7D"/>
    <w:rsid w:val="1DDF7A40"/>
    <w:rsid w:val="1DE2466D"/>
    <w:rsid w:val="1DE33F41"/>
    <w:rsid w:val="1DE66C8D"/>
    <w:rsid w:val="1DE71C83"/>
    <w:rsid w:val="1DE859FC"/>
    <w:rsid w:val="1DEA52D0"/>
    <w:rsid w:val="1DEB1048"/>
    <w:rsid w:val="1DEF162F"/>
    <w:rsid w:val="1DEF28E6"/>
    <w:rsid w:val="1DF42728"/>
    <w:rsid w:val="1DF42DFE"/>
    <w:rsid w:val="1DF47EFC"/>
    <w:rsid w:val="1DF61EC7"/>
    <w:rsid w:val="1DFD14A7"/>
    <w:rsid w:val="1E0068A1"/>
    <w:rsid w:val="1E01086B"/>
    <w:rsid w:val="1E012619"/>
    <w:rsid w:val="1E021B0F"/>
    <w:rsid w:val="1E081BFA"/>
    <w:rsid w:val="1E087E4C"/>
    <w:rsid w:val="1E0C3498"/>
    <w:rsid w:val="1E0D7210"/>
    <w:rsid w:val="1E0E6FDF"/>
    <w:rsid w:val="1E177425"/>
    <w:rsid w:val="1E19489C"/>
    <w:rsid w:val="1E1B192D"/>
    <w:rsid w:val="1E1B36DB"/>
    <w:rsid w:val="1E205195"/>
    <w:rsid w:val="1E2101B0"/>
    <w:rsid w:val="1E2527AC"/>
    <w:rsid w:val="1E28404A"/>
    <w:rsid w:val="1E29229C"/>
    <w:rsid w:val="1E2A152E"/>
    <w:rsid w:val="1E2C09AB"/>
    <w:rsid w:val="1E2C58E8"/>
    <w:rsid w:val="1E2D1660"/>
    <w:rsid w:val="1E2D2246"/>
    <w:rsid w:val="1E2F362A"/>
    <w:rsid w:val="1E307194"/>
    <w:rsid w:val="1E3113E2"/>
    <w:rsid w:val="1E334EC9"/>
    <w:rsid w:val="1E34141D"/>
    <w:rsid w:val="1E380731"/>
    <w:rsid w:val="1E3824DF"/>
    <w:rsid w:val="1E392745"/>
    <w:rsid w:val="1E3E4A94"/>
    <w:rsid w:val="1E3E73CA"/>
    <w:rsid w:val="1E431E06"/>
    <w:rsid w:val="1E467304"/>
    <w:rsid w:val="1E472722"/>
    <w:rsid w:val="1E4A3FC0"/>
    <w:rsid w:val="1E4B0389"/>
    <w:rsid w:val="1E4F7829"/>
    <w:rsid w:val="1E544E3F"/>
    <w:rsid w:val="1E54734D"/>
    <w:rsid w:val="1E5D3CF4"/>
    <w:rsid w:val="1E5F5CBE"/>
    <w:rsid w:val="1E601A36"/>
    <w:rsid w:val="1E634270"/>
    <w:rsid w:val="1E71154D"/>
    <w:rsid w:val="1E71779F"/>
    <w:rsid w:val="1E731769"/>
    <w:rsid w:val="1E7352C5"/>
    <w:rsid w:val="1E7554E1"/>
    <w:rsid w:val="1E7A43DA"/>
    <w:rsid w:val="1E7C1811"/>
    <w:rsid w:val="1E7D6558"/>
    <w:rsid w:val="1E8079E2"/>
    <w:rsid w:val="1E8219AC"/>
    <w:rsid w:val="1E827BFE"/>
    <w:rsid w:val="1E8C282B"/>
    <w:rsid w:val="1E8E0351"/>
    <w:rsid w:val="1E8F4CAD"/>
    <w:rsid w:val="1E900C2C"/>
    <w:rsid w:val="1E933BB9"/>
    <w:rsid w:val="1E965458"/>
    <w:rsid w:val="1E967206"/>
    <w:rsid w:val="1E990D30"/>
    <w:rsid w:val="1E9A4F48"/>
    <w:rsid w:val="1E9B481C"/>
    <w:rsid w:val="1E9D67E6"/>
    <w:rsid w:val="1EA1074C"/>
    <w:rsid w:val="1EA35FEA"/>
    <w:rsid w:val="1EAB0F03"/>
    <w:rsid w:val="1EAE27A1"/>
    <w:rsid w:val="1EB15DEE"/>
    <w:rsid w:val="1EB26468"/>
    <w:rsid w:val="1EB32DBF"/>
    <w:rsid w:val="1EB678A8"/>
    <w:rsid w:val="1EB77B79"/>
    <w:rsid w:val="1EB8717C"/>
    <w:rsid w:val="1EBA2EF4"/>
    <w:rsid w:val="1EBB798A"/>
    <w:rsid w:val="1EBC3110"/>
    <w:rsid w:val="1EBD0C36"/>
    <w:rsid w:val="1EBF050A"/>
    <w:rsid w:val="1EC04283"/>
    <w:rsid w:val="1EC43D73"/>
    <w:rsid w:val="1ECB5101"/>
    <w:rsid w:val="1ECC2C27"/>
    <w:rsid w:val="1ECC70CB"/>
    <w:rsid w:val="1ECE2E43"/>
    <w:rsid w:val="1ECE4BF1"/>
    <w:rsid w:val="1ECE699F"/>
    <w:rsid w:val="1ED0096A"/>
    <w:rsid w:val="1ED61CF8"/>
    <w:rsid w:val="1ED63AA6"/>
    <w:rsid w:val="1ED815CC"/>
    <w:rsid w:val="1EDA5344"/>
    <w:rsid w:val="1EDF0BAD"/>
    <w:rsid w:val="1EE00215"/>
    <w:rsid w:val="1EE93DB3"/>
    <w:rsid w:val="1EE93F77"/>
    <w:rsid w:val="1EE95587"/>
    <w:rsid w:val="1EED151B"/>
    <w:rsid w:val="1EEE7042"/>
    <w:rsid w:val="1EF06916"/>
    <w:rsid w:val="1EF47B1B"/>
    <w:rsid w:val="1EF503D0"/>
    <w:rsid w:val="1EF83A1C"/>
    <w:rsid w:val="1EF96CF2"/>
    <w:rsid w:val="1EFA1543"/>
    <w:rsid w:val="1EFA59E6"/>
    <w:rsid w:val="1EFB350D"/>
    <w:rsid w:val="1EFC175F"/>
    <w:rsid w:val="1EFD54D7"/>
    <w:rsid w:val="1F022AED"/>
    <w:rsid w:val="1F02489B"/>
    <w:rsid w:val="1F026649"/>
    <w:rsid w:val="1F0979D8"/>
    <w:rsid w:val="1F100D66"/>
    <w:rsid w:val="1F120F82"/>
    <w:rsid w:val="1F161646"/>
    <w:rsid w:val="1F176598"/>
    <w:rsid w:val="1F182311"/>
    <w:rsid w:val="1F1A1BE5"/>
    <w:rsid w:val="1F1A3993"/>
    <w:rsid w:val="1F1C3BAF"/>
    <w:rsid w:val="1F1F544D"/>
    <w:rsid w:val="1F1F71FB"/>
    <w:rsid w:val="1F220A99"/>
    <w:rsid w:val="1F226CEB"/>
    <w:rsid w:val="1F240CB5"/>
    <w:rsid w:val="1F26058A"/>
    <w:rsid w:val="1F274302"/>
    <w:rsid w:val="1F2760B0"/>
    <w:rsid w:val="1F29072E"/>
    <w:rsid w:val="1F2B3DF2"/>
    <w:rsid w:val="1F2D7B6A"/>
    <w:rsid w:val="1F2E5690"/>
    <w:rsid w:val="1F3507CD"/>
    <w:rsid w:val="1F354C71"/>
    <w:rsid w:val="1F3709E9"/>
    <w:rsid w:val="1F372797"/>
    <w:rsid w:val="1F38650F"/>
    <w:rsid w:val="1F387FC0"/>
    <w:rsid w:val="1F3C1B5B"/>
    <w:rsid w:val="1F3D58D3"/>
    <w:rsid w:val="1F3F5AEF"/>
    <w:rsid w:val="1F416122"/>
    <w:rsid w:val="1F44616C"/>
    <w:rsid w:val="1F4924CA"/>
    <w:rsid w:val="1F494278"/>
    <w:rsid w:val="1F4D1FBA"/>
    <w:rsid w:val="1F4E5D32"/>
    <w:rsid w:val="1F501AAA"/>
    <w:rsid w:val="1F50506D"/>
    <w:rsid w:val="1F5100CD"/>
    <w:rsid w:val="1F533349"/>
    <w:rsid w:val="1F552C1D"/>
    <w:rsid w:val="1F574C9A"/>
    <w:rsid w:val="1F576995"/>
    <w:rsid w:val="1F5C21FD"/>
    <w:rsid w:val="1F5E41C7"/>
    <w:rsid w:val="1F5E5F75"/>
    <w:rsid w:val="1F5F584A"/>
    <w:rsid w:val="1F6115C2"/>
    <w:rsid w:val="1F615A66"/>
    <w:rsid w:val="1F617814"/>
    <w:rsid w:val="1F666BD8"/>
    <w:rsid w:val="1F672582"/>
    <w:rsid w:val="1F672950"/>
    <w:rsid w:val="1F6B2440"/>
    <w:rsid w:val="1F6D61B8"/>
    <w:rsid w:val="1F6E3CDF"/>
    <w:rsid w:val="1F6F6D4E"/>
    <w:rsid w:val="1F706947"/>
    <w:rsid w:val="1F7315FD"/>
    <w:rsid w:val="1F75506D"/>
    <w:rsid w:val="1F7A2683"/>
    <w:rsid w:val="1F7A665D"/>
    <w:rsid w:val="1F7D3F22"/>
    <w:rsid w:val="1F884DA0"/>
    <w:rsid w:val="1F8B4890"/>
    <w:rsid w:val="1F8D685B"/>
    <w:rsid w:val="1F9000F9"/>
    <w:rsid w:val="1F923E71"/>
    <w:rsid w:val="1F930BDA"/>
    <w:rsid w:val="1F947BE9"/>
    <w:rsid w:val="1F953961"/>
    <w:rsid w:val="1F9574BD"/>
    <w:rsid w:val="1F96434B"/>
    <w:rsid w:val="1F980D5B"/>
    <w:rsid w:val="1F9951FF"/>
    <w:rsid w:val="1F9D6372"/>
    <w:rsid w:val="1F9E45C4"/>
    <w:rsid w:val="1FA12306"/>
    <w:rsid w:val="1FA616CA"/>
    <w:rsid w:val="1FA63E40"/>
    <w:rsid w:val="1FAA6DAC"/>
    <w:rsid w:val="1FAB4F33"/>
    <w:rsid w:val="1FAB6CE1"/>
    <w:rsid w:val="1FAB7D05"/>
    <w:rsid w:val="1FAD2A59"/>
    <w:rsid w:val="1FAD3208"/>
    <w:rsid w:val="1FAD7985"/>
    <w:rsid w:val="1FAE057F"/>
    <w:rsid w:val="1FAF67D1"/>
    <w:rsid w:val="1FB04EF2"/>
    <w:rsid w:val="1FB57B5F"/>
    <w:rsid w:val="1FB72055"/>
    <w:rsid w:val="1FB77434"/>
    <w:rsid w:val="1FB931AC"/>
    <w:rsid w:val="1FBA6F24"/>
    <w:rsid w:val="1FBC4A4A"/>
    <w:rsid w:val="1FBC7140"/>
    <w:rsid w:val="1FC57DA2"/>
    <w:rsid w:val="1FC61D6D"/>
    <w:rsid w:val="1FC63B1B"/>
    <w:rsid w:val="1FCA360B"/>
    <w:rsid w:val="1FCD30FB"/>
    <w:rsid w:val="1FCE3F40"/>
    <w:rsid w:val="1FCF0C21"/>
    <w:rsid w:val="1FD06747"/>
    <w:rsid w:val="1FD2426D"/>
    <w:rsid w:val="1FD6566B"/>
    <w:rsid w:val="1FD75D28"/>
    <w:rsid w:val="1FD9558D"/>
    <w:rsid w:val="1FD955FC"/>
    <w:rsid w:val="1FDB75C6"/>
    <w:rsid w:val="1FDC64B6"/>
    <w:rsid w:val="1FDE70B6"/>
    <w:rsid w:val="1FE04BDC"/>
    <w:rsid w:val="1FE1071E"/>
    <w:rsid w:val="1FE65F6B"/>
    <w:rsid w:val="1FE7539E"/>
    <w:rsid w:val="1FEB1DE0"/>
    <w:rsid w:val="1FEF6BCD"/>
    <w:rsid w:val="1FF266BE"/>
    <w:rsid w:val="1FF50B01"/>
    <w:rsid w:val="1FF57F5C"/>
    <w:rsid w:val="1FFB1A16"/>
    <w:rsid w:val="1FFE5062"/>
    <w:rsid w:val="200060D0"/>
    <w:rsid w:val="20052895"/>
    <w:rsid w:val="2011123A"/>
    <w:rsid w:val="2011428E"/>
    <w:rsid w:val="201400DE"/>
    <w:rsid w:val="20142AD8"/>
    <w:rsid w:val="201605FE"/>
    <w:rsid w:val="20170100"/>
    <w:rsid w:val="20176124"/>
    <w:rsid w:val="20194161"/>
    <w:rsid w:val="201C198C"/>
    <w:rsid w:val="201C2AE2"/>
    <w:rsid w:val="201C308A"/>
    <w:rsid w:val="201E3957"/>
    <w:rsid w:val="20214B32"/>
    <w:rsid w:val="20216FA3"/>
    <w:rsid w:val="20220C48"/>
    <w:rsid w:val="202251F5"/>
    <w:rsid w:val="202331F2"/>
    <w:rsid w:val="2027280B"/>
    <w:rsid w:val="202B54FC"/>
    <w:rsid w:val="202C6073"/>
    <w:rsid w:val="202C7E22"/>
    <w:rsid w:val="20315438"/>
    <w:rsid w:val="203171E6"/>
    <w:rsid w:val="20322F5E"/>
    <w:rsid w:val="20344F28"/>
    <w:rsid w:val="20362A4E"/>
    <w:rsid w:val="203C3DDD"/>
    <w:rsid w:val="203E1903"/>
    <w:rsid w:val="20407429"/>
    <w:rsid w:val="204131A1"/>
    <w:rsid w:val="2043516B"/>
    <w:rsid w:val="20450EE3"/>
    <w:rsid w:val="204A7214"/>
    <w:rsid w:val="204C04C4"/>
    <w:rsid w:val="20511636"/>
    <w:rsid w:val="20523600"/>
    <w:rsid w:val="2055202D"/>
    <w:rsid w:val="205E01F7"/>
    <w:rsid w:val="20607ACB"/>
    <w:rsid w:val="206155F1"/>
    <w:rsid w:val="20621A95"/>
    <w:rsid w:val="206550E2"/>
    <w:rsid w:val="20656358"/>
    <w:rsid w:val="20671BE0"/>
    <w:rsid w:val="206C46C2"/>
    <w:rsid w:val="20711CD8"/>
    <w:rsid w:val="20730A5A"/>
    <w:rsid w:val="2076109D"/>
    <w:rsid w:val="20761FAC"/>
    <w:rsid w:val="20765541"/>
    <w:rsid w:val="2078600D"/>
    <w:rsid w:val="20796DDF"/>
    <w:rsid w:val="207E2F60"/>
    <w:rsid w:val="20803CC9"/>
    <w:rsid w:val="20831A0C"/>
    <w:rsid w:val="208512E0"/>
    <w:rsid w:val="20875058"/>
    <w:rsid w:val="20887022"/>
    <w:rsid w:val="20895274"/>
    <w:rsid w:val="208A4B48"/>
    <w:rsid w:val="208C08C0"/>
    <w:rsid w:val="208E4638"/>
    <w:rsid w:val="208F6602"/>
    <w:rsid w:val="209634ED"/>
    <w:rsid w:val="20963CB8"/>
    <w:rsid w:val="2099122F"/>
    <w:rsid w:val="209E05F3"/>
    <w:rsid w:val="20A0436C"/>
    <w:rsid w:val="20A0611A"/>
    <w:rsid w:val="20A200E4"/>
    <w:rsid w:val="20A21E92"/>
    <w:rsid w:val="20A57BD4"/>
    <w:rsid w:val="20A7394C"/>
    <w:rsid w:val="20A774A8"/>
    <w:rsid w:val="20A81A1B"/>
    <w:rsid w:val="20A94E3B"/>
    <w:rsid w:val="20AE1CFD"/>
    <w:rsid w:val="20AE4CDA"/>
    <w:rsid w:val="20B07FB6"/>
    <w:rsid w:val="20B16579"/>
    <w:rsid w:val="20B322F1"/>
    <w:rsid w:val="20B42736"/>
    <w:rsid w:val="20B646FB"/>
    <w:rsid w:val="20BA5DC0"/>
    <w:rsid w:val="20C5482B"/>
    <w:rsid w:val="20C64363"/>
    <w:rsid w:val="20C757F3"/>
    <w:rsid w:val="20C75D9C"/>
    <w:rsid w:val="20C91B14"/>
    <w:rsid w:val="20C938C2"/>
    <w:rsid w:val="20CC33B3"/>
    <w:rsid w:val="20CC5161"/>
    <w:rsid w:val="20D04DDA"/>
    <w:rsid w:val="20D34741"/>
    <w:rsid w:val="20D44015"/>
    <w:rsid w:val="20D67D8D"/>
    <w:rsid w:val="20D9162C"/>
    <w:rsid w:val="20DB1848"/>
    <w:rsid w:val="20DC0077"/>
    <w:rsid w:val="20DD25EA"/>
    <w:rsid w:val="20E406FC"/>
    <w:rsid w:val="20E701EC"/>
    <w:rsid w:val="20E8307A"/>
    <w:rsid w:val="20E95D13"/>
    <w:rsid w:val="20E97AC1"/>
    <w:rsid w:val="20EE50D7"/>
    <w:rsid w:val="20F12E19"/>
    <w:rsid w:val="20F36B91"/>
    <w:rsid w:val="20F6042F"/>
    <w:rsid w:val="20F621DE"/>
    <w:rsid w:val="20F660E3"/>
    <w:rsid w:val="20F90682"/>
    <w:rsid w:val="20F91DC3"/>
    <w:rsid w:val="20FF1092"/>
    <w:rsid w:val="2100305C"/>
    <w:rsid w:val="21042B4C"/>
    <w:rsid w:val="210466A8"/>
    <w:rsid w:val="21050366"/>
    <w:rsid w:val="21052421"/>
    <w:rsid w:val="21090163"/>
    <w:rsid w:val="210B3EDB"/>
    <w:rsid w:val="210B52D2"/>
    <w:rsid w:val="210C7C53"/>
    <w:rsid w:val="210E20A1"/>
    <w:rsid w:val="211508B6"/>
    <w:rsid w:val="211A411E"/>
    <w:rsid w:val="211B1C44"/>
    <w:rsid w:val="211D59BC"/>
    <w:rsid w:val="211F1DE5"/>
    <w:rsid w:val="211F7986"/>
    <w:rsid w:val="2120725A"/>
    <w:rsid w:val="21221225"/>
    <w:rsid w:val="21240AF9"/>
    <w:rsid w:val="212432DF"/>
    <w:rsid w:val="212705E9"/>
    <w:rsid w:val="2127683B"/>
    <w:rsid w:val="21283337"/>
    <w:rsid w:val="212862D1"/>
    <w:rsid w:val="2129610F"/>
    <w:rsid w:val="212B632B"/>
    <w:rsid w:val="212D5020"/>
    <w:rsid w:val="212E5E1B"/>
    <w:rsid w:val="213845A4"/>
    <w:rsid w:val="213B4094"/>
    <w:rsid w:val="213B74B1"/>
    <w:rsid w:val="213D1BBA"/>
    <w:rsid w:val="213F1DD6"/>
    <w:rsid w:val="213F3B84"/>
    <w:rsid w:val="21410299"/>
    <w:rsid w:val="2144119B"/>
    <w:rsid w:val="214473ED"/>
    <w:rsid w:val="21466CC1"/>
    <w:rsid w:val="214B19AF"/>
    <w:rsid w:val="215313DE"/>
    <w:rsid w:val="21537630"/>
    <w:rsid w:val="2158109D"/>
    <w:rsid w:val="21584C46"/>
    <w:rsid w:val="215869F4"/>
    <w:rsid w:val="215A09BE"/>
    <w:rsid w:val="215A2310"/>
    <w:rsid w:val="215A77B7"/>
    <w:rsid w:val="215D400B"/>
    <w:rsid w:val="215F4227"/>
    <w:rsid w:val="21635AC5"/>
    <w:rsid w:val="2164183D"/>
    <w:rsid w:val="2167118E"/>
    <w:rsid w:val="21672D33"/>
    <w:rsid w:val="2169341D"/>
    <w:rsid w:val="216B497A"/>
    <w:rsid w:val="217557F8"/>
    <w:rsid w:val="21771570"/>
    <w:rsid w:val="217B7008"/>
    <w:rsid w:val="217E28FF"/>
    <w:rsid w:val="217F0425"/>
    <w:rsid w:val="217F21D3"/>
    <w:rsid w:val="21817CF9"/>
    <w:rsid w:val="218477E9"/>
    <w:rsid w:val="21871088"/>
    <w:rsid w:val="218912A4"/>
    <w:rsid w:val="21894E00"/>
    <w:rsid w:val="218C669E"/>
    <w:rsid w:val="218D2B42"/>
    <w:rsid w:val="218E2416"/>
    <w:rsid w:val="2190618E"/>
    <w:rsid w:val="21920158"/>
    <w:rsid w:val="219519F6"/>
    <w:rsid w:val="219A0E50"/>
    <w:rsid w:val="219A525F"/>
    <w:rsid w:val="219D08AB"/>
    <w:rsid w:val="219E6AFD"/>
    <w:rsid w:val="219F2875"/>
    <w:rsid w:val="219F4623"/>
    <w:rsid w:val="21A460DD"/>
    <w:rsid w:val="21A734D8"/>
    <w:rsid w:val="21AB746C"/>
    <w:rsid w:val="21AD4F92"/>
    <w:rsid w:val="21B93937"/>
    <w:rsid w:val="21BC67D1"/>
    <w:rsid w:val="21BE2CFB"/>
    <w:rsid w:val="21BF4CC5"/>
    <w:rsid w:val="21C1459A"/>
    <w:rsid w:val="21C422DC"/>
    <w:rsid w:val="21C5052E"/>
    <w:rsid w:val="21C60B4A"/>
    <w:rsid w:val="21C85928"/>
    <w:rsid w:val="21CD2F3E"/>
    <w:rsid w:val="21CF4F08"/>
    <w:rsid w:val="21D06ED2"/>
    <w:rsid w:val="21D27FE9"/>
    <w:rsid w:val="21D44D8B"/>
    <w:rsid w:val="21D50045"/>
    <w:rsid w:val="21D841C9"/>
    <w:rsid w:val="21DA0EB4"/>
    <w:rsid w:val="21DE318A"/>
    <w:rsid w:val="21DF2C72"/>
    <w:rsid w:val="21E62252"/>
    <w:rsid w:val="21EA1C0A"/>
    <w:rsid w:val="21EE07BA"/>
    <w:rsid w:val="21EE1107"/>
    <w:rsid w:val="21EE3916"/>
    <w:rsid w:val="21EF5B80"/>
    <w:rsid w:val="21F20BF7"/>
    <w:rsid w:val="21F4671D"/>
    <w:rsid w:val="21F47827"/>
    <w:rsid w:val="21F52495"/>
    <w:rsid w:val="21F66F4C"/>
    <w:rsid w:val="21F7620D"/>
    <w:rsid w:val="21F879CD"/>
    <w:rsid w:val="21F901D7"/>
    <w:rsid w:val="21F9443D"/>
    <w:rsid w:val="21FE759C"/>
    <w:rsid w:val="22056B7C"/>
    <w:rsid w:val="220646A2"/>
    <w:rsid w:val="220953C2"/>
    <w:rsid w:val="220A0AE9"/>
    <w:rsid w:val="220A11E7"/>
    <w:rsid w:val="220A23E4"/>
    <w:rsid w:val="220B1CB9"/>
    <w:rsid w:val="220F17A9"/>
    <w:rsid w:val="220F3557"/>
    <w:rsid w:val="22124DF5"/>
    <w:rsid w:val="22160D89"/>
    <w:rsid w:val="2217240B"/>
    <w:rsid w:val="221729FA"/>
    <w:rsid w:val="221A3B7F"/>
    <w:rsid w:val="221C2390"/>
    <w:rsid w:val="221E19EC"/>
    <w:rsid w:val="221E3E23"/>
    <w:rsid w:val="221F2407"/>
    <w:rsid w:val="221F5568"/>
    <w:rsid w:val="22200A78"/>
    <w:rsid w:val="2222301D"/>
    <w:rsid w:val="22241693"/>
    <w:rsid w:val="22266AF2"/>
    <w:rsid w:val="222774BB"/>
    <w:rsid w:val="2228286B"/>
    <w:rsid w:val="22291DDB"/>
    <w:rsid w:val="222A65E3"/>
    <w:rsid w:val="222C235B"/>
    <w:rsid w:val="222D60D3"/>
    <w:rsid w:val="2230171F"/>
    <w:rsid w:val="22302F27"/>
    <w:rsid w:val="22326947"/>
    <w:rsid w:val="22341ABF"/>
    <w:rsid w:val="22353B2B"/>
    <w:rsid w:val="223631D9"/>
    <w:rsid w:val="22394A78"/>
    <w:rsid w:val="22396826"/>
    <w:rsid w:val="223B07F0"/>
    <w:rsid w:val="223C00C4"/>
    <w:rsid w:val="223E3E3C"/>
    <w:rsid w:val="22400EBD"/>
    <w:rsid w:val="22401962"/>
    <w:rsid w:val="22405E06"/>
    <w:rsid w:val="22420B98"/>
    <w:rsid w:val="22433200"/>
    <w:rsid w:val="2245341D"/>
    <w:rsid w:val="2245430C"/>
    <w:rsid w:val="2245454D"/>
    <w:rsid w:val="22477195"/>
    <w:rsid w:val="22482F0D"/>
    <w:rsid w:val="224F6049"/>
    <w:rsid w:val="22511DC1"/>
    <w:rsid w:val="2252267F"/>
    <w:rsid w:val="2254540E"/>
    <w:rsid w:val="22552F34"/>
    <w:rsid w:val="22576990"/>
    <w:rsid w:val="22596EC8"/>
    <w:rsid w:val="225B679C"/>
    <w:rsid w:val="225E44DE"/>
    <w:rsid w:val="22600256"/>
    <w:rsid w:val="22610ADC"/>
    <w:rsid w:val="226225B1"/>
    <w:rsid w:val="22631AF5"/>
    <w:rsid w:val="2265593E"/>
    <w:rsid w:val="22682C67"/>
    <w:rsid w:val="226A4C31"/>
    <w:rsid w:val="226C09A9"/>
    <w:rsid w:val="226D4721"/>
    <w:rsid w:val="226F3FF6"/>
    <w:rsid w:val="2272087D"/>
    <w:rsid w:val="22721D38"/>
    <w:rsid w:val="22743D02"/>
    <w:rsid w:val="227448C1"/>
    <w:rsid w:val="227855A0"/>
    <w:rsid w:val="227930C6"/>
    <w:rsid w:val="22794E74"/>
    <w:rsid w:val="22803731"/>
    <w:rsid w:val="22833F45"/>
    <w:rsid w:val="22855306"/>
    <w:rsid w:val="22861DA0"/>
    <w:rsid w:val="228710B6"/>
    <w:rsid w:val="22873A35"/>
    <w:rsid w:val="22883309"/>
    <w:rsid w:val="228850B7"/>
    <w:rsid w:val="228A52D3"/>
    <w:rsid w:val="228C2DF9"/>
    <w:rsid w:val="228C4BA7"/>
    <w:rsid w:val="22963C78"/>
    <w:rsid w:val="229677D4"/>
    <w:rsid w:val="229879F0"/>
    <w:rsid w:val="22993768"/>
    <w:rsid w:val="229B128E"/>
    <w:rsid w:val="229B4DEB"/>
    <w:rsid w:val="229C358D"/>
    <w:rsid w:val="229D2DC0"/>
    <w:rsid w:val="22A5210D"/>
    <w:rsid w:val="22A55C69"/>
    <w:rsid w:val="22AA14D2"/>
    <w:rsid w:val="22AC1FCB"/>
    <w:rsid w:val="22AC6FF8"/>
    <w:rsid w:val="22B26EF4"/>
    <w:rsid w:val="22B365D8"/>
    <w:rsid w:val="22B61C24"/>
    <w:rsid w:val="22B81625"/>
    <w:rsid w:val="22BB36DF"/>
    <w:rsid w:val="22BB548D"/>
    <w:rsid w:val="22BF6927"/>
    <w:rsid w:val="22C10084"/>
    <w:rsid w:val="22C24A6D"/>
    <w:rsid w:val="22C753B4"/>
    <w:rsid w:val="22C75BE0"/>
    <w:rsid w:val="22C97BAA"/>
    <w:rsid w:val="22CA3922"/>
    <w:rsid w:val="22CA56D0"/>
    <w:rsid w:val="22CC1448"/>
    <w:rsid w:val="22CC58EC"/>
    <w:rsid w:val="22CE3412"/>
    <w:rsid w:val="22CF3E3C"/>
    <w:rsid w:val="22D12F02"/>
    <w:rsid w:val="22D14CB0"/>
    <w:rsid w:val="22D16A5E"/>
    <w:rsid w:val="22D36C7A"/>
    <w:rsid w:val="22D8603F"/>
    <w:rsid w:val="22D95913"/>
    <w:rsid w:val="22DD3655"/>
    <w:rsid w:val="22E20C6B"/>
    <w:rsid w:val="22E4624E"/>
    <w:rsid w:val="22E51D82"/>
    <w:rsid w:val="22E52653"/>
    <w:rsid w:val="22E76282"/>
    <w:rsid w:val="22EA7B20"/>
    <w:rsid w:val="22EC5646"/>
    <w:rsid w:val="22F015DA"/>
    <w:rsid w:val="22F10EAE"/>
    <w:rsid w:val="22F32E79"/>
    <w:rsid w:val="22F47480"/>
    <w:rsid w:val="22F504E6"/>
    <w:rsid w:val="22F83FEB"/>
    <w:rsid w:val="22F95FB5"/>
    <w:rsid w:val="22FB1D2D"/>
    <w:rsid w:val="22FB2D4B"/>
    <w:rsid w:val="22FD5AA5"/>
    <w:rsid w:val="23040BE2"/>
    <w:rsid w:val="230865AC"/>
    <w:rsid w:val="230A5C9B"/>
    <w:rsid w:val="230B6414"/>
    <w:rsid w:val="230C5CE8"/>
    <w:rsid w:val="230E380E"/>
    <w:rsid w:val="23103A2A"/>
    <w:rsid w:val="231057D9"/>
    <w:rsid w:val="231132FF"/>
    <w:rsid w:val="2312765E"/>
    <w:rsid w:val="23152DEF"/>
    <w:rsid w:val="231A6657"/>
    <w:rsid w:val="231B417D"/>
    <w:rsid w:val="231C05A6"/>
    <w:rsid w:val="231C3E29"/>
    <w:rsid w:val="231F5A1C"/>
    <w:rsid w:val="232079E6"/>
    <w:rsid w:val="23244DE0"/>
    <w:rsid w:val="232474D6"/>
    <w:rsid w:val="23250B58"/>
    <w:rsid w:val="2325297C"/>
    <w:rsid w:val="23256DAA"/>
    <w:rsid w:val="23270D74"/>
    <w:rsid w:val="232B0864"/>
    <w:rsid w:val="232E2103"/>
    <w:rsid w:val="23307C29"/>
    <w:rsid w:val="233174FD"/>
    <w:rsid w:val="233429F8"/>
    <w:rsid w:val="2335523F"/>
    <w:rsid w:val="23356FED"/>
    <w:rsid w:val="23362D65"/>
    <w:rsid w:val="23375796"/>
    <w:rsid w:val="233D3D5B"/>
    <w:rsid w:val="233E5662"/>
    <w:rsid w:val="23405992"/>
    <w:rsid w:val="2341673D"/>
    <w:rsid w:val="2342795C"/>
    <w:rsid w:val="234611FA"/>
    <w:rsid w:val="234B506B"/>
    <w:rsid w:val="234C2589"/>
    <w:rsid w:val="234F5BD5"/>
    <w:rsid w:val="23503E27"/>
    <w:rsid w:val="23530B52"/>
    <w:rsid w:val="23531B69"/>
    <w:rsid w:val="23533917"/>
    <w:rsid w:val="23563407"/>
    <w:rsid w:val="23566F63"/>
    <w:rsid w:val="235671DF"/>
    <w:rsid w:val="23580F2E"/>
    <w:rsid w:val="235978A2"/>
    <w:rsid w:val="235C0A1E"/>
    <w:rsid w:val="23627FFE"/>
    <w:rsid w:val="23630647"/>
    <w:rsid w:val="23641680"/>
    <w:rsid w:val="23671082"/>
    <w:rsid w:val="23675615"/>
    <w:rsid w:val="236773C3"/>
    <w:rsid w:val="2369138D"/>
    <w:rsid w:val="2369313B"/>
    <w:rsid w:val="236B0C61"/>
    <w:rsid w:val="236E24FF"/>
    <w:rsid w:val="237044C9"/>
    <w:rsid w:val="23735D67"/>
    <w:rsid w:val="2378512C"/>
    <w:rsid w:val="237A41C3"/>
    <w:rsid w:val="237B69CA"/>
    <w:rsid w:val="237C10C0"/>
    <w:rsid w:val="237C661D"/>
    <w:rsid w:val="237E6898"/>
    <w:rsid w:val="238241FC"/>
    <w:rsid w:val="238A445D"/>
    <w:rsid w:val="238C519F"/>
    <w:rsid w:val="238E0DF3"/>
    <w:rsid w:val="23906919"/>
    <w:rsid w:val="23953F30"/>
    <w:rsid w:val="23955CDE"/>
    <w:rsid w:val="23977CA8"/>
    <w:rsid w:val="239A32F4"/>
    <w:rsid w:val="239B2179"/>
    <w:rsid w:val="239B4777"/>
    <w:rsid w:val="239F3732"/>
    <w:rsid w:val="23A203FB"/>
    <w:rsid w:val="23A27905"/>
    <w:rsid w:val="23A3664D"/>
    <w:rsid w:val="23A423C5"/>
    <w:rsid w:val="23A5529E"/>
    <w:rsid w:val="23A61C99"/>
    <w:rsid w:val="23A67EEB"/>
    <w:rsid w:val="23A75A11"/>
    <w:rsid w:val="23A777BF"/>
    <w:rsid w:val="23A81EB5"/>
    <w:rsid w:val="23A979DB"/>
    <w:rsid w:val="23AB3753"/>
    <w:rsid w:val="23AD74CB"/>
    <w:rsid w:val="23AE6D9F"/>
    <w:rsid w:val="23B048C6"/>
    <w:rsid w:val="23B95E70"/>
    <w:rsid w:val="23BC14BC"/>
    <w:rsid w:val="23BD5497"/>
    <w:rsid w:val="23BF2D5B"/>
    <w:rsid w:val="23C15E1B"/>
    <w:rsid w:val="23C30A9D"/>
    <w:rsid w:val="23C34866"/>
    <w:rsid w:val="23C40371"/>
    <w:rsid w:val="23C465C3"/>
    <w:rsid w:val="23C47D7D"/>
    <w:rsid w:val="23C71C0F"/>
    <w:rsid w:val="23C91E2B"/>
    <w:rsid w:val="23C93BD9"/>
    <w:rsid w:val="23CB16FF"/>
    <w:rsid w:val="23CB5BA3"/>
    <w:rsid w:val="23CE076C"/>
    <w:rsid w:val="23CE11F0"/>
    <w:rsid w:val="23D20CE0"/>
    <w:rsid w:val="23D507D0"/>
    <w:rsid w:val="23D5257E"/>
    <w:rsid w:val="23DA5DE6"/>
    <w:rsid w:val="23DD1433"/>
    <w:rsid w:val="23DD32F6"/>
    <w:rsid w:val="23DE1C48"/>
    <w:rsid w:val="23DE2A6A"/>
    <w:rsid w:val="23DF51AB"/>
    <w:rsid w:val="23E24451"/>
    <w:rsid w:val="23E34C9B"/>
    <w:rsid w:val="23E40A13"/>
    <w:rsid w:val="23E822B1"/>
    <w:rsid w:val="23EC5247"/>
    <w:rsid w:val="23ED3D6C"/>
    <w:rsid w:val="23ED5B1A"/>
    <w:rsid w:val="23ED6BF0"/>
    <w:rsid w:val="23ED78C8"/>
    <w:rsid w:val="23EE5289"/>
    <w:rsid w:val="23EF1892"/>
    <w:rsid w:val="23F24EDE"/>
    <w:rsid w:val="23F32A04"/>
    <w:rsid w:val="23F46EA8"/>
    <w:rsid w:val="23F91733"/>
    <w:rsid w:val="23F92711"/>
    <w:rsid w:val="23FE1AD5"/>
    <w:rsid w:val="23FF584D"/>
    <w:rsid w:val="24013373"/>
    <w:rsid w:val="240210CD"/>
    <w:rsid w:val="2403533D"/>
    <w:rsid w:val="24042E63"/>
    <w:rsid w:val="240D3AC6"/>
    <w:rsid w:val="240D4A99"/>
    <w:rsid w:val="241035B6"/>
    <w:rsid w:val="24174945"/>
    <w:rsid w:val="242236D7"/>
    <w:rsid w:val="2426102C"/>
    <w:rsid w:val="24297F60"/>
    <w:rsid w:val="242B219E"/>
    <w:rsid w:val="242B4894"/>
    <w:rsid w:val="242D23BA"/>
    <w:rsid w:val="242D5F16"/>
    <w:rsid w:val="242F6132"/>
    <w:rsid w:val="24303C58"/>
    <w:rsid w:val="2432352D"/>
    <w:rsid w:val="243472A5"/>
    <w:rsid w:val="2436394C"/>
    <w:rsid w:val="243C43AB"/>
    <w:rsid w:val="243E0123"/>
    <w:rsid w:val="243F5C4A"/>
    <w:rsid w:val="244119C2"/>
    <w:rsid w:val="24417C14"/>
    <w:rsid w:val="24431BDE"/>
    <w:rsid w:val="24443260"/>
    <w:rsid w:val="244B2840"/>
    <w:rsid w:val="244B45EE"/>
    <w:rsid w:val="244F484B"/>
    <w:rsid w:val="24521E21"/>
    <w:rsid w:val="245416F5"/>
    <w:rsid w:val="24545B99"/>
    <w:rsid w:val="245931AF"/>
    <w:rsid w:val="245A2A83"/>
    <w:rsid w:val="245B0CD5"/>
    <w:rsid w:val="245B6F27"/>
    <w:rsid w:val="245C67FB"/>
    <w:rsid w:val="246062EC"/>
    <w:rsid w:val="246B4C91"/>
    <w:rsid w:val="24704055"/>
    <w:rsid w:val="24727DCD"/>
    <w:rsid w:val="24747FE9"/>
    <w:rsid w:val="24790E1C"/>
    <w:rsid w:val="247A4BEB"/>
    <w:rsid w:val="247C6E9E"/>
    <w:rsid w:val="247D50F0"/>
    <w:rsid w:val="2483022C"/>
    <w:rsid w:val="248302F9"/>
    <w:rsid w:val="2483647E"/>
    <w:rsid w:val="24853FA4"/>
    <w:rsid w:val="24855D52"/>
    <w:rsid w:val="248F6BD1"/>
    <w:rsid w:val="2492046F"/>
    <w:rsid w:val="2492221D"/>
    <w:rsid w:val="24925CBD"/>
    <w:rsid w:val="2496247C"/>
    <w:rsid w:val="249661B1"/>
    <w:rsid w:val="249917FE"/>
    <w:rsid w:val="249935AC"/>
    <w:rsid w:val="249B7324"/>
    <w:rsid w:val="249E6AF6"/>
    <w:rsid w:val="249F7859"/>
    <w:rsid w:val="24A00DDE"/>
    <w:rsid w:val="24A02B8C"/>
    <w:rsid w:val="24A24B56"/>
    <w:rsid w:val="24A3267C"/>
    <w:rsid w:val="24A563F4"/>
    <w:rsid w:val="24A94248"/>
    <w:rsid w:val="24AA7567"/>
    <w:rsid w:val="24AB32DF"/>
    <w:rsid w:val="24AC1531"/>
    <w:rsid w:val="24AD3DD7"/>
    <w:rsid w:val="24AD52A9"/>
    <w:rsid w:val="24B108F5"/>
    <w:rsid w:val="24B623B0"/>
    <w:rsid w:val="24B85FE4"/>
    <w:rsid w:val="24BA63DB"/>
    <w:rsid w:val="24BC54EC"/>
    <w:rsid w:val="24BC729A"/>
    <w:rsid w:val="24BD373E"/>
    <w:rsid w:val="24BF09F7"/>
    <w:rsid w:val="24C06D8A"/>
    <w:rsid w:val="24C148B0"/>
    <w:rsid w:val="24C3440A"/>
    <w:rsid w:val="24C60977"/>
    <w:rsid w:val="24C7636B"/>
    <w:rsid w:val="24C85C3F"/>
    <w:rsid w:val="24CD5002"/>
    <w:rsid w:val="24CE594B"/>
    <w:rsid w:val="24CF6FCD"/>
    <w:rsid w:val="24D12D46"/>
    <w:rsid w:val="24D171E9"/>
    <w:rsid w:val="24D32F62"/>
    <w:rsid w:val="24D64800"/>
    <w:rsid w:val="24D82326"/>
    <w:rsid w:val="24D967B9"/>
    <w:rsid w:val="24DB1E16"/>
    <w:rsid w:val="24DD5B8E"/>
    <w:rsid w:val="24DD793C"/>
    <w:rsid w:val="24DE1906"/>
    <w:rsid w:val="24E46F1D"/>
    <w:rsid w:val="24E8008F"/>
    <w:rsid w:val="24E84DAB"/>
    <w:rsid w:val="24EA11A8"/>
    <w:rsid w:val="24EC5DD1"/>
    <w:rsid w:val="24ED38F7"/>
    <w:rsid w:val="24EE3D24"/>
    <w:rsid w:val="24F1010E"/>
    <w:rsid w:val="24F15196"/>
    <w:rsid w:val="24F5112A"/>
    <w:rsid w:val="24F536AF"/>
    <w:rsid w:val="24F66C50"/>
    <w:rsid w:val="24FA7692"/>
    <w:rsid w:val="24FB7DC2"/>
    <w:rsid w:val="24FF2C56"/>
    <w:rsid w:val="25007ACF"/>
    <w:rsid w:val="25021151"/>
    <w:rsid w:val="250273A3"/>
    <w:rsid w:val="25042DA2"/>
    <w:rsid w:val="2505174B"/>
    <w:rsid w:val="250824DF"/>
    <w:rsid w:val="25112FDF"/>
    <w:rsid w:val="25132A7F"/>
    <w:rsid w:val="25180974"/>
    <w:rsid w:val="251D41DD"/>
    <w:rsid w:val="251F61A7"/>
    <w:rsid w:val="25292B82"/>
    <w:rsid w:val="252A68FA"/>
    <w:rsid w:val="252D53FE"/>
    <w:rsid w:val="25324DCD"/>
    <w:rsid w:val="25341526"/>
    <w:rsid w:val="253634F0"/>
    <w:rsid w:val="253D662D"/>
    <w:rsid w:val="253F23A5"/>
    <w:rsid w:val="25440C67"/>
    <w:rsid w:val="25453733"/>
    <w:rsid w:val="254A4580"/>
    <w:rsid w:val="254C061E"/>
    <w:rsid w:val="254C2D14"/>
    <w:rsid w:val="2551263E"/>
    <w:rsid w:val="25537BFE"/>
    <w:rsid w:val="25545725"/>
    <w:rsid w:val="25551BC9"/>
    <w:rsid w:val="25552D38"/>
    <w:rsid w:val="2556149D"/>
    <w:rsid w:val="255A0F8D"/>
    <w:rsid w:val="256040C9"/>
    <w:rsid w:val="2561056D"/>
    <w:rsid w:val="25626093"/>
    <w:rsid w:val="25652A69"/>
    <w:rsid w:val="25663CBD"/>
    <w:rsid w:val="2566688E"/>
    <w:rsid w:val="256A4F48"/>
    <w:rsid w:val="256E2C8A"/>
    <w:rsid w:val="257007B0"/>
    <w:rsid w:val="25714529"/>
    <w:rsid w:val="257302A1"/>
    <w:rsid w:val="25761B3F"/>
    <w:rsid w:val="257638ED"/>
    <w:rsid w:val="25781413"/>
    <w:rsid w:val="257A162F"/>
    <w:rsid w:val="257B0F03"/>
    <w:rsid w:val="257B7624"/>
    <w:rsid w:val="257D111F"/>
    <w:rsid w:val="257D2ECD"/>
    <w:rsid w:val="257E230E"/>
    <w:rsid w:val="257E2C1B"/>
    <w:rsid w:val="257F6C45"/>
    <w:rsid w:val="2580476C"/>
    <w:rsid w:val="258129BE"/>
    <w:rsid w:val="25823163"/>
    <w:rsid w:val="2584600A"/>
    <w:rsid w:val="25856273"/>
    <w:rsid w:val="25873D4C"/>
    <w:rsid w:val="258904E7"/>
    <w:rsid w:val="25891872"/>
    <w:rsid w:val="25893620"/>
    <w:rsid w:val="258B55EA"/>
    <w:rsid w:val="258E50DA"/>
    <w:rsid w:val="25900E53"/>
    <w:rsid w:val="259124D5"/>
    <w:rsid w:val="25916979"/>
    <w:rsid w:val="2593449F"/>
    <w:rsid w:val="25983863"/>
    <w:rsid w:val="259D7DED"/>
    <w:rsid w:val="25A14E0E"/>
    <w:rsid w:val="25A20B86"/>
    <w:rsid w:val="25A42208"/>
    <w:rsid w:val="25A91F14"/>
    <w:rsid w:val="25A93CC2"/>
    <w:rsid w:val="25AB17E9"/>
    <w:rsid w:val="25AB7A3A"/>
    <w:rsid w:val="25AF2202"/>
    <w:rsid w:val="25B032A3"/>
    <w:rsid w:val="25B05051"/>
    <w:rsid w:val="25B14925"/>
    <w:rsid w:val="25B52667"/>
    <w:rsid w:val="25B54415"/>
    <w:rsid w:val="25B85CB3"/>
    <w:rsid w:val="25BA5ED0"/>
    <w:rsid w:val="25BD776E"/>
    <w:rsid w:val="25BF5294"/>
    <w:rsid w:val="25C14A25"/>
    <w:rsid w:val="25C24D84"/>
    <w:rsid w:val="25C26B32"/>
    <w:rsid w:val="25C44658"/>
    <w:rsid w:val="25C64874"/>
    <w:rsid w:val="25C7239A"/>
    <w:rsid w:val="25CB1E8B"/>
    <w:rsid w:val="25CC175F"/>
    <w:rsid w:val="25CC1CE4"/>
    <w:rsid w:val="25D1132C"/>
    <w:rsid w:val="25D725DE"/>
    <w:rsid w:val="25D83FDE"/>
    <w:rsid w:val="25DB004C"/>
    <w:rsid w:val="25DD15C5"/>
    <w:rsid w:val="25DE142E"/>
    <w:rsid w:val="25DF5936"/>
    <w:rsid w:val="25E371D4"/>
    <w:rsid w:val="25E62821"/>
    <w:rsid w:val="25E82A3D"/>
    <w:rsid w:val="25E923FE"/>
    <w:rsid w:val="25EC2D81"/>
    <w:rsid w:val="25EE7927"/>
    <w:rsid w:val="25F018F1"/>
    <w:rsid w:val="25F07D6A"/>
    <w:rsid w:val="25F34F3E"/>
    <w:rsid w:val="25F74A2E"/>
    <w:rsid w:val="25F807A6"/>
    <w:rsid w:val="25F85512"/>
    <w:rsid w:val="25FC2044"/>
    <w:rsid w:val="25FD7B6A"/>
    <w:rsid w:val="25FF7189"/>
    <w:rsid w:val="26011C99"/>
    <w:rsid w:val="26064C71"/>
    <w:rsid w:val="2607571E"/>
    <w:rsid w:val="2609650F"/>
    <w:rsid w:val="260A59DD"/>
    <w:rsid w:val="260D4251"/>
    <w:rsid w:val="260F5480"/>
    <w:rsid w:val="26103D41"/>
    <w:rsid w:val="2610789E"/>
    <w:rsid w:val="26121868"/>
    <w:rsid w:val="26141E39"/>
    <w:rsid w:val="26164DFC"/>
    <w:rsid w:val="26170C2C"/>
    <w:rsid w:val="261A4BC0"/>
    <w:rsid w:val="261B75E1"/>
    <w:rsid w:val="261C6242"/>
    <w:rsid w:val="261F21D6"/>
    <w:rsid w:val="26213859"/>
    <w:rsid w:val="26296BB1"/>
    <w:rsid w:val="262D48F3"/>
    <w:rsid w:val="262E5F76"/>
    <w:rsid w:val="262E6060"/>
    <w:rsid w:val="26301CEE"/>
    <w:rsid w:val="26307BB3"/>
    <w:rsid w:val="26327B15"/>
    <w:rsid w:val="26345C82"/>
    <w:rsid w:val="263537A8"/>
    <w:rsid w:val="26355556"/>
    <w:rsid w:val="26377520"/>
    <w:rsid w:val="2638731A"/>
    <w:rsid w:val="26395046"/>
    <w:rsid w:val="263F63D5"/>
    <w:rsid w:val="26451C3D"/>
    <w:rsid w:val="26491B0F"/>
    <w:rsid w:val="264B2FCC"/>
    <w:rsid w:val="264D28A0"/>
    <w:rsid w:val="265005E2"/>
    <w:rsid w:val="26526108"/>
    <w:rsid w:val="26532DE9"/>
    <w:rsid w:val="26541209"/>
    <w:rsid w:val="26541E80"/>
    <w:rsid w:val="26551BE3"/>
    <w:rsid w:val="265947CC"/>
    <w:rsid w:val="26597496"/>
    <w:rsid w:val="265C2AE3"/>
    <w:rsid w:val="265C6F87"/>
    <w:rsid w:val="265E56B7"/>
    <w:rsid w:val="26600825"/>
    <w:rsid w:val="2661459D"/>
    <w:rsid w:val="2661634B"/>
    <w:rsid w:val="26633A17"/>
    <w:rsid w:val="26644CF8"/>
    <w:rsid w:val="2665408D"/>
    <w:rsid w:val="26655E3B"/>
    <w:rsid w:val="26663961"/>
    <w:rsid w:val="2666570F"/>
    <w:rsid w:val="26681488"/>
    <w:rsid w:val="26695200"/>
    <w:rsid w:val="267047E0"/>
    <w:rsid w:val="26751DF6"/>
    <w:rsid w:val="2677791D"/>
    <w:rsid w:val="267872ED"/>
    <w:rsid w:val="267918E7"/>
    <w:rsid w:val="267A7C2D"/>
    <w:rsid w:val="267B523A"/>
    <w:rsid w:val="268121BE"/>
    <w:rsid w:val="26855C00"/>
    <w:rsid w:val="26870C67"/>
    <w:rsid w:val="2687496B"/>
    <w:rsid w:val="26886044"/>
    <w:rsid w:val="26887D7C"/>
    <w:rsid w:val="268A7650"/>
    <w:rsid w:val="268C786C"/>
    <w:rsid w:val="268E5543"/>
    <w:rsid w:val="268F4C66"/>
    <w:rsid w:val="26924756"/>
    <w:rsid w:val="26972C36"/>
    <w:rsid w:val="269B185D"/>
    <w:rsid w:val="269B4493"/>
    <w:rsid w:val="269C55D5"/>
    <w:rsid w:val="269C7383"/>
    <w:rsid w:val="269E30FB"/>
    <w:rsid w:val="269E759F"/>
    <w:rsid w:val="269F0C21"/>
    <w:rsid w:val="26A050C5"/>
    <w:rsid w:val="26A526DC"/>
    <w:rsid w:val="26A56238"/>
    <w:rsid w:val="26A6525E"/>
    <w:rsid w:val="26AA327D"/>
    <w:rsid w:val="26B15C64"/>
    <w:rsid w:val="26B40B71"/>
    <w:rsid w:val="26B4291F"/>
    <w:rsid w:val="26B446CD"/>
    <w:rsid w:val="26B56FF9"/>
    <w:rsid w:val="26B648E9"/>
    <w:rsid w:val="26B7240F"/>
    <w:rsid w:val="26B77320"/>
    <w:rsid w:val="26B91CE3"/>
    <w:rsid w:val="26BA5CA1"/>
    <w:rsid w:val="26BE19EF"/>
    <w:rsid w:val="26BE379D"/>
    <w:rsid w:val="26C37006"/>
    <w:rsid w:val="26C81735"/>
    <w:rsid w:val="26C863CA"/>
    <w:rsid w:val="26CA0394"/>
    <w:rsid w:val="26CB1A16"/>
    <w:rsid w:val="26D20A42"/>
    <w:rsid w:val="26D46B1D"/>
    <w:rsid w:val="26D60AE7"/>
    <w:rsid w:val="26D66D39"/>
    <w:rsid w:val="26DB38D0"/>
    <w:rsid w:val="26DB434F"/>
    <w:rsid w:val="26DB60FD"/>
    <w:rsid w:val="26DB7EAB"/>
    <w:rsid w:val="26DC2275"/>
    <w:rsid w:val="26DC3C24"/>
    <w:rsid w:val="26DD00C8"/>
    <w:rsid w:val="26DD7622"/>
    <w:rsid w:val="26DF395B"/>
    <w:rsid w:val="26E256DE"/>
    <w:rsid w:val="26E4675D"/>
    <w:rsid w:val="26E56F7C"/>
    <w:rsid w:val="26E72CF4"/>
    <w:rsid w:val="26E825C8"/>
    <w:rsid w:val="26ED63B0"/>
    <w:rsid w:val="26F234F5"/>
    <w:rsid w:val="26F251F5"/>
    <w:rsid w:val="26F45411"/>
    <w:rsid w:val="26F62F37"/>
    <w:rsid w:val="26F92A28"/>
    <w:rsid w:val="26FB67A0"/>
    <w:rsid w:val="26FC44F7"/>
    <w:rsid w:val="26FD1886"/>
    <w:rsid w:val="26FE003E"/>
    <w:rsid w:val="27007912"/>
    <w:rsid w:val="27027B2E"/>
    <w:rsid w:val="27070CA1"/>
    <w:rsid w:val="27075144"/>
    <w:rsid w:val="27084A19"/>
    <w:rsid w:val="270A69E3"/>
    <w:rsid w:val="270C275B"/>
    <w:rsid w:val="270F224B"/>
    <w:rsid w:val="27117D71"/>
    <w:rsid w:val="27127645"/>
    <w:rsid w:val="27133AE9"/>
    <w:rsid w:val="2714160F"/>
    <w:rsid w:val="27143CDB"/>
    <w:rsid w:val="27160EE4"/>
    <w:rsid w:val="27182EAE"/>
    <w:rsid w:val="271B246D"/>
    <w:rsid w:val="271D6716"/>
    <w:rsid w:val="271E423C"/>
    <w:rsid w:val="27201D62"/>
    <w:rsid w:val="27220C9E"/>
    <w:rsid w:val="27221F7E"/>
    <w:rsid w:val="272F6449"/>
    <w:rsid w:val="27314692"/>
    <w:rsid w:val="27337CE7"/>
    <w:rsid w:val="273B6B9C"/>
    <w:rsid w:val="273C35D0"/>
    <w:rsid w:val="273E668C"/>
    <w:rsid w:val="273F788F"/>
    <w:rsid w:val="27441678"/>
    <w:rsid w:val="274517C9"/>
    <w:rsid w:val="274719E5"/>
    <w:rsid w:val="2749750B"/>
    <w:rsid w:val="2753038A"/>
    <w:rsid w:val="27532138"/>
    <w:rsid w:val="27547C5E"/>
    <w:rsid w:val="27554102"/>
    <w:rsid w:val="275605B1"/>
    <w:rsid w:val="27577DD5"/>
    <w:rsid w:val="27595274"/>
    <w:rsid w:val="27606603"/>
    <w:rsid w:val="2762237B"/>
    <w:rsid w:val="27623589"/>
    <w:rsid w:val="2767173F"/>
    <w:rsid w:val="276854B7"/>
    <w:rsid w:val="276C5395"/>
    <w:rsid w:val="276E0D20"/>
    <w:rsid w:val="276E51C4"/>
    <w:rsid w:val="277057A2"/>
    <w:rsid w:val="27716A62"/>
    <w:rsid w:val="277450D6"/>
    <w:rsid w:val="27765E26"/>
    <w:rsid w:val="277B343D"/>
    <w:rsid w:val="277D5407"/>
    <w:rsid w:val="277F117F"/>
    <w:rsid w:val="277F4CDB"/>
    <w:rsid w:val="27806CA5"/>
    <w:rsid w:val="27846795"/>
    <w:rsid w:val="27863FFC"/>
    <w:rsid w:val="27870033"/>
    <w:rsid w:val="27897907"/>
    <w:rsid w:val="278A2E81"/>
    <w:rsid w:val="278A3680"/>
    <w:rsid w:val="278C73F8"/>
    <w:rsid w:val="278D58F1"/>
    <w:rsid w:val="27906EE8"/>
    <w:rsid w:val="27910EB2"/>
    <w:rsid w:val="27982240"/>
    <w:rsid w:val="279D1605"/>
    <w:rsid w:val="279F712B"/>
    <w:rsid w:val="27A04C51"/>
    <w:rsid w:val="27A13190"/>
    <w:rsid w:val="27A26C1B"/>
    <w:rsid w:val="27AB1F74"/>
    <w:rsid w:val="27AB752D"/>
    <w:rsid w:val="27AC5CEC"/>
    <w:rsid w:val="27AE55C0"/>
    <w:rsid w:val="27BC5F2F"/>
    <w:rsid w:val="27BF5A1F"/>
    <w:rsid w:val="27C22E19"/>
    <w:rsid w:val="27C272BD"/>
    <w:rsid w:val="27C546B8"/>
    <w:rsid w:val="27C748D4"/>
    <w:rsid w:val="27C941A8"/>
    <w:rsid w:val="27CC1EEA"/>
    <w:rsid w:val="27CC3C98"/>
    <w:rsid w:val="27CC5901"/>
    <w:rsid w:val="27CD4673"/>
    <w:rsid w:val="27CE7A10"/>
    <w:rsid w:val="27D35027"/>
    <w:rsid w:val="27D43A83"/>
    <w:rsid w:val="27D50D9F"/>
    <w:rsid w:val="27D668C5"/>
    <w:rsid w:val="27D843EB"/>
    <w:rsid w:val="27DA0163"/>
    <w:rsid w:val="27DA59F1"/>
    <w:rsid w:val="27DB3EDB"/>
    <w:rsid w:val="27DD40F7"/>
    <w:rsid w:val="27DF1C1D"/>
    <w:rsid w:val="27DF5779"/>
    <w:rsid w:val="27E169B1"/>
    <w:rsid w:val="27E9484A"/>
    <w:rsid w:val="27EE1E60"/>
    <w:rsid w:val="27EF069B"/>
    <w:rsid w:val="27F21951"/>
    <w:rsid w:val="27F33C7F"/>
    <w:rsid w:val="27FA0805"/>
    <w:rsid w:val="27FC27CF"/>
    <w:rsid w:val="27FC3A2D"/>
    <w:rsid w:val="27FE6547"/>
    <w:rsid w:val="28017DE6"/>
    <w:rsid w:val="28033B5E"/>
    <w:rsid w:val="28041684"/>
    <w:rsid w:val="280451E0"/>
    <w:rsid w:val="280671AA"/>
    <w:rsid w:val="28072F22"/>
    <w:rsid w:val="28074CD0"/>
    <w:rsid w:val="28094EEC"/>
    <w:rsid w:val="280B2A12"/>
    <w:rsid w:val="280D24E3"/>
    <w:rsid w:val="280E2503"/>
    <w:rsid w:val="281052CC"/>
    <w:rsid w:val="281178FD"/>
    <w:rsid w:val="281318C7"/>
    <w:rsid w:val="28152353"/>
    <w:rsid w:val="28153891"/>
    <w:rsid w:val="281C077C"/>
    <w:rsid w:val="281E2746"/>
    <w:rsid w:val="28215D92"/>
    <w:rsid w:val="28247630"/>
    <w:rsid w:val="28277120"/>
    <w:rsid w:val="282835C4"/>
    <w:rsid w:val="282D0BDB"/>
    <w:rsid w:val="282D6EFC"/>
    <w:rsid w:val="282E04AF"/>
    <w:rsid w:val="282E6701"/>
    <w:rsid w:val="28304227"/>
    <w:rsid w:val="2835183D"/>
    <w:rsid w:val="28357A8F"/>
    <w:rsid w:val="28397580"/>
    <w:rsid w:val="283B73C3"/>
    <w:rsid w:val="283D06F2"/>
    <w:rsid w:val="28416802"/>
    <w:rsid w:val="28463A4A"/>
    <w:rsid w:val="284B1061"/>
    <w:rsid w:val="284C3915"/>
    <w:rsid w:val="284D6B87"/>
    <w:rsid w:val="285443B9"/>
    <w:rsid w:val="28550131"/>
    <w:rsid w:val="2859377E"/>
    <w:rsid w:val="285B1CD7"/>
    <w:rsid w:val="286027CC"/>
    <w:rsid w:val="28610884"/>
    <w:rsid w:val="286363AA"/>
    <w:rsid w:val="286B1BB5"/>
    <w:rsid w:val="286C5AD0"/>
    <w:rsid w:val="2879797C"/>
    <w:rsid w:val="287A13B2"/>
    <w:rsid w:val="287D3E84"/>
    <w:rsid w:val="28802805"/>
    <w:rsid w:val="28831186"/>
    <w:rsid w:val="28837103"/>
    <w:rsid w:val="288527C5"/>
    <w:rsid w:val="28896A8E"/>
    <w:rsid w:val="288A1B89"/>
    <w:rsid w:val="288B76AF"/>
    <w:rsid w:val="288F0CA1"/>
    <w:rsid w:val="288F53F1"/>
    <w:rsid w:val="28942A08"/>
    <w:rsid w:val="28956780"/>
    <w:rsid w:val="289742A6"/>
    <w:rsid w:val="289775FC"/>
    <w:rsid w:val="2899001E"/>
    <w:rsid w:val="28991DCC"/>
    <w:rsid w:val="289C18BC"/>
    <w:rsid w:val="28A075FF"/>
    <w:rsid w:val="28A30E9D"/>
    <w:rsid w:val="28A349F9"/>
    <w:rsid w:val="28A8200F"/>
    <w:rsid w:val="28A864B3"/>
    <w:rsid w:val="28A95D87"/>
    <w:rsid w:val="28AB0CB8"/>
    <w:rsid w:val="28AD1821"/>
    <w:rsid w:val="28AF7842"/>
    <w:rsid w:val="28B22E8E"/>
    <w:rsid w:val="28B81505"/>
    <w:rsid w:val="28B906C0"/>
    <w:rsid w:val="28B9421C"/>
    <w:rsid w:val="28BC00F7"/>
    <w:rsid w:val="28BC3D0D"/>
    <w:rsid w:val="28C52BC1"/>
    <w:rsid w:val="28C826B1"/>
    <w:rsid w:val="28CA01D8"/>
    <w:rsid w:val="28D31009"/>
    <w:rsid w:val="28D3353C"/>
    <w:rsid w:val="28D948BF"/>
    <w:rsid w:val="28DA5593"/>
    <w:rsid w:val="28E079FB"/>
    <w:rsid w:val="28E219C5"/>
    <w:rsid w:val="28E44026"/>
    <w:rsid w:val="28E45951"/>
    <w:rsid w:val="28E62B38"/>
    <w:rsid w:val="28E868B0"/>
    <w:rsid w:val="28EB2659"/>
    <w:rsid w:val="28ED3EC6"/>
    <w:rsid w:val="28EF7C3E"/>
    <w:rsid w:val="28F17E5A"/>
    <w:rsid w:val="28F33BD2"/>
    <w:rsid w:val="28F416F8"/>
    <w:rsid w:val="28F74D45"/>
    <w:rsid w:val="28F931A5"/>
    <w:rsid w:val="28F95E48"/>
    <w:rsid w:val="28F96D0F"/>
    <w:rsid w:val="28FB4835"/>
    <w:rsid w:val="28FB65E3"/>
    <w:rsid w:val="28FC05AD"/>
    <w:rsid w:val="28FC5481"/>
    <w:rsid w:val="28FD484F"/>
    <w:rsid w:val="2900009D"/>
    <w:rsid w:val="29003BF9"/>
    <w:rsid w:val="29017971"/>
    <w:rsid w:val="2903193C"/>
    <w:rsid w:val="29043603"/>
    <w:rsid w:val="29057B0C"/>
    <w:rsid w:val="2907142C"/>
    <w:rsid w:val="290D629E"/>
    <w:rsid w:val="290F4DAA"/>
    <w:rsid w:val="29121B7F"/>
    <w:rsid w:val="29127DD1"/>
    <w:rsid w:val="29194CBB"/>
    <w:rsid w:val="291D29FD"/>
    <w:rsid w:val="291E0523"/>
    <w:rsid w:val="291E6775"/>
    <w:rsid w:val="292024ED"/>
    <w:rsid w:val="29206EB8"/>
    <w:rsid w:val="292673D8"/>
    <w:rsid w:val="292C49EE"/>
    <w:rsid w:val="293146FB"/>
    <w:rsid w:val="293164A9"/>
    <w:rsid w:val="2939535D"/>
    <w:rsid w:val="2939710B"/>
    <w:rsid w:val="293B7BDB"/>
    <w:rsid w:val="293D309F"/>
    <w:rsid w:val="293D4E4D"/>
    <w:rsid w:val="293E0BC6"/>
    <w:rsid w:val="293E2974"/>
    <w:rsid w:val="293E4722"/>
    <w:rsid w:val="294065BD"/>
    <w:rsid w:val="29424212"/>
    <w:rsid w:val="29471828"/>
    <w:rsid w:val="294C32E2"/>
    <w:rsid w:val="294D2BB7"/>
    <w:rsid w:val="294E705B"/>
    <w:rsid w:val="294F692F"/>
    <w:rsid w:val="29595666"/>
    <w:rsid w:val="295977AD"/>
    <w:rsid w:val="295F4405"/>
    <w:rsid w:val="29606AF1"/>
    <w:rsid w:val="296323DA"/>
    <w:rsid w:val="29671ECA"/>
    <w:rsid w:val="29673C78"/>
    <w:rsid w:val="296879F1"/>
    <w:rsid w:val="29695C42"/>
    <w:rsid w:val="296A19BB"/>
    <w:rsid w:val="296E14AB"/>
    <w:rsid w:val="296F0D7F"/>
    <w:rsid w:val="297168A5"/>
    <w:rsid w:val="2976268C"/>
    <w:rsid w:val="297665B1"/>
    <w:rsid w:val="29785E86"/>
    <w:rsid w:val="297939AC"/>
    <w:rsid w:val="297A3E18"/>
    <w:rsid w:val="297B3BC8"/>
    <w:rsid w:val="297F466F"/>
    <w:rsid w:val="29820AB2"/>
    <w:rsid w:val="29826D04"/>
    <w:rsid w:val="2984482A"/>
    <w:rsid w:val="29874881"/>
    <w:rsid w:val="298760C9"/>
    <w:rsid w:val="298C36DF"/>
    <w:rsid w:val="298E38FB"/>
    <w:rsid w:val="298F1421"/>
    <w:rsid w:val="298F1EEE"/>
    <w:rsid w:val="29932CBF"/>
    <w:rsid w:val="299627B0"/>
    <w:rsid w:val="2996455E"/>
    <w:rsid w:val="29995DFC"/>
    <w:rsid w:val="299B1B74"/>
    <w:rsid w:val="299B31A4"/>
    <w:rsid w:val="299D30D3"/>
    <w:rsid w:val="299D3D9D"/>
    <w:rsid w:val="29A273A6"/>
    <w:rsid w:val="29A30A29"/>
    <w:rsid w:val="29A9229A"/>
    <w:rsid w:val="29A97B01"/>
    <w:rsid w:val="29AA1DB7"/>
    <w:rsid w:val="29AC1FD3"/>
    <w:rsid w:val="29AE18A7"/>
    <w:rsid w:val="29B13146"/>
    <w:rsid w:val="29B50E88"/>
    <w:rsid w:val="29B6075C"/>
    <w:rsid w:val="29BA1071"/>
    <w:rsid w:val="29BD1AEA"/>
    <w:rsid w:val="29BF5862"/>
    <w:rsid w:val="29C25353"/>
    <w:rsid w:val="29C4731D"/>
    <w:rsid w:val="29C56BF1"/>
    <w:rsid w:val="29C60D55"/>
    <w:rsid w:val="29C71D19"/>
    <w:rsid w:val="29C76E0D"/>
    <w:rsid w:val="29C83675"/>
    <w:rsid w:val="29C837D8"/>
    <w:rsid w:val="29C9048F"/>
    <w:rsid w:val="29CA4207"/>
    <w:rsid w:val="29CB291D"/>
    <w:rsid w:val="29CC61D1"/>
    <w:rsid w:val="29CC6E69"/>
    <w:rsid w:val="29CC7F7F"/>
    <w:rsid w:val="29CE1F49"/>
    <w:rsid w:val="29CE5643"/>
    <w:rsid w:val="29D07A70"/>
    <w:rsid w:val="29D15596"/>
    <w:rsid w:val="29D60DFE"/>
    <w:rsid w:val="29D86924"/>
    <w:rsid w:val="29DA6B40"/>
    <w:rsid w:val="29DB01C2"/>
    <w:rsid w:val="29DF5F05"/>
    <w:rsid w:val="29DF6D2B"/>
    <w:rsid w:val="29E11C7D"/>
    <w:rsid w:val="29E325E0"/>
    <w:rsid w:val="29E467B7"/>
    <w:rsid w:val="29E47F3B"/>
    <w:rsid w:val="29E74DB9"/>
    <w:rsid w:val="29E76B67"/>
    <w:rsid w:val="29E928DF"/>
    <w:rsid w:val="29EC6874"/>
    <w:rsid w:val="29ED16C4"/>
    <w:rsid w:val="29F23E8A"/>
    <w:rsid w:val="29F6324E"/>
    <w:rsid w:val="29F80D74"/>
    <w:rsid w:val="29FA2D3E"/>
    <w:rsid w:val="29FA4AED"/>
    <w:rsid w:val="29FB2613"/>
    <w:rsid w:val="29FD638B"/>
    <w:rsid w:val="29FF2103"/>
    <w:rsid w:val="29FF65A7"/>
    <w:rsid w:val="2A005E7B"/>
    <w:rsid w:val="2A0061A4"/>
    <w:rsid w:val="2A025DDB"/>
    <w:rsid w:val="2A025F9F"/>
    <w:rsid w:val="2A043BBD"/>
    <w:rsid w:val="2A0616E3"/>
    <w:rsid w:val="2A067935"/>
    <w:rsid w:val="2A092F82"/>
    <w:rsid w:val="2A0E0598"/>
    <w:rsid w:val="2A110088"/>
    <w:rsid w:val="2A133E00"/>
    <w:rsid w:val="2A1536D4"/>
    <w:rsid w:val="2A172D9D"/>
    <w:rsid w:val="2A1A6F3D"/>
    <w:rsid w:val="2A1B4A63"/>
    <w:rsid w:val="2A1D6A2D"/>
    <w:rsid w:val="2A202079"/>
    <w:rsid w:val="2A224043"/>
    <w:rsid w:val="2A225DF1"/>
    <w:rsid w:val="2A233FCE"/>
    <w:rsid w:val="2A27165A"/>
    <w:rsid w:val="2A2878AC"/>
    <w:rsid w:val="2A297180"/>
    <w:rsid w:val="2A2C0A1E"/>
    <w:rsid w:val="2A2C4C78"/>
    <w:rsid w:val="2A2E0C3A"/>
    <w:rsid w:val="2A310D41"/>
    <w:rsid w:val="2A355B25"/>
    <w:rsid w:val="2A3873C3"/>
    <w:rsid w:val="2A3902CD"/>
    <w:rsid w:val="2A3A313B"/>
    <w:rsid w:val="2A3F0751"/>
    <w:rsid w:val="2A41096D"/>
    <w:rsid w:val="2A420242"/>
    <w:rsid w:val="2A4346E5"/>
    <w:rsid w:val="2A452503"/>
    <w:rsid w:val="2A4525E7"/>
    <w:rsid w:val="2A45762F"/>
    <w:rsid w:val="2A475858"/>
    <w:rsid w:val="2A48273F"/>
    <w:rsid w:val="2A484859"/>
    <w:rsid w:val="2A497822"/>
    <w:rsid w:val="2A4B17EC"/>
    <w:rsid w:val="2A510485"/>
    <w:rsid w:val="2A554419"/>
    <w:rsid w:val="2A56595E"/>
    <w:rsid w:val="2A571F3F"/>
    <w:rsid w:val="2A6056B1"/>
    <w:rsid w:val="2A6603D4"/>
    <w:rsid w:val="2A667FDD"/>
    <w:rsid w:val="2A693A20"/>
    <w:rsid w:val="2A6B1546"/>
    <w:rsid w:val="2A6C437C"/>
    <w:rsid w:val="2A6D3510"/>
    <w:rsid w:val="2A6E1037"/>
    <w:rsid w:val="2A701253"/>
    <w:rsid w:val="2A74164B"/>
    <w:rsid w:val="2A790107"/>
    <w:rsid w:val="2A7A723E"/>
    <w:rsid w:val="2A7A79DB"/>
    <w:rsid w:val="2A7D127A"/>
    <w:rsid w:val="2A7E3C72"/>
    <w:rsid w:val="2A816FBC"/>
    <w:rsid w:val="2A8668D4"/>
    <w:rsid w:val="2A8A5D4D"/>
    <w:rsid w:val="2A8E16D9"/>
    <w:rsid w:val="2A923B85"/>
    <w:rsid w:val="2A924D25"/>
    <w:rsid w:val="2A930540"/>
    <w:rsid w:val="2A9343D5"/>
    <w:rsid w:val="2A944F41"/>
    <w:rsid w:val="2A950CB9"/>
    <w:rsid w:val="2A9642F0"/>
    <w:rsid w:val="2A974ECF"/>
    <w:rsid w:val="2A9C3B58"/>
    <w:rsid w:val="2A9C5BA4"/>
    <w:rsid w:val="2A9D15F2"/>
    <w:rsid w:val="2AA1765E"/>
    <w:rsid w:val="2AA36F32"/>
    <w:rsid w:val="2AA42CAA"/>
    <w:rsid w:val="2AA50EFC"/>
    <w:rsid w:val="2AA84549"/>
    <w:rsid w:val="2AAA4765"/>
    <w:rsid w:val="2AAD7DB1"/>
    <w:rsid w:val="2AAE3777"/>
    <w:rsid w:val="2AAF3B29"/>
    <w:rsid w:val="2AB23619"/>
    <w:rsid w:val="2AB7478C"/>
    <w:rsid w:val="2AB90504"/>
    <w:rsid w:val="2AB949A8"/>
    <w:rsid w:val="2ABE6A2E"/>
    <w:rsid w:val="2AC05D36"/>
    <w:rsid w:val="2AC42110"/>
    <w:rsid w:val="2AC507FE"/>
    <w:rsid w:val="2AC82E3D"/>
    <w:rsid w:val="2AC84BEB"/>
    <w:rsid w:val="2AC944BF"/>
    <w:rsid w:val="2ACB46DB"/>
    <w:rsid w:val="2ACC5FDE"/>
    <w:rsid w:val="2ACD2201"/>
    <w:rsid w:val="2ACF77E4"/>
    <w:rsid w:val="2ACF7D27"/>
    <w:rsid w:val="2AD0584D"/>
    <w:rsid w:val="2AD43590"/>
    <w:rsid w:val="2AD4533E"/>
    <w:rsid w:val="2AD90BA6"/>
    <w:rsid w:val="2AD96DF8"/>
    <w:rsid w:val="2ADC41F2"/>
    <w:rsid w:val="2ADC6D2B"/>
    <w:rsid w:val="2ADD7F15"/>
    <w:rsid w:val="2ADE61BC"/>
    <w:rsid w:val="2AE5579D"/>
    <w:rsid w:val="2AE65071"/>
    <w:rsid w:val="2AE92F98"/>
    <w:rsid w:val="2AEA2DB3"/>
    <w:rsid w:val="2AEB2687"/>
    <w:rsid w:val="2AEC39A9"/>
    <w:rsid w:val="2AED28A3"/>
    <w:rsid w:val="2AED4651"/>
    <w:rsid w:val="2AF4778E"/>
    <w:rsid w:val="2AF61758"/>
    <w:rsid w:val="2AF7102C"/>
    <w:rsid w:val="2AF754D0"/>
    <w:rsid w:val="2AFC2AE6"/>
    <w:rsid w:val="2AFE685E"/>
    <w:rsid w:val="2B0100FD"/>
    <w:rsid w:val="2B01299A"/>
    <w:rsid w:val="2B02634F"/>
    <w:rsid w:val="2B053749"/>
    <w:rsid w:val="2B083239"/>
    <w:rsid w:val="2B0971E3"/>
    <w:rsid w:val="2B0A0D5F"/>
    <w:rsid w:val="2B0B32AA"/>
    <w:rsid w:val="2B0F45C8"/>
    <w:rsid w:val="2B1020EE"/>
    <w:rsid w:val="2B110340"/>
    <w:rsid w:val="2B116592"/>
    <w:rsid w:val="2B125E66"/>
    <w:rsid w:val="2B147E30"/>
    <w:rsid w:val="2B195446"/>
    <w:rsid w:val="2B195597"/>
    <w:rsid w:val="2B1971F4"/>
    <w:rsid w:val="2B1B7EB7"/>
    <w:rsid w:val="2B204A27"/>
    <w:rsid w:val="2B255B99"/>
    <w:rsid w:val="2B275DB5"/>
    <w:rsid w:val="2B285689"/>
    <w:rsid w:val="2B2A1401"/>
    <w:rsid w:val="2B2C33CC"/>
    <w:rsid w:val="2B2D2CA0"/>
    <w:rsid w:val="2B307DC0"/>
    <w:rsid w:val="2B31220E"/>
    <w:rsid w:val="2B345DDC"/>
    <w:rsid w:val="2B3617BA"/>
    <w:rsid w:val="2B367DA6"/>
    <w:rsid w:val="2B3808F6"/>
    <w:rsid w:val="2B397896"/>
    <w:rsid w:val="2B3B53BD"/>
    <w:rsid w:val="2B3E30FF"/>
    <w:rsid w:val="2B42499D"/>
    <w:rsid w:val="2B4324C3"/>
    <w:rsid w:val="2B465B0F"/>
    <w:rsid w:val="2B481888"/>
    <w:rsid w:val="2B4A3852"/>
    <w:rsid w:val="2B4D50F0"/>
    <w:rsid w:val="2B514BE0"/>
    <w:rsid w:val="2B522706"/>
    <w:rsid w:val="2B540048"/>
    <w:rsid w:val="2B5621F6"/>
    <w:rsid w:val="2B597F39"/>
    <w:rsid w:val="2B5B780D"/>
    <w:rsid w:val="2B5C67DA"/>
    <w:rsid w:val="2B5E1146"/>
    <w:rsid w:val="2B5E554F"/>
    <w:rsid w:val="2B5E72FD"/>
    <w:rsid w:val="2B65068C"/>
    <w:rsid w:val="2B683CD8"/>
    <w:rsid w:val="2B69017C"/>
    <w:rsid w:val="2B6A7A50"/>
    <w:rsid w:val="2B6E5792"/>
    <w:rsid w:val="2B6F150A"/>
    <w:rsid w:val="2B724D12"/>
    <w:rsid w:val="2B732DA8"/>
    <w:rsid w:val="2B7408CF"/>
    <w:rsid w:val="2B746B21"/>
    <w:rsid w:val="2B77216D"/>
    <w:rsid w:val="2B795EE5"/>
    <w:rsid w:val="2B7C1A43"/>
    <w:rsid w:val="2B7C5DC4"/>
    <w:rsid w:val="2B7E52A9"/>
    <w:rsid w:val="2B8072A0"/>
    <w:rsid w:val="2B81456D"/>
    <w:rsid w:val="2B830B12"/>
    <w:rsid w:val="2B836D64"/>
    <w:rsid w:val="2B856638"/>
    <w:rsid w:val="2B88586B"/>
    <w:rsid w:val="2B886128"/>
    <w:rsid w:val="2B8D373E"/>
    <w:rsid w:val="2B911481"/>
    <w:rsid w:val="2B940F71"/>
    <w:rsid w:val="2B966A97"/>
    <w:rsid w:val="2B9920E3"/>
    <w:rsid w:val="2B997EBC"/>
    <w:rsid w:val="2B9E76FA"/>
    <w:rsid w:val="2BA37FA5"/>
    <w:rsid w:val="2BA74800"/>
    <w:rsid w:val="2BA936A8"/>
    <w:rsid w:val="2BA94DE0"/>
    <w:rsid w:val="2BAA6270"/>
    <w:rsid w:val="2BAC1E16"/>
    <w:rsid w:val="2BB43B7F"/>
    <w:rsid w:val="2BB46F1D"/>
    <w:rsid w:val="2BB51544"/>
    <w:rsid w:val="2BB533C1"/>
    <w:rsid w:val="2BB84C5F"/>
    <w:rsid w:val="2BBB02AC"/>
    <w:rsid w:val="2BBE1B4A"/>
    <w:rsid w:val="2BBF5FEE"/>
    <w:rsid w:val="2BC2788C"/>
    <w:rsid w:val="2BC41856"/>
    <w:rsid w:val="2BC453B2"/>
    <w:rsid w:val="2BCA4992"/>
    <w:rsid w:val="2BCC24B9"/>
    <w:rsid w:val="2BCE6231"/>
    <w:rsid w:val="2BD1187D"/>
    <w:rsid w:val="2BD17ACF"/>
    <w:rsid w:val="2BD4136D"/>
    <w:rsid w:val="2BD870AF"/>
    <w:rsid w:val="2BDA2E28"/>
    <w:rsid w:val="2BDA4BD6"/>
    <w:rsid w:val="2BDB094E"/>
    <w:rsid w:val="2BDD0222"/>
    <w:rsid w:val="2BE21CDC"/>
    <w:rsid w:val="2BE37B42"/>
    <w:rsid w:val="2BE45A54"/>
    <w:rsid w:val="2BE62428"/>
    <w:rsid w:val="2BE94E19"/>
    <w:rsid w:val="2BEB4B93"/>
    <w:rsid w:val="2BEE68D3"/>
    <w:rsid w:val="2BEE7693"/>
    <w:rsid w:val="2BF05416"/>
    <w:rsid w:val="2BF33EE9"/>
    <w:rsid w:val="2BF612E4"/>
    <w:rsid w:val="2BFD2672"/>
    <w:rsid w:val="2BFF4DBC"/>
    <w:rsid w:val="2C02412C"/>
    <w:rsid w:val="2C041A4C"/>
    <w:rsid w:val="2C041C52"/>
    <w:rsid w:val="2C05030B"/>
    <w:rsid w:val="2C063C1D"/>
    <w:rsid w:val="2C071743"/>
    <w:rsid w:val="2C0B1233"/>
    <w:rsid w:val="2C0B2FE1"/>
    <w:rsid w:val="2C113E5C"/>
    <w:rsid w:val="2C155C0E"/>
    <w:rsid w:val="2C183950"/>
    <w:rsid w:val="2C1856FE"/>
    <w:rsid w:val="2C1B305B"/>
    <w:rsid w:val="2C1F6654"/>
    <w:rsid w:val="2C210A56"/>
    <w:rsid w:val="2C2422F5"/>
    <w:rsid w:val="2C251BC9"/>
    <w:rsid w:val="2C293467"/>
    <w:rsid w:val="2C2C2F57"/>
    <w:rsid w:val="2C2E3173"/>
    <w:rsid w:val="2C2E6CCF"/>
    <w:rsid w:val="2C2F02F7"/>
    <w:rsid w:val="2C3047F6"/>
    <w:rsid w:val="2C315A5A"/>
    <w:rsid w:val="2C324A12"/>
    <w:rsid w:val="2C33078A"/>
    <w:rsid w:val="2C372028"/>
    <w:rsid w:val="2C3A1B18"/>
    <w:rsid w:val="2C3D6F12"/>
    <w:rsid w:val="2C3D700C"/>
    <w:rsid w:val="2C42277B"/>
    <w:rsid w:val="2C4237D4"/>
    <w:rsid w:val="2C477D91"/>
    <w:rsid w:val="2C493B09"/>
    <w:rsid w:val="2C4B1C25"/>
    <w:rsid w:val="2C4B5AD3"/>
    <w:rsid w:val="2C4C35F9"/>
    <w:rsid w:val="2C4C53A8"/>
    <w:rsid w:val="2C4E1120"/>
    <w:rsid w:val="2C520C10"/>
    <w:rsid w:val="2C532BDA"/>
    <w:rsid w:val="2C576226"/>
    <w:rsid w:val="2C5A5D16"/>
    <w:rsid w:val="2C5F332D"/>
    <w:rsid w:val="2C603BD8"/>
    <w:rsid w:val="2C634B60"/>
    <w:rsid w:val="2C673F8F"/>
    <w:rsid w:val="2C680433"/>
    <w:rsid w:val="2C6941AB"/>
    <w:rsid w:val="2C6B3A80"/>
    <w:rsid w:val="2C6B7F24"/>
    <w:rsid w:val="2C730B86"/>
    <w:rsid w:val="2C732934"/>
    <w:rsid w:val="2C736DD8"/>
    <w:rsid w:val="2C7548FE"/>
    <w:rsid w:val="2C772424"/>
    <w:rsid w:val="2C78619D"/>
    <w:rsid w:val="2C7A0167"/>
    <w:rsid w:val="2C7F39CF"/>
    <w:rsid w:val="2C81472F"/>
    <w:rsid w:val="2C815051"/>
    <w:rsid w:val="2C820DC9"/>
    <w:rsid w:val="2C842D93"/>
    <w:rsid w:val="2C8640C1"/>
    <w:rsid w:val="2C8B2374"/>
    <w:rsid w:val="2C902915"/>
    <w:rsid w:val="2C9254B0"/>
    <w:rsid w:val="2C932FD6"/>
    <w:rsid w:val="2C956D4E"/>
    <w:rsid w:val="2C98683F"/>
    <w:rsid w:val="2C9A25B7"/>
    <w:rsid w:val="2C9C0EB8"/>
    <w:rsid w:val="2C9C1E8B"/>
    <w:rsid w:val="2C9E3E55"/>
    <w:rsid w:val="2CA23219"/>
    <w:rsid w:val="2CA3146B"/>
    <w:rsid w:val="2CA91A51"/>
    <w:rsid w:val="2CAB0320"/>
    <w:rsid w:val="2CAB47C4"/>
    <w:rsid w:val="2CAE1BBE"/>
    <w:rsid w:val="2CB2481F"/>
    <w:rsid w:val="2CB25B52"/>
    <w:rsid w:val="2CB66B69"/>
    <w:rsid w:val="2CB74F17"/>
    <w:rsid w:val="2CB90C8F"/>
    <w:rsid w:val="2CBC42DB"/>
    <w:rsid w:val="2CBF201D"/>
    <w:rsid w:val="2CBF3DCB"/>
    <w:rsid w:val="2CBF5B79"/>
    <w:rsid w:val="2CC056E2"/>
    <w:rsid w:val="2CC15D95"/>
    <w:rsid w:val="2CC97D88"/>
    <w:rsid w:val="2CC97ED5"/>
    <w:rsid w:val="2CCB3F36"/>
    <w:rsid w:val="2CCD64E8"/>
    <w:rsid w:val="2CD05FD9"/>
    <w:rsid w:val="2CD07D87"/>
    <w:rsid w:val="2CD21D51"/>
    <w:rsid w:val="2CD258AD"/>
    <w:rsid w:val="2CD86C3B"/>
    <w:rsid w:val="2CD930DF"/>
    <w:rsid w:val="2CDA6E57"/>
    <w:rsid w:val="2CDB4EBB"/>
    <w:rsid w:val="2CDC2894"/>
    <w:rsid w:val="2CDD6541"/>
    <w:rsid w:val="2CDE24A4"/>
    <w:rsid w:val="2CDE6947"/>
    <w:rsid w:val="2CDF621C"/>
    <w:rsid w:val="2CE11F94"/>
    <w:rsid w:val="2CE13D42"/>
    <w:rsid w:val="2CE61358"/>
    <w:rsid w:val="2CE657FC"/>
    <w:rsid w:val="2CEA52EC"/>
    <w:rsid w:val="2CEB696E"/>
    <w:rsid w:val="2CEE5851"/>
    <w:rsid w:val="2CEF2903"/>
    <w:rsid w:val="2CF41CC7"/>
    <w:rsid w:val="2CF61AC3"/>
    <w:rsid w:val="2CF9552F"/>
    <w:rsid w:val="2CFA3055"/>
    <w:rsid w:val="2CFB185B"/>
    <w:rsid w:val="2CFC5020"/>
    <w:rsid w:val="2CFC71ED"/>
    <w:rsid w:val="2D067F3E"/>
    <w:rsid w:val="2D085772"/>
    <w:rsid w:val="2D095047"/>
    <w:rsid w:val="2D0B4074"/>
    <w:rsid w:val="2D0C2B17"/>
    <w:rsid w:val="2D0D4B37"/>
    <w:rsid w:val="2D1233DA"/>
    <w:rsid w:val="2D14247A"/>
    <w:rsid w:val="2D1660E1"/>
    <w:rsid w:val="2D177764"/>
    <w:rsid w:val="2D1C2FCC"/>
    <w:rsid w:val="2D200D0E"/>
    <w:rsid w:val="2D214E0A"/>
    <w:rsid w:val="2D2307FE"/>
    <w:rsid w:val="2D265BF9"/>
    <w:rsid w:val="2D2B1461"/>
    <w:rsid w:val="2D2E06FF"/>
    <w:rsid w:val="2D2F6832"/>
    <w:rsid w:val="2D306A77"/>
    <w:rsid w:val="2D314CC9"/>
    <w:rsid w:val="2D355E3C"/>
    <w:rsid w:val="2D376058"/>
    <w:rsid w:val="2D39592C"/>
    <w:rsid w:val="2D3E73E6"/>
    <w:rsid w:val="2D410C84"/>
    <w:rsid w:val="2D426ED6"/>
    <w:rsid w:val="2D4454D3"/>
    <w:rsid w:val="2D46629B"/>
    <w:rsid w:val="2D485B6F"/>
    <w:rsid w:val="2D4B685B"/>
    <w:rsid w:val="2D4C1B03"/>
    <w:rsid w:val="2D4D587B"/>
    <w:rsid w:val="2D4F33A1"/>
    <w:rsid w:val="2D507AFC"/>
    <w:rsid w:val="2D510EC7"/>
    <w:rsid w:val="2D517119"/>
    <w:rsid w:val="2D5704A8"/>
    <w:rsid w:val="2D572256"/>
    <w:rsid w:val="2D594220"/>
    <w:rsid w:val="2D5A5577"/>
    <w:rsid w:val="2D5B1D46"/>
    <w:rsid w:val="2D5C5B9B"/>
    <w:rsid w:val="2D60735C"/>
    <w:rsid w:val="2D611200"/>
    <w:rsid w:val="2D616C31"/>
    <w:rsid w:val="2D662499"/>
    <w:rsid w:val="2D6706EB"/>
    <w:rsid w:val="2D720D75"/>
    <w:rsid w:val="2D720E3E"/>
    <w:rsid w:val="2D782C20"/>
    <w:rsid w:val="2D796670"/>
    <w:rsid w:val="2D7C1CBC"/>
    <w:rsid w:val="2D7D7F0E"/>
    <w:rsid w:val="2D80355B"/>
    <w:rsid w:val="2D825525"/>
    <w:rsid w:val="2D83129D"/>
    <w:rsid w:val="2D834DF9"/>
    <w:rsid w:val="2D840162"/>
    <w:rsid w:val="2D8572C2"/>
    <w:rsid w:val="2D8A262B"/>
    <w:rsid w:val="2D8A6187"/>
    <w:rsid w:val="2D9214E0"/>
    <w:rsid w:val="2D930D3F"/>
    <w:rsid w:val="2D945258"/>
    <w:rsid w:val="2D962D7E"/>
    <w:rsid w:val="2D983674"/>
    <w:rsid w:val="2D9E56F5"/>
    <w:rsid w:val="2DA76D39"/>
    <w:rsid w:val="2DA84D82"/>
    <w:rsid w:val="2DAD1E76"/>
    <w:rsid w:val="2DAF2092"/>
    <w:rsid w:val="2DB256DE"/>
    <w:rsid w:val="2DB94CBF"/>
    <w:rsid w:val="2DB96A6D"/>
    <w:rsid w:val="2DBE22D5"/>
    <w:rsid w:val="2DC773DC"/>
    <w:rsid w:val="2DCC054E"/>
    <w:rsid w:val="2DCC67A0"/>
    <w:rsid w:val="2DCF003E"/>
    <w:rsid w:val="2DD13DB6"/>
    <w:rsid w:val="2DD218DC"/>
    <w:rsid w:val="2DD24D42"/>
    <w:rsid w:val="2DD35D80"/>
    <w:rsid w:val="2DD613CD"/>
    <w:rsid w:val="2DD80BB4"/>
    <w:rsid w:val="2DD85145"/>
    <w:rsid w:val="2DDB2E87"/>
    <w:rsid w:val="2DDD6BFF"/>
    <w:rsid w:val="2DE0224B"/>
    <w:rsid w:val="2DE02FDD"/>
    <w:rsid w:val="2DE24215"/>
    <w:rsid w:val="2DE27D71"/>
    <w:rsid w:val="2DE51610"/>
    <w:rsid w:val="2DE75388"/>
    <w:rsid w:val="2DE955A4"/>
    <w:rsid w:val="2DE97352"/>
    <w:rsid w:val="2DEB679E"/>
    <w:rsid w:val="2DEC308B"/>
    <w:rsid w:val="2DF301D1"/>
    <w:rsid w:val="2DF829F8"/>
    <w:rsid w:val="2DF90FEB"/>
    <w:rsid w:val="2DFB0E33"/>
    <w:rsid w:val="2DFC7FAF"/>
    <w:rsid w:val="2DFD2DFD"/>
    <w:rsid w:val="2DFD4BAB"/>
    <w:rsid w:val="2E00469C"/>
    <w:rsid w:val="2E020414"/>
    <w:rsid w:val="2E0221C2"/>
    <w:rsid w:val="2E04418C"/>
    <w:rsid w:val="2E057F04"/>
    <w:rsid w:val="2E075A2A"/>
    <w:rsid w:val="2E0777D8"/>
    <w:rsid w:val="2E0C3040"/>
    <w:rsid w:val="2E0C4DEE"/>
    <w:rsid w:val="2E132621"/>
    <w:rsid w:val="2E194313"/>
    <w:rsid w:val="2E1B49C8"/>
    <w:rsid w:val="2E1D349F"/>
    <w:rsid w:val="2E1E4B22"/>
    <w:rsid w:val="2E1F0FC6"/>
    <w:rsid w:val="2E205C69"/>
    <w:rsid w:val="2E224612"/>
    <w:rsid w:val="2E262354"/>
    <w:rsid w:val="2E285591"/>
    <w:rsid w:val="2E29045C"/>
    <w:rsid w:val="2E293BF2"/>
    <w:rsid w:val="2E2959A0"/>
    <w:rsid w:val="2E2E1209"/>
    <w:rsid w:val="2E2F2405"/>
    <w:rsid w:val="2E2F6D2F"/>
    <w:rsid w:val="2E3031D3"/>
    <w:rsid w:val="2E303E57"/>
    <w:rsid w:val="2E307E44"/>
    <w:rsid w:val="2E352597"/>
    <w:rsid w:val="2E374561"/>
    <w:rsid w:val="2E385BE3"/>
    <w:rsid w:val="2E3F51C4"/>
    <w:rsid w:val="2E402CEA"/>
    <w:rsid w:val="2E440A2C"/>
    <w:rsid w:val="2E474078"/>
    <w:rsid w:val="2E4C78E1"/>
    <w:rsid w:val="2E4E3659"/>
    <w:rsid w:val="2E4E5407"/>
    <w:rsid w:val="2E4F2F2D"/>
    <w:rsid w:val="2E5B1E5B"/>
    <w:rsid w:val="2E5F5866"/>
    <w:rsid w:val="2E642E7C"/>
    <w:rsid w:val="2E652751"/>
    <w:rsid w:val="2E6668AF"/>
    <w:rsid w:val="2E667F96"/>
    <w:rsid w:val="2E67471B"/>
    <w:rsid w:val="2E675732"/>
    <w:rsid w:val="2E690493"/>
    <w:rsid w:val="2E6966E5"/>
    <w:rsid w:val="2E6B5FB9"/>
    <w:rsid w:val="2E6D7F83"/>
    <w:rsid w:val="2E716E3E"/>
    <w:rsid w:val="2E7221A8"/>
    <w:rsid w:val="2E731311"/>
    <w:rsid w:val="2E734E6D"/>
    <w:rsid w:val="2E744143"/>
    <w:rsid w:val="2E782484"/>
    <w:rsid w:val="2E7C6373"/>
    <w:rsid w:val="2E7F3812"/>
    <w:rsid w:val="2E8119B1"/>
    <w:rsid w:val="2E813A2E"/>
    <w:rsid w:val="2E81758A"/>
    <w:rsid w:val="2E8226AB"/>
    <w:rsid w:val="2E825AD2"/>
    <w:rsid w:val="2E85358B"/>
    <w:rsid w:val="2E884DBD"/>
    <w:rsid w:val="2E900A99"/>
    <w:rsid w:val="2E935510"/>
    <w:rsid w:val="2E954DE4"/>
    <w:rsid w:val="2E976DAE"/>
    <w:rsid w:val="2E982B26"/>
    <w:rsid w:val="2E9C077D"/>
    <w:rsid w:val="2E9F2106"/>
    <w:rsid w:val="2EA27501"/>
    <w:rsid w:val="2EA43279"/>
    <w:rsid w:val="2EA66FF1"/>
    <w:rsid w:val="2EA7602B"/>
    <w:rsid w:val="2EA8720D"/>
    <w:rsid w:val="2EA96AE1"/>
    <w:rsid w:val="2EB01C1E"/>
    <w:rsid w:val="2EB23BE8"/>
    <w:rsid w:val="2EB353C4"/>
    <w:rsid w:val="2EB536D8"/>
    <w:rsid w:val="2EB711FE"/>
    <w:rsid w:val="2EB77450"/>
    <w:rsid w:val="2EB8722A"/>
    <w:rsid w:val="2EBA6F40"/>
    <w:rsid w:val="2EC102CF"/>
    <w:rsid w:val="2EC21951"/>
    <w:rsid w:val="2EC57342"/>
    <w:rsid w:val="2EC67693"/>
    <w:rsid w:val="2EC71DCC"/>
    <w:rsid w:val="2EC76F67"/>
    <w:rsid w:val="2EC8340B"/>
    <w:rsid w:val="2ECB4CA9"/>
    <w:rsid w:val="2ECE02F6"/>
    <w:rsid w:val="2ED26038"/>
    <w:rsid w:val="2ED27DE6"/>
    <w:rsid w:val="2ED3590C"/>
    <w:rsid w:val="2ED47537"/>
    <w:rsid w:val="2ED51684"/>
    <w:rsid w:val="2ED578D6"/>
    <w:rsid w:val="2ED95618"/>
    <w:rsid w:val="2ED973C6"/>
    <w:rsid w:val="2EDA313F"/>
    <w:rsid w:val="2EDA4EED"/>
    <w:rsid w:val="2EDF0755"/>
    <w:rsid w:val="2EDF2503"/>
    <w:rsid w:val="2EDF69A7"/>
    <w:rsid w:val="2EE030CB"/>
    <w:rsid w:val="2EE144CD"/>
    <w:rsid w:val="2EE61AE3"/>
    <w:rsid w:val="2EE713B8"/>
    <w:rsid w:val="2EE8585B"/>
    <w:rsid w:val="2EE95130"/>
    <w:rsid w:val="2EEB2B88"/>
    <w:rsid w:val="2EEC5705"/>
    <w:rsid w:val="2EEE0998"/>
    <w:rsid w:val="2EF74361"/>
    <w:rsid w:val="2EF85363"/>
    <w:rsid w:val="2EFA62B4"/>
    <w:rsid w:val="2EFC1307"/>
    <w:rsid w:val="2EFE0BDB"/>
    <w:rsid w:val="2EFE507F"/>
    <w:rsid w:val="2EFF6701"/>
    <w:rsid w:val="2EFF79A7"/>
    <w:rsid w:val="2F01649B"/>
    <w:rsid w:val="2F034443"/>
    <w:rsid w:val="2F094C2D"/>
    <w:rsid w:val="2F0957D2"/>
    <w:rsid w:val="2F097580"/>
    <w:rsid w:val="2F0B2F43"/>
    <w:rsid w:val="2F0D52C2"/>
    <w:rsid w:val="2F104DB2"/>
    <w:rsid w:val="2F124686"/>
    <w:rsid w:val="2F1601E3"/>
    <w:rsid w:val="2F177EEF"/>
    <w:rsid w:val="2F194EB7"/>
    <w:rsid w:val="2F1A178D"/>
    <w:rsid w:val="2F1A79DF"/>
    <w:rsid w:val="2F1C3757"/>
    <w:rsid w:val="2F1D65C3"/>
    <w:rsid w:val="2F236894"/>
    <w:rsid w:val="2F285C58"/>
    <w:rsid w:val="2F2919D0"/>
    <w:rsid w:val="2F2D14C0"/>
    <w:rsid w:val="2F2D7712"/>
    <w:rsid w:val="2F2F04F6"/>
    <w:rsid w:val="2F2F348A"/>
    <w:rsid w:val="2F2F5238"/>
    <w:rsid w:val="2F300FB0"/>
    <w:rsid w:val="2F302D5E"/>
    <w:rsid w:val="2F324D29"/>
    <w:rsid w:val="2F326AD7"/>
    <w:rsid w:val="2F35161A"/>
    <w:rsid w:val="2F370591"/>
    <w:rsid w:val="2F371186"/>
    <w:rsid w:val="2F37233F"/>
    <w:rsid w:val="2F3960B7"/>
    <w:rsid w:val="2F397E65"/>
    <w:rsid w:val="2F3E191F"/>
    <w:rsid w:val="2F4131BE"/>
    <w:rsid w:val="2F432A92"/>
    <w:rsid w:val="2F454A5C"/>
    <w:rsid w:val="2F464330"/>
    <w:rsid w:val="2F4A02C4"/>
    <w:rsid w:val="2F4F58DB"/>
    <w:rsid w:val="2F503401"/>
    <w:rsid w:val="2F527179"/>
    <w:rsid w:val="2F5702EB"/>
    <w:rsid w:val="2F570CF6"/>
    <w:rsid w:val="2F594063"/>
    <w:rsid w:val="2F666780"/>
    <w:rsid w:val="2F6A44C2"/>
    <w:rsid w:val="2F6E229E"/>
    <w:rsid w:val="2F7215C9"/>
    <w:rsid w:val="2F723377"/>
    <w:rsid w:val="2F745341"/>
    <w:rsid w:val="2F754C15"/>
    <w:rsid w:val="2F755E99"/>
    <w:rsid w:val="2F7B047E"/>
    <w:rsid w:val="2F7B2B74"/>
    <w:rsid w:val="2F7F38D0"/>
    <w:rsid w:val="2F805A94"/>
    <w:rsid w:val="2F8135BA"/>
    <w:rsid w:val="2F8224FF"/>
    <w:rsid w:val="2F8530AA"/>
    <w:rsid w:val="2F882B9B"/>
    <w:rsid w:val="2F884949"/>
    <w:rsid w:val="2F8A09E3"/>
    <w:rsid w:val="2F8A246F"/>
    <w:rsid w:val="2F8C4439"/>
    <w:rsid w:val="2F8F217B"/>
    <w:rsid w:val="2F8F3F29"/>
    <w:rsid w:val="2F9037FD"/>
    <w:rsid w:val="2F942A1D"/>
    <w:rsid w:val="2F9432ED"/>
    <w:rsid w:val="2F9A6D97"/>
    <w:rsid w:val="2F9B3354"/>
    <w:rsid w:val="2F9C03F4"/>
    <w:rsid w:val="2F9C21A2"/>
    <w:rsid w:val="2F9E23BE"/>
    <w:rsid w:val="2F9F5A2E"/>
    <w:rsid w:val="2FA107AB"/>
    <w:rsid w:val="2FA3158A"/>
    <w:rsid w:val="2FA379D4"/>
    <w:rsid w:val="2FA5374C"/>
    <w:rsid w:val="2FA63873"/>
    <w:rsid w:val="2FA774C5"/>
    <w:rsid w:val="2FA8323D"/>
    <w:rsid w:val="2FAC4ADB"/>
    <w:rsid w:val="2FAD0DC5"/>
    <w:rsid w:val="2FAF6379"/>
    <w:rsid w:val="2FB219C5"/>
    <w:rsid w:val="2FB35E69"/>
    <w:rsid w:val="2FB67708"/>
    <w:rsid w:val="2FB71881"/>
    <w:rsid w:val="2FB73743"/>
    <w:rsid w:val="2FB83A61"/>
    <w:rsid w:val="2FBB4D1E"/>
    <w:rsid w:val="2FC040E2"/>
    <w:rsid w:val="2FC242FE"/>
    <w:rsid w:val="2FC35981"/>
    <w:rsid w:val="2FC516F9"/>
    <w:rsid w:val="2FC6408E"/>
    <w:rsid w:val="2FC82F97"/>
    <w:rsid w:val="2FC878A4"/>
    <w:rsid w:val="2FCE6D7B"/>
    <w:rsid w:val="2FCF7117"/>
    <w:rsid w:val="2FD065E6"/>
    <w:rsid w:val="2FD63906"/>
    <w:rsid w:val="2FD858D0"/>
    <w:rsid w:val="2FD91648"/>
    <w:rsid w:val="2FD96870"/>
    <w:rsid w:val="2FDA5A18"/>
    <w:rsid w:val="2FDB716E"/>
    <w:rsid w:val="2FDD2EE6"/>
    <w:rsid w:val="2FDE0A0C"/>
    <w:rsid w:val="2FE04785"/>
    <w:rsid w:val="2FE36023"/>
    <w:rsid w:val="2FE56BC6"/>
    <w:rsid w:val="2FE80560"/>
    <w:rsid w:val="2FED1329"/>
    <w:rsid w:val="2FF26266"/>
    <w:rsid w:val="2FF410E3"/>
    <w:rsid w:val="2FF65D56"/>
    <w:rsid w:val="2FF76305"/>
    <w:rsid w:val="2FFD0E93"/>
    <w:rsid w:val="2FFD5044"/>
    <w:rsid w:val="30032221"/>
    <w:rsid w:val="300466C5"/>
    <w:rsid w:val="30063A8E"/>
    <w:rsid w:val="30085A89"/>
    <w:rsid w:val="30134B5A"/>
    <w:rsid w:val="30136908"/>
    <w:rsid w:val="30182170"/>
    <w:rsid w:val="30185CCC"/>
    <w:rsid w:val="301F52AD"/>
    <w:rsid w:val="302208F9"/>
    <w:rsid w:val="30224D9D"/>
    <w:rsid w:val="30234671"/>
    <w:rsid w:val="302723B3"/>
    <w:rsid w:val="302E0AEA"/>
    <w:rsid w:val="302F3016"/>
    <w:rsid w:val="30313232"/>
    <w:rsid w:val="3038636F"/>
    <w:rsid w:val="303D1BD7"/>
    <w:rsid w:val="303E14AB"/>
    <w:rsid w:val="303F76FD"/>
    <w:rsid w:val="30412803"/>
    <w:rsid w:val="3045283A"/>
    <w:rsid w:val="30466CDD"/>
    <w:rsid w:val="304765B2"/>
    <w:rsid w:val="3049057C"/>
    <w:rsid w:val="304A1B53"/>
    <w:rsid w:val="304A60A2"/>
    <w:rsid w:val="304A7E50"/>
    <w:rsid w:val="304B42F4"/>
    <w:rsid w:val="305111DE"/>
    <w:rsid w:val="30534F57"/>
    <w:rsid w:val="305667F5"/>
    <w:rsid w:val="30580BC9"/>
    <w:rsid w:val="30623411"/>
    <w:rsid w:val="30626EBE"/>
    <w:rsid w:val="306453B6"/>
    <w:rsid w:val="30656A38"/>
    <w:rsid w:val="306727B0"/>
    <w:rsid w:val="306929CC"/>
    <w:rsid w:val="306B04F2"/>
    <w:rsid w:val="30705B08"/>
    <w:rsid w:val="307750E9"/>
    <w:rsid w:val="3078676B"/>
    <w:rsid w:val="3078777A"/>
    <w:rsid w:val="307F5C1F"/>
    <w:rsid w:val="30803872"/>
    <w:rsid w:val="30837BD8"/>
    <w:rsid w:val="30872E52"/>
    <w:rsid w:val="308C2216"/>
    <w:rsid w:val="308E5F8F"/>
    <w:rsid w:val="308E7498"/>
    <w:rsid w:val="30937A49"/>
    <w:rsid w:val="30940170"/>
    <w:rsid w:val="3095731D"/>
    <w:rsid w:val="30983075"/>
    <w:rsid w:val="3098505F"/>
    <w:rsid w:val="309A5723"/>
    <w:rsid w:val="30A13F14"/>
    <w:rsid w:val="30A21A3A"/>
    <w:rsid w:val="30A25EDE"/>
    <w:rsid w:val="30A423FB"/>
    <w:rsid w:val="30A9726C"/>
    <w:rsid w:val="30AD6F9D"/>
    <w:rsid w:val="30AE03DF"/>
    <w:rsid w:val="30AE6631"/>
    <w:rsid w:val="30B005FB"/>
    <w:rsid w:val="30B023A9"/>
    <w:rsid w:val="30B04157"/>
    <w:rsid w:val="30B11C7D"/>
    <w:rsid w:val="30B31E99"/>
    <w:rsid w:val="30B654E5"/>
    <w:rsid w:val="30B71989"/>
    <w:rsid w:val="30B73737"/>
    <w:rsid w:val="30B8300C"/>
    <w:rsid w:val="30B9458F"/>
    <w:rsid w:val="30BC0F82"/>
    <w:rsid w:val="30BD0622"/>
    <w:rsid w:val="30BF25EC"/>
    <w:rsid w:val="30C10112"/>
    <w:rsid w:val="30C220DC"/>
    <w:rsid w:val="30C2376F"/>
    <w:rsid w:val="30C419B0"/>
    <w:rsid w:val="30C45E54"/>
    <w:rsid w:val="30C47C02"/>
    <w:rsid w:val="30C90297"/>
    <w:rsid w:val="30C93B1B"/>
    <w:rsid w:val="30C96FC7"/>
    <w:rsid w:val="30CC1E8C"/>
    <w:rsid w:val="30CE0301"/>
    <w:rsid w:val="30CE0A81"/>
    <w:rsid w:val="30D51E0F"/>
    <w:rsid w:val="30D75B88"/>
    <w:rsid w:val="30D81900"/>
    <w:rsid w:val="30DE7DF6"/>
    <w:rsid w:val="30DF67EA"/>
    <w:rsid w:val="30E61159"/>
    <w:rsid w:val="30E65DCB"/>
    <w:rsid w:val="30E90C86"/>
    <w:rsid w:val="30EE2ED1"/>
    <w:rsid w:val="30F009F7"/>
    <w:rsid w:val="30F027A5"/>
    <w:rsid w:val="30F06C49"/>
    <w:rsid w:val="30F139DA"/>
    <w:rsid w:val="30F2476F"/>
    <w:rsid w:val="30F310DC"/>
    <w:rsid w:val="30F5600E"/>
    <w:rsid w:val="30F5607D"/>
    <w:rsid w:val="30F57DBC"/>
    <w:rsid w:val="30F71D86"/>
    <w:rsid w:val="30F878AC"/>
    <w:rsid w:val="30F93D50"/>
    <w:rsid w:val="30FD4EC2"/>
    <w:rsid w:val="3103697D"/>
    <w:rsid w:val="31061FC9"/>
    <w:rsid w:val="31085D41"/>
    <w:rsid w:val="310866C8"/>
    <w:rsid w:val="310E70CF"/>
    <w:rsid w:val="311057A0"/>
    <w:rsid w:val="31131651"/>
    <w:rsid w:val="311E2ED7"/>
    <w:rsid w:val="311F3225"/>
    <w:rsid w:val="31216E03"/>
    <w:rsid w:val="31224929"/>
    <w:rsid w:val="31237C6B"/>
    <w:rsid w:val="31280191"/>
    <w:rsid w:val="312B5ED3"/>
    <w:rsid w:val="312D39F9"/>
    <w:rsid w:val="312E1520"/>
    <w:rsid w:val="3130226F"/>
    <w:rsid w:val="31311FBE"/>
    <w:rsid w:val="31327021"/>
    <w:rsid w:val="31336B36"/>
    <w:rsid w:val="31374878"/>
    <w:rsid w:val="31376626"/>
    <w:rsid w:val="313C3C3D"/>
    <w:rsid w:val="313E3AD9"/>
    <w:rsid w:val="3140197F"/>
    <w:rsid w:val="31411253"/>
    <w:rsid w:val="3148438F"/>
    <w:rsid w:val="31490108"/>
    <w:rsid w:val="31496359"/>
    <w:rsid w:val="314C6BC6"/>
    <w:rsid w:val="314D7BF8"/>
    <w:rsid w:val="3150593A"/>
    <w:rsid w:val="315512CA"/>
    <w:rsid w:val="31554CFE"/>
    <w:rsid w:val="315619EE"/>
    <w:rsid w:val="315869BA"/>
    <w:rsid w:val="315A1B46"/>
    <w:rsid w:val="315C449C"/>
    <w:rsid w:val="315E3BB3"/>
    <w:rsid w:val="31603DCF"/>
    <w:rsid w:val="31605B7D"/>
    <w:rsid w:val="31615451"/>
    <w:rsid w:val="316737CE"/>
    <w:rsid w:val="316A69FC"/>
    <w:rsid w:val="31717D8A"/>
    <w:rsid w:val="317433D6"/>
    <w:rsid w:val="317A3384"/>
    <w:rsid w:val="317A4765"/>
    <w:rsid w:val="317A6513"/>
    <w:rsid w:val="31813D45"/>
    <w:rsid w:val="31847007"/>
    <w:rsid w:val="31857392"/>
    <w:rsid w:val="318B2BC8"/>
    <w:rsid w:val="318C2824"/>
    <w:rsid w:val="318E12DA"/>
    <w:rsid w:val="3199108F"/>
    <w:rsid w:val="31A43590"/>
    <w:rsid w:val="31A517E2"/>
    <w:rsid w:val="31A56340"/>
    <w:rsid w:val="31A87524"/>
    <w:rsid w:val="31AA329C"/>
    <w:rsid w:val="31AA6DF8"/>
    <w:rsid w:val="31AD4B3A"/>
    <w:rsid w:val="31B163D9"/>
    <w:rsid w:val="31B41A25"/>
    <w:rsid w:val="31B53264"/>
    <w:rsid w:val="31B77767"/>
    <w:rsid w:val="31B82709"/>
    <w:rsid w:val="31B83782"/>
    <w:rsid w:val="31B934DF"/>
    <w:rsid w:val="31B9528D"/>
    <w:rsid w:val="31BB0B63"/>
    <w:rsid w:val="31C12394"/>
    <w:rsid w:val="31C37EBA"/>
    <w:rsid w:val="31C559E0"/>
    <w:rsid w:val="31C61758"/>
    <w:rsid w:val="31C81974"/>
    <w:rsid w:val="31CA1DF5"/>
    <w:rsid w:val="31CA56EC"/>
    <w:rsid w:val="31CB4544"/>
    <w:rsid w:val="31CD0757"/>
    <w:rsid w:val="31D02A3D"/>
    <w:rsid w:val="31D03522"/>
    <w:rsid w:val="31D04385"/>
    <w:rsid w:val="31D05482"/>
    <w:rsid w:val="31D15247"/>
    <w:rsid w:val="31D40319"/>
    <w:rsid w:val="31D5284E"/>
    <w:rsid w:val="31D607F8"/>
    <w:rsid w:val="31D73965"/>
    <w:rsid w:val="31E02532"/>
    <w:rsid w:val="31E22082"/>
    <w:rsid w:val="31E27622"/>
    <w:rsid w:val="31E63BA8"/>
    <w:rsid w:val="31EA18EB"/>
    <w:rsid w:val="31EA5447"/>
    <w:rsid w:val="31EC0AD5"/>
    <w:rsid w:val="31EC7411"/>
    <w:rsid w:val="31EE13DB"/>
    <w:rsid w:val="31F2254D"/>
    <w:rsid w:val="31F42FA6"/>
    <w:rsid w:val="31F476C7"/>
    <w:rsid w:val="31F521F9"/>
    <w:rsid w:val="31F664E1"/>
    <w:rsid w:val="31FD161E"/>
    <w:rsid w:val="31FE0EF2"/>
    <w:rsid w:val="32056724"/>
    <w:rsid w:val="32086B6D"/>
    <w:rsid w:val="320C1861"/>
    <w:rsid w:val="320D5C1B"/>
    <w:rsid w:val="32110C25"/>
    <w:rsid w:val="32113AB2"/>
    <w:rsid w:val="3211678F"/>
    <w:rsid w:val="3212499D"/>
    <w:rsid w:val="32140715"/>
    <w:rsid w:val="3216448E"/>
    <w:rsid w:val="3216623C"/>
    <w:rsid w:val="32171FB4"/>
    <w:rsid w:val="321B1AA4"/>
    <w:rsid w:val="32230959"/>
    <w:rsid w:val="32236BAB"/>
    <w:rsid w:val="32250B75"/>
    <w:rsid w:val="32270449"/>
    <w:rsid w:val="32270651"/>
    <w:rsid w:val="32286157"/>
    <w:rsid w:val="322E5C7B"/>
    <w:rsid w:val="322F72FD"/>
    <w:rsid w:val="323112C7"/>
    <w:rsid w:val="32313075"/>
    <w:rsid w:val="32317519"/>
    <w:rsid w:val="32333292"/>
    <w:rsid w:val="323B5CA2"/>
    <w:rsid w:val="323C423F"/>
    <w:rsid w:val="323D7C6C"/>
    <w:rsid w:val="32400B34"/>
    <w:rsid w:val="3241412D"/>
    <w:rsid w:val="32420749"/>
    <w:rsid w:val="32432DA9"/>
    <w:rsid w:val="32437B04"/>
    <w:rsid w:val="32463124"/>
    <w:rsid w:val="324803BF"/>
    <w:rsid w:val="32494863"/>
    <w:rsid w:val="325154C6"/>
    <w:rsid w:val="325250B2"/>
    <w:rsid w:val="3253123E"/>
    <w:rsid w:val="32543208"/>
    <w:rsid w:val="325D20BC"/>
    <w:rsid w:val="325E7BE3"/>
    <w:rsid w:val="325F5E35"/>
    <w:rsid w:val="32607DFF"/>
    <w:rsid w:val="32674CE9"/>
    <w:rsid w:val="326957C5"/>
    <w:rsid w:val="326C2300"/>
    <w:rsid w:val="326F1DF0"/>
    <w:rsid w:val="32721D12"/>
    <w:rsid w:val="327411B4"/>
    <w:rsid w:val="32764F2C"/>
    <w:rsid w:val="32787B12"/>
    <w:rsid w:val="327B0795"/>
    <w:rsid w:val="327D450D"/>
    <w:rsid w:val="327F2033"/>
    <w:rsid w:val="32805DAB"/>
    <w:rsid w:val="32821B23"/>
    <w:rsid w:val="32877139"/>
    <w:rsid w:val="32894C60"/>
    <w:rsid w:val="328A6C2A"/>
    <w:rsid w:val="328C29A2"/>
    <w:rsid w:val="328E04C8"/>
    <w:rsid w:val="32902492"/>
    <w:rsid w:val="32947A36"/>
    <w:rsid w:val="32955609"/>
    <w:rsid w:val="32957AA8"/>
    <w:rsid w:val="32963820"/>
    <w:rsid w:val="3296737C"/>
    <w:rsid w:val="32987598"/>
    <w:rsid w:val="329A50BF"/>
    <w:rsid w:val="329D070B"/>
    <w:rsid w:val="329E6876"/>
    <w:rsid w:val="32A0644D"/>
    <w:rsid w:val="32A20056"/>
    <w:rsid w:val="32A25D21"/>
    <w:rsid w:val="32A36D88"/>
    <w:rsid w:val="32A47CEB"/>
    <w:rsid w:val="32A55811"/>
    <w:rsid w:val="32A63A63"/>
    <w:rsid w:val="32A7158A"/>
    <w:rsid w:val="32A77644"/>
    <w:rsid w:val="32A777DC"/>
    <w:rsid w:val="32A970B0"/>
    <w:rsid w:val="32AA2E28"/>
    <w:rsid w:val="32AC3044"/>
    <w:rsid w:val="32B1065A"/>
    <w:rsid w:val="32B141B6"/>
    <w:rsid w:val="32B21B2F"/>
    <w:rsid w:val="32B37F2E"/>
    <w:rsid w:val="32B83797"/>
    <w:rsid w:val="32BA306B"/>
    <w:rsid w:val="32BD2B5B"/>
    <w:rsid w:val="32C043F9"/>
    <w:rsid w:val="32C1089D"/>
    <w:rsid w:val="32C12DE0"/>
    <w:rsid w:val="32C57C62"/>
    <w:rsid w:val="32C71C2C"/>
    <w:rsid w:val="32C91500"/>
    <w:rsid w:val="32CB5278"/>
    <w:rsid w:val="32CC0FF0"/>
    <w:rsid w:val="32CD0B85"/>
    <w:rsid w:val="32CD6737"/>
    <w:rsid w:val="32CD7482"/>
    <w:rsid w:val="32D103B5"/>
    <w:rsid w:val="32D16607"/>
    <w:rsid w:val="32D2372D"/>
    <w:rsid w:val="32D3412D"/>
    <w:rsid w:val="32D54349"/>
    <w:rsid w:val="32D87995"/>
    <w:rsid w:val="32D9616A"/>
    <w:rsid w:val="32DC0235"/>
    <w:rsid w:val="32DC13D3"/>
    <w:rsid w:val="32DD4FAB"/>
    <w:rsid w:val="32E26A66"/>
    <w:rsid w:val="32E31C0C"/>
    <w:rsid w:val="32E36F4F"/>
    <w:rsid w:val="32E7407C"/>
    <w:rsid w:val="32E77BD8"/>
    <w:rsid w:val="32EB1476"/>
    <w:rsid w:val="32EC3440"/>
    <w:rsid w:val="32EF663F"/>
    <w:rsid w:val="32F32A21"/>
    <w:rsid w:val="32F522F5"/>
    <w:rsid w:val="32F6606D"/>
    <w:rsid w:val="32F72511"/>
    <w:rsid w:val="32F83B93"/>
    <w:rsid w:val="32F90662"/>
    <w:rsid w:val="32FA30D2"/>
    <w:rsid w:val="32FD73FC"/>
    <w:rsid w:val="33015626"/>
    <w:rsid w:val="33030EB6"/>
    <w:rsid w:val="33044C2E"/>
    <w:rsid w:val="3307027A"/>
    <w:rsid w:val="330864CC"/>
    <w:rsid w:val="33092244"/>
    <w:rsid w:val="330C763F"/>
    <w:rsid w:val="330D3AE3"/>
    <w:rsid w:val="33114C55"/>
    <w:rsid w:val="33131E56"/>
    <w:rsid w:val="3316226B"/>
    <w:rsid w:val="33174961"/>
    <w:rsid w:val="3317670F"/>
    <w:rsid w:val="33182487"/>
    <w:rsid w:val="33184235"/>
    <w:rsid w:val="331A1D5C"/>
    <w:rsid w:val="331C5AD4"/>
    <w:rsid w:val="331D35FA"/>
    <w:rsid w:val="331D7A9E"/>
    <w:rsid w:val="3321133C"/>
    <w:rsid w:val="332130EA"/>
    <w:rsid w:val="33233306"/>
    <w:rsid w:val="33242BC4"/>
    <w:rsid w:val="33264BA4"/>
    <w:rsid w:val="33274478"/>
    <w:rsid w:val="33285A82"/>
    <w:rsid w:val="332901F1"/>
    <w:rsid w:val="332A30ED"/>
    <w:rsid w:val="332E3A59"/>
    <w:rsid w:val="3330157F"/>
    <w:rsid w:val="333015F2"/>
    <w:rsid w:val="33370B5F"/>
    <w:rsid w:val="3337290D"/>
    <w:rsid w:val="333C43C8"/>
    <w:rsid w:val="333E1EEE"/>
    <w:rsid w:val="333F5C66"/>
    <w:rsid w:val="333F7A14"/>
    <w:rsid w:val="33423060"/>
    <w:rsid w:val="33460DA3"/>
    <w:rsid w:val="33484B1B"/>
    <w:rsid w:val="334B6320"/>
    <w:rsid w:val="334B63B9"/>
    <w:rsid w:val="334D3EDF"/>
    <w:rsid w:val="335334BF"/>
    <w:rsid w:val="33541711"/>
    <w:rsid w:val="335C6818"/>
    <w:rsid w:val="335F1E64"/>
    <w:rsid w:val="33680D19"/>
    <w:rsid w:val="33686F6B"/>
    <w:rsid w:val="336A2CE3"/>
    <w:rsid w:val="336B25B7"/>
    <w:rsid w:val="33704071"/>
    <w:rsid w:val="33723946"/>
    <w:rsid w:val="33791178"/>
    <w:rsid w:val="33797B81"/>
    <w:rsid w:val="337B4EF0"/>
    <w:rsid w:val="337E678E"/>
    <w:rsid w:val="337F42B4"/>
    <w:rsid w:val="33835B53"/>
    <w:rsid w:val="33857B1D"/>
    <w:rsid w:val="338813BB"/>
    <w:rsid w:val="33884F17"/>
    <w:rsid w:val="338D077F"/>
    <w:rsid w:val="338D4C23"/>
    <w:rsid w:val="338D69D1"/>
    <w:rsid w:val="338F44F8"/>
    <w:rsid w:val="33947D60"/>
    <w:rsid w:val="33957634"/>
    <w:rsid w:val="33995376"/>
    <w:rsid w:val="33997124"/>
    <w:rsid w:val="339A6F51"/>
    <w:rsid w:val="339B7340"/>
    <w:rsid w:val="339F1FBF"/>
    <w:rsid w:val="33A06705"/>
    <w:rsid w:val="33A15FD9"/>
    <w:rsid w:val="33A27285"/>
    <w:rsid w:val="33A67096"/>
    <w:rsid w:val="33AB5282"/>
    <w:rsid w:val="33AD0E22"/>
    <w:rsid w:val="33AD2BD0"/>
    <w:rsid w:val="33AE06F6"/>
    <w:rsid w:val="33AF4B9A"/>
    <w:rsid w:val="33B201E6"/>
    <w:rsid w:val="33B421B0"/>
    <w:rsid w:val="33B514D5"/>
    <w:rsid w:val="33B61DCC"/>
    <w:rsid w:val="33B73A4E"/>
    <w:rsid w:val="33BC72B7"/>
    <w:rsid w:val="33BE6B8B"/>
    <w:rsid w:val="33C148CD"/>
    <w:rsid w:val="33C1667B"/>
    <w:rsid w:val="33C543BD"/>
    <w:rsid w:val="33C6593C"/>
    <w:rsid w:val="33C65A3F"/>
    <w:rsid w:val="33CC574C"/>
    <w:rsid w:val="33CF4883"/>
    <w:rsid w:val="33D068BE"/>
    <w:rsid w:val="33D377F4"/>
    <w:rsid w:val="33D4727F"/>
    <w:rsid w:val="33D934D4"/>
    <w:rsid w:val="33DB598F"/>
    <w:rsid w:val="33DE722D"/>
    <w:rsid w:val="33E660E2"/>
    <w:rsid w:val="33E759B9"/>
    <w:rsid w:val="33E800AC"/>
    <w:rsid w:val="33E83C08"/>
    <w:rsid w:val="33EA3E24"/>
    <w:rsid w:val="33EA5BD2"/>
    <w:rsid w:val="33EF31E8"/>
    <w:rsid w:val="33EF6D1C"/>
    <w:rsid w:val="33F16F60"/>
    <w:rsid w:val="33F86541"/>
    <w:rsid w:val="33FB1B8D"/>
    <w:rsid w:val="33FB52BF"/>
    <w:rsid w:val="33FE167D"/>
    <w:rsid w:val="33FE2F6A"/>
    <w:rsid w:val="33FE342B"/>
    <w:rsid w:val="33FE78CF"/>
    <w:rsid w:val="340A1DD0"/>
    <w:rsid w:val="340E07E5"/>
    <w:rsid w:val="340F5638"/>
    <w:rsid w:val="34125129"/>
    <w:rsid w:val="34126ED7"/>
    <w:rsid w:val="341449FD"/>
    <w:rsid w:val="34160775"/>
    <w:rsid w:val="341669C7"/>
    <w:rsid w:val="3417273F"/>
    <w:rsid w:val="34190265"/>
    <w:rsid w:val="341C1B03"/>
    <w:rsid w:val="341E1D1F"/>
    <w:rsid w:val="342015F4"/>
    <w:rsid w:val="34235BF7"/>
    <w:rsid w:val="34237336"/>
    <w:rsid w:val="342A2472"/>
    <w:rsid w:val="342C40ED"/>
    <w:rsid w:val="342C4E17"/>
    <w:rsid w:val="342E1F62"/>
    <w:rsid w:val="34313801"/>
    <w:rsid w:val="3431735D"/>
    <w:rsid w:val="343266CA"/>
    <w:rsid w:val="34346E4D"/>
    <w:rsid w:val="34367D70"/>
    <w:rsid w:val="343750BA"/>
    <w:rsid w:val="34390907"/>
    <w:rsid w:val="343926B5"/>
    <w:rsid w:val="343B467F"/>
    <w:rsid w:val="343C5323"/>
    <w:rsid w:val="343E5F1E"/>
    <w:rsid w:val="34403A44"/>
    <w:rsid w:val="34476B80"/>
    <w:rsid w:val="344A32CC"/>
    <w:rsid w:val="34570776"/>
    <w:rsid w:val="34572B3B"/>
    <w:rsid w:val="345A26F2"/>
    <w:rsid w:val="345F6F7C"/>
    <w:rsid w:val="34602FDD"/>
    <w:rsid w:val="346040E6"/>
    <w:rsid w:val="34621C0C"/>
    <w:rsid w:val="3462703E"/>
    <w:rsid w:val="34637732"/>
    <w:rsid w:val="34675474"/>
    <w:rsid w:val="346A0AC1"/>
    <w:rsid w:val="346A286F"/>
    <w:rsid w:val="346C65E7"/>
    <w:rsid w:val="346E05B1"/>
    <w:rsid w:val="3474193F"/>
    <w:rsid w:val="34767465"/>
    <w:rsid w:val="347A3B83"/>
    <w:rsid w:val="347D25A2"/>
    <w:rsid w:val="347E456C"/>
    <w:rsid w:val="34847DD4"/>
    <w:rsid w:val="34871673"/>
    <w:rsid w:val="34873421"/>
    <w:rsid w:val="3488219A"/>
    <w:rsid w:val="348A1163"/>
    <w:rsid w:val="348A2565"/>
    <w:rsid w:val="348B76D9"/>
    <w:rsid w:val="348F0527"/>
    <w:rsid w:val="3491604D"/>
    <w:rsid w:val="34963664"/>
    <w:rsid w:val="34967B08"/>
    <w:rsid w:val="349809F5"/>
    <w:rsid w:val="34983880"/>
    <w:rsid w:val="349A13A6"/>
    <w:rsid w:val="349B3370"/>
    <w:rsid w:val="349F69BC"/>
    <w:rsid w:val="34A118FF"/>
    <w:rsid w:val="34A264AC"/>
    <w:rsid w:val="34A35D81"/>
    <w:rsid w:val="34AA5361"/>
    <w:rsid w:val="34AF2977"/>
    <w:rsid w:val="34B14942"/>
    <w:rsid w:val="34B561E0"/>
    <w:rsid w:val="34B61F58"/>
    <w:rsid w:val="34B8182C"/>
    <w:rsid w:val="34BF2BBB"/>
    <w:rsid w:val="34C75F13"/>
    <w:rsid w:val="34CA155F"/>
    <w:rsid w:val="34CC3529"/>
    <w:rsid w:val="34CF1DAC"/>
    <w:rsid w:val="34D2624F"/>
    <w:rsid w:val="34D80120"/>
    <w:rsid w:val="34D81ECE"/>
    <w:rsid w:val="34D82FC0"/>
    <w:rsid w:val="34D83C7C"/>
    <w:rsid w:val="34DA79F4"/>
    <w:rsid w:val="34E141C1"/>
    <w:rsid w:val="34E22D4D"/>
    <w:rsid w:val="34E35330"/>
    <w:rsid w:val="34E56399"/>
    <w:rsid w:val="34E73EBF"/>
    <w:rsid w:val="34EB1C02"/>
    <w:rsid w:val="34EB7E53"/>
    <w:rsid w:val="34EE3E95"/>
    <w:rsid w:val="34F12F90"/>
    <w:rsid w:val="34F14D3E"/>
    <w:rsid w:val="34F32864"/>
    <w:rsid w:val="34F90010"/>
    <w:rsid w:val="34F934F5"/>
    <w:rsid w:val="34FB107A"/>
    <w:rsid w:val="350420A0"/>
    <w:rsid w:val="35042CC3"/>
    <w:rsid w:val="35043DC3"/>
    <w:rsid w:val="35044A71"/>
    <w:rsid w:val="350607E9"/>
    <w:rsid w:val="35064C8D"/>
    <w:rsid w:val="35094B0E"/>
    <w:rsid w:val="3509652C"/>
    <w:rsid w:val="350B4052"/>
    <w:rsid w:val="3512337F"/>
    <w:rsid w:val="35141C21"/>
    <w:rsid w:val="35170C48"/>
    <w:rsid w:val="351C000D"/>
    <w:rsid w:val="351C03B3"/>
    <w:rsid w:val="351E58A4"/>
    <w:rsid w:val="35245113"/>
    <w:rsid w:val="35247FD5"/>
    <w:rsid w:val="35260E8C"/>
    <w:rsid w:val="352A3E47"/>
    <w:rsid w:val="352D221A"/>
    <w:rsid w:val="352E7146"/>
    <w:rsid w:val="353115DE"/>
    <w:rsid w:val="35374E47"/>
    <w:rsid w:val="353C420B"/>
    <w:rsid w:val="353E4427"/>
    <w:rsid w:val="3542559A"/>
    <w:rsid w:val="35441312"/>
    <w:rsid w:val="35452190"/>
    <w:rsid w:val="35472BB0"/>
    <w:rsid w:val="35491E6F"/>
    <w:rsid w:val="35494B7A"/>
    <w:rsid w:val="354C0D81"/>
    <w:rsid w:val="354D6802"/>
    <w:rsid w:val="354E116F"/>
    <w:rsid w:val="354E3F3E"/>
    <w:rsid w:val="3550415A"/>
    <w:rsid w:val="35505F08"/>
    <w:rsid w:val="35531555"/>
    <w:rsid w:val="3555351F"/>
    <w:rsid w:val="35584B93"/>
    <w:rsid w:val="35584DBD"/>
    <w:rsid w:val="355A28E3"/>
    <w:rsid w:val="355A6D87"/>
    <w:rsid w:val="355C77E1"/>
    <w:rsid w:val="355E6877"/>
    <w:rsid w:val="355F439E"/>
    <w:rsid w:val="356419B4"/>
    <w:rsid w:val="35653005"/>
    <w:rsid w:val="3567606C"/>
    <w:rsid w:val="356814A4"/>
    <w:rsid w:val="3569521C"/>
    <w:rsid w:val="35696FCA"/>
    <w:rsid w:val="356A2E86"/>
    <w:rsid w:val="356C3BFA"/>
    <w:rsid w:val="357065AB"/>
    <w:rsid w:val="357240D1"/>
    <w:rsid w:val="35725E7F"/>
    <w:rsid w:val="3575771D"/>
    <w:rsid w:val="357D4824"/>
    <w:rsid w:val="357F2070"/>
    <w:rsid w:val="35812566"/>
    <w:rsid w:val="3581411C"/>
    <w:rsid w:val="35847960"/>
    <w:rsid w:val="358636D8"/>
    <w:rsid w:val="358B5193"/>
    <w:rsid w:val="358C5FA8"/>
    <w:rsid w:val="358D0F0B"/>
    <w:rsid w:val="358E07DF"/>
    <w:rsid w:val="358E6A31"/>
    <w:rsid w:val="35915FF2"/>
    <w:rsid w:val="35942299"/>
    <w:rsid w:val="35966E67"/>
    <w:rsid w:val="3598340C"/>
    <w:rsid w:val="35984814"/>
    <w:rsid w:val="3599165E"/>
    <w:rsid w:val="359A3628"/>
    <w:rsid w:val="359C114E"/>
    <w:rsid w:val="359C74CB"/>
    <w:rsid w:val="359D0A22"/>
    <w:rsid w:val="359F0C3E"/>
    <w:rsid w:val="35A3072E"/>
    <w:rsid w:val="35A324DC"/>
    <w:rsid w:val="35A41DB0"/>
    <w:rsid w:val="35A95619"/>
    <w:rsid w:val="35AA386B"/>
    <w:rsid w:val="35AB1391"/>
    <w:rsid w:val="35AB75E3"/>
    <w:rsid w:val="35AE2C2F"/>
    <w:rsid w:val="35AF0E81"/>
    <w:rsid w:val="35B04BF9"/>
    <w:rsid w:val="35B20971"/>
    <w:rsid w:val="35B46497"/>
    <w:rsid w:val="35B5220F"/>
    <w:rsid w:val="35B75F88"/>
    <w:rsid w:val="35BA60CE"/>
    <w:rsid w:val="35BC0B82"/>
    <w:rsid w:val="35BC534C"/>
    <w:rsid w:val="35BF4E3C"/>
    <w:rsid w:val="35BF6BEA"/>
    <w:rsid w:val="35C07A3B"/>
    <w:rsid w:val="35C15DF1"/>
    <w:rsid w:val="35C247A3"/>
    <w:rsid w:val="35C83CF1"/>
    <w:rsid w:val="35CA5CBB"/>
    <w:rsid w:val="35CE6E2D"/>
    <w:rsid w:val="35D023FC"/>
    <w:rsid w:val="35D24B6F"/>
    <w:rsid w:val="35D52E6A"/>
    <w:rsid w:val="35D703D8"/>
    <w:rsid w:val="35D94150"/>
    <w:rsid w:val="35D97CAC"/>
    <w:rsid w:val="35DA3A24"/>
    <w:rsid w:val="35DE3514"/>
    <w:rsid w:val="35DE52C2"/>
    <w:rsid w:val="35E05D71"/>
    <w:rsid w:val="35E120F0"/>
    <w:rsid w:val="35E13004"/>
    <w:rsid w:val="35E270CB"/>
    <w:rsid w:val="35EA010B"/>
    <w:rsid w:val="35EB5C31"/>
    <w:rsid w:val="35EC651F"/>
    <w:rsid w:val="35ED19A9"/>
    <w:rsid w:val="35ED73B6"/>
    <w:rsid w:val="35F26FC0"/>
    <w:rsid w:val="35F51433"/>
    <w:rsid w:val="35F920FC"/>
    <w:rsid w:val="35F965A0"/>
    <w:rsid w:val="35FA5E74"/>
    <w:rsid w:val="35FE7F8F"/>
    <w:rsid w:val="35FF348B"/>
    <w:rsid w:val="36010FB1"/>
    <w:rsid w:val="36050AA1"/>
    <w:rsid w:val="36054F45"/>
    <w:rsid w:val="36074A7F"/>
    <w:rsid w:val="360949B7"/>
    <w:rsid w:val="360B0081"/>
    <w:rsid w:val="360D3DFA"/>
    <w:rsid w:val="360F1920"/>
    <w:rsid w:val="361138EA"/>
    <w:rsid w:val="36126AF0"/>
    <w:rsid w:val="361374C5"/>
    <w:rsid w:val="36146F36"/>
    <w:rsid w:val="361502FC"/>
    <w:rsid w:val="361B6516"/>
    <w:rsid w:val="361C228F"/>
    <w:rsid w:val="361E7DB5"/>
    <w:rsid w:val="36213401"/>
    <w:rsid w:val="36237179"/>
    <w:rsid w:val="36266C69"/>
    <w:rsid w:val="3627310D"/>
    <w:rsid w:val="3628478F"/>
    <w:rsid w:val="362F1FC2"/>
    <w:rsid w:val="36341386"/>
    <w:rsid w:val="36370E76"/>
    <w:rsid w:val="36371D7C"/>
    <w:rsid w:val="36376D1A"/>
    <w:rsid w:val="36394BEF"/>
    <w:rsid w:val="363B2715"/>
    <w:rsid w:val="363C023B"/>
    <w:rsid w:val="363E0457"/>
    <w:rsid w:val="363E2205"/>
    <w:rsid w:val="363E6BBB"/>
    <w:rsid w:val="36407D2B"/>
    <w:rsid w:val="36421CF5"/>
    <w:rsid w:val="364221DA"/>
    <w:rsid w:val="3643374B"/>
    <w:rsid w:val="3643781B"/>
    <w:rsid w:val="36437CF1"/>
    <w:rsid w:val="36483084"/>
    <w:rsid w:val="364A2958"/>
    <w:rsid w:val="36511F38"/>
    <w:rsid w:val="365256CD"/>
    <w:rsid w:val="36533F02"/>
    <w:rsid w:val="365437D6"/>
    <w:rsid w:val="3656754F"/>
    <w:rsid w:val="36592B9B"/>
    <w:rsid w:val="365C268B"/>
    <w:rsid w:val="365D08DD"/>
    <w:rsid w:val="365E7F82"/>
    <w:rsid w:val="36603F29"/>
    <w:rsid w:val="36617CA1"/>
    <w:rsid w:val="36636652"/>
    <w:rsid w:val="36637EBD"/>
    <w:rsid w:val="36657792"/>
    <w:rsid w:val="3667350A"/>
    <w:rsid w:val="366854D4"/>
    <w:rsid w:val="366A4DA8"/>
    <w:rsid w:val="366D4898"/>
    <w:rsid w:val="366F6862"/>
    <w:rsid w:val="36721EA8"/>
    <w:rsid w:val="36745C27"/>
    <w:rsid w:val="36770937"/>
    <w:rsid w:val="36785717"/>
    <w:rsid w:val="367D2D2D"/>
    <w:rsid w:val="367E2601"/>
    <w:rsid w:val="367F4CF7"/>
    <w:rsid w:val="36806379"/>
    <w:rsid w:val="36826596"/>
    <w:rsid w:val="368470CC"/>
    <w:rsid w:val="36857E34"/>
    <w:rsid w:val="36873BAC"/>
    <w:rsid w:val="3688599E"/>
    <w:rsid w:val="368A71F8"/>
    <w:rsid w:val="368C11C2"/>
    <w:rsid w:val="368C2F70"/>
    <w:rsid w:val="36923549"/>
    <w:rsid w:val="369246BF"/>
    <w:rsid w:val="36941E25"/>
    <w:rsid w:val="36965B9D"/>
    <w:rsid w:val="369B1405"/>
    <w:rsid w:val="369B3F26"/>
    <w:rsid w:val="369D6F2B"/>
    <w:rsid w:val="369E0EF6"/>
    <w:rsid w:val="36A22794"/>
    <w:rsid w:val="36A4475E"/>
    <w:rsid w:val="36A93B22"/>
    <w:rsid w:val="36AA789A"/>
    <w:rsid w:val="36AB673F"/>
    <w:rsid w:val="36AF3103"/>
    <w:rsid w:val="36AF6C5F"/>
    <w:rsid w:val="36B335DA"/>
    <w:rsid w:val="36B75FBF"/>
    <w:rsid w:val="36B973A6"/>
    <w:rsid w:val="36BA5D2F"/>
    <w:rsid w:val="36BB493D"/>
    <w:rsid w:val="36BB5604"/>
    <w:rsid w:val="36BD0C45"/>
    <w:rsid w:val="36BE50F4"/>
    <w:rsid w:val="36C26992"/>
    <w:rsid w:val="36C3270A"/>
    <w:rsid w:val="36C34F9B"/>
    <w:rsid w:val="36C6342D"/>
    <w:rsid w:val="36C95F72"/>
    <w:rsid w:val="36CA1CEB"/>
    <w:rsid w:val="36CE2DB3"/>
    <w:rsid w:val="36CF04CC"/>
    <w:rsid w:val="36CF10AF"/>
    <w:rsid w:val="36D13079"/>
    <w:rsid w:val="36D36DF1"/>
    <w:rsid w:val="36D6243D"/>
    <w:rsid w:val="36D641EB"/>
    <w:rsid w:val="36D8249B"/>
    <w:rsid w:val="36D87F64"/>
    <w:rsid w:val="36DA1F9A"/>
    <w:rsid w:val="36DD557A"/>
    <w:rsid w:val="36DD6847"/>
    <w:rsid w:val="36DF7544"/>
    <w:rsid w:val="36E25286"/>
    <w:rsid w:val="36E508D2"/>
    <w:rsid w:val="36EA5EE9"/>
    <w:rsid w:val="36EE3C2B"/>
    <w:rsid w:val="36EE7787"/>
    <w:rsid w:val="36EF52AD"/>
    <w:rsid w:val="36F079A3"/>
    <w:rsid w:val="36F40B16"/>
    <w:rsid w:val="36F56D67"/>
    <w:rsid w:val="3700570C"/>
    <w:rsid w:val="37021484"/>
    <w:rsid w:val="370451FC"/>
    <w:rsid w:val="370C2303"/>
    <w:rsid w:val="37104E51"/>
    <w:rsid w:val="3710594F"/>
    <w:rsid w:val="37113475"/>
    <w:rsid w:val="371371EE"/>
    <w:rsid w:val="37152F66"/>
    <w:rsid w:val="371A3C18"/>
    <w:rsid w:val="371A4A20"/>
    <w:rsid w:val="371D1E1A"/>
    <w:rsid w:val="37225683"/>
    <w:rsid w:val="37227431"/>
    <w:rsid w:val="37294C63"/>
    <w:rsid w:val="37296A11"/>
    <w:rsid w:val="372A4537"/>
    <w:rsid w:val="372B5833"/>
    <w:rsid w:val="372C02AF"/>
    <w:rsid w:val="372E2279"/>
    <w:rsid w:val="373445D0"/>
    <w:rsid w:val="373553B6"/>
    <w:rsid w:val="3736112E"/>
    <w:rsid w:val="373A6E70"/>
    <w:rsid w:val="373B6744"/>
    <w:rsid w:val="373C4996"/>
    <w:rsid w:val="373D24BC"/>
    <w:rsid w:val="373D331B"/>
    <w:rsid w:val="373D426B"/>
    <w:rsid w:val="37403D5B"/>
    <w:rsid w:val="374101FF"/>
    <w:rsid w:val="374342B4"/>
    <w:rsid w:val="3744384B"/>
    <w:rsid w:val="374455F9"/>
    <w:rsid w:val="374675C3"/>
    <w:rsid w:val="37492C0F"/>
    <w:rsid w:val="374B2E2B"/>
    <w:rsid w:val="374C50B7"/>
    <w:rsid w:val="374D4675"/>
    <w:rsid w:val="374E0226"/>
    <w:rsid w:val="37505B7F"/>
    <w:rsid w:val="37531CE0"/>
    <w:rsid w:val="37533A8E"/>
    <w:rsid w:val="37537F32"/>
    <w:rsid w:val="375515B4"/>
    <w:rsid w:val="37575E0D"/>
    <w:rsid w:val="375A306E"/>
    <w:rsid w:val="375E0EBB"/>
    <w:rsid w:val="376161AB"/>
    <w:rsid w:val="376513F0"/>
    <w:rsid w:val="37677539"/>
    <w:rsid w:val="37695060"/>
    <w:rsid w:val="376B0DD8"/>
    <w:rsid w:val="376B702A"/>
    <w:rsid w:val="376D2DA2"/>
    <w:rsid w:val="376E2676"/>
    <w:rsid w:val="37702892"/>
    <w:rsid w:val="377063EE"/>
    <w:rsid w:val="37737C8C"/>
    <w:rsid w:val="37753A04"/>
    <w:rsid w:val="377753EA"/>
    <w:rsid w:val="377A101B"/>
    <w:rsid w:val="377F0D27"/>
    <w:rsid w:val="377F4883"/>
    <w:rsid w:val="37887BDC"/>
    <w:rsid w:val="37893954"/>
    <w:rsid w:val="378C0D4E"/>
    <w:rsid w:val="37913D4A"/>
    <w:rsid w:val="379320DC"/>
    <w:rsid w:val="379540A7"/>
    <w:rsid w:val="37955E55"/>
    <w:rsid w:val="37971BCD"/>
    <w:rsid w:val="3797278D"/>
    <w:rsid w:val="37976071"/>
    <w:rsid w:val="379E11AD"/>
    <w:rsid w:val="37A12A4B"/>
    <w:rsid w:val="37A20571"/>
    <w:rsid w:val="37A23C7A"/>
    <w:rsid w:val="37A43949"/>
    <w:rsid w:val="37A442EA"/>
    <w:rsid w:val="37A52B4A"/>
    <w:rsid w:val="37A61E10"/>
    <w:rsid w:val="37A83DDA"/>
    <w:rsid w:val="37AB5678"/>
    <w:rsid w:val="37AE6F16"/>
    <w:rsid w:val="37B00EE0"/>
    <w:rsid w:val="37B22EAA"/>
    <w:rsid w:val="37B3452D"/>
    <w:rsid w:val="37B502A5"/>
    <w:rsid w:val="37B7401D"/>
    <w:rsid w:val="37B861EF"/>
    <w:rsid w:val="37C01466"/>
    <w:rsid w:val="37C12E29"/>
    <w:rsid w:val="37C130EE"/>
    <w:rsid w:val="37C24C19"/>
    <w:rsid w:val="37C30C14"/>
    <w:rsid w:val="37C36BD9"/>
    <w:rsid w:val="37C36E66"/>
    <w:rsid w:val="37C91115"/>
    <w:rsid w:val="37CA01F4"/>
    <w:rsid w:val="37CB0D94"/>
    <w:rsid w:val="37CE75B8"/>
    <w:rsid w:val="37D143DE"/>
    <w:rsid w:val="37D20E57"/>
    <w:rsid w:val="37D270A9"/>
    <w:rsid w:val="37D50947"/>
    <w:rsid w:val="37D864DF"/>
    <w:rsid w:val="37D90437"/>
    <w:rsid w:val="37DA5CEB"/>
    <w:rsid w:val="37DB4E60"/>
    <w:rsid w:val="37DC1CD5"/>
    <w:rsid w:val="37DC7F27"/>
    <w:rsid w:val="37DD7E02"/>
    <w:rsid w:val="37DE3EDF"/>
    <w:rsid w:val="37E00298"/>
    <w:rsid w:val="37E47215"/>
    <w:rsid w:val="37E961A0"/>
    <w:rsid w:val="37EA43F2"/>
    <w:rsid w:val="37EB1F18"/>
    <w:rsid w:val="37EB3CC7"/>
    <w:rsid w:val="37EE38B8"/>
    <w:rsid w:val="37F05781"/>
    <w:rsid w:val="37F30DCD"/>
    <w:rsid w:val="37F7266B"/>
    <w:rsid w:val="37FC2378"/>
    <w:rsid w:val="37FE0959"/>
    <w:rsid w:val="37FF15EF"/>
    <w:rsid w:val="37FF7772"/>
    <w:rsid w:val="380357AD"/>
    <w:rsid w:val="38044D88"/>
    <w:rsid w:val="38066D52"/>
    <w:rsid w:val="380A6843"/>
    <w:rsid w:val="380D6333"/>
    <w:rsid w:val="380D6386"/>
    <w:rsid w:val="381270FD"/>
    <w:rsid w:val="38176BBC"/>
    <w:rsid w:val="38194CD8"/>
    <w:rsid w:val="381C6576"/>
    <w:rsid w:val="381F1BC2"/>
    <w:rsid w:val="38210D36"/>
    <w:rsid w:val="3824387A"/>
    <w:rsid w:val="3825367C"/>
    <w:rsid w:val="382611A3"/>
    <w:rsid w:val="382A0C93"/>
    <w:rsid w:val="382B67B9"/>
    <w:rsid w:val="382C4A0B"/>
    <w:rsid w:val="382D4708"/>
    <w:rsid w:val="382F0057"/>
    <w:rsid w:val="382F44FB"/>
    <w:rsid w:val="38312021"/>
    <w:rsid w:val="383513E6"/>
    <w:rsid w:val="38353194"/>
    <w:rsid w:val="383B4C4E"/>
    <w:rsid w:val="383C2774"/>
    <w:rsid w:val="383D6DCE"/>
    <w:rsid w:val="38404012"/>
    <w:rsid w:val="38415FDC"/>
    <w:rsid w:val="38455ACD"/>
    <w:rsid w:val="38481119"/>
    <w:rsid w:val="3848736B"/>
    <w:rsid w:val="384D672F"/>
    <w:rsid w:val="384F06F9"/>
    <w:rsid w:val="38504F55"/>
    <w:rsid w:val="38523D46"/>
    <w:rsid w:val="385775AE"/>
    <w:rsid w:val="38593326"/>
    <w:rsid w:val="38621FBC"/>
    <w:rsid w:val="3862667F"/>
    <w:rsid w:val="38635F53"/>
    <w:rsid w:val="38666A14"/>
    <w:rsid w:val="38675A43"/>
    <w:rsid w:val="386A5533"/>
    <w:rsid w:val="386C3059"/>
    <w:rsid w:val="386D0BE6"/>
    <w:rsid w:val="386E3C6A"/>
    <w:rsid w:val="387737AC"/>
    <w:rsid w:val="387C0200"/>
    <w:rsid w:val="387C734F"/>
    <w:rsid w:val="387D60DC"/>
    <w:rsid w:val="387D6291"/>
    <w:rsid w:val="387E2D8D"/>
    <w:rsid w:val="38804D57"/>
    <w:rsid w:val="38806B05"/>
    <w:rsid w:val="388163D9"/>
    <w:rsid w:val="3882287D"/>
    <w:rsid w:val="38840D93"/>
    <w:rsid w:val="38855EC9"/>
    <w:rsid w:val="38855EDB"/>
    <w:rsid w:val="38881374"/>
    <w:rsid w:val="38883C0B"/>
    <w:rsid w:val="388A225D"/>
    <w:rsid w:val="388C54AA"/>
    <w:rsid w:val="388D4D7E"/>
    <w:rsid w:val="388F4F9A"/>
    <w:rsid w:val="3891486E"/>
    <w:rsid w:val="389205E6"/>
    <w:rsid w:val="38935597"/>
    <w:rsid w:val="38966328"/>
    <w:rsid w:val="38997BC6"/>
    <w:rsid w:val="389D1465"/>
    <w:rsid w:val="38A071A7"/>
    <w:rsid w:val="38A13376"/>
    <w:rsid w:val="38A65E3F"/>
    <w:rsid w:val="38A722E3"/>
    <w:rsid w:val="38A85F49"/>
    <w:rsid w:val="38AA1DD4"/>
    <w:rsid w:val="38AE3672"/>
    <w:rsid w:val="38AF73EA"/>
    <w:rsid w:val="38B14F10"/>
    <w:rsid w:val="38B302F9"/>
    <w:rsid w:val="38B467AE"/>
    <w:rsid w:val="38B7004D"/>
    <w:rsid w:val="38BD5663"/>
    <w:rsid w:val="38BD5699"/>
    <w:rsid w:val="38C22C79"/>
    <w:rsid w:val="38C509BB"/>
    <w:rsid w:val="38C5276A"/>
    <w:rsid w:val="38C764E2"/>
    <w:rsid w:val="38C84008"/>
    <w:rsid w:val="38CD7870"/>
    <w:rsid w:val="38CF0F38"/>
    <w:rsid w:val="38CF35E8"/>
    <w:rsid w:val="38D16C69"/>
    <w:rsid w:val="38D47048"/>
    <w:rsid w:val="38D77FCD"/>
    <w:rsid w:val="38D806EF"/>
    <w:rsid w:val="38D94467"/>
    <w:rsid w:val="38D96215"/>
    <w:rsid w:val="38D97FC3"/>
    <w:rsid w:val="38DF7CCF"/>
    <w:rsid w:val="38E47094"/>
    <w:rsid w:val="38EC5F48"/>
    <w:rsid w:val="38EC7CF6"/>
    <w:rsid w:val="38F117B0"/>
    <w:rsid w:val="38F12CD3"/>
    <w:rsid w:val="38F1355F"/>
    <w:rsid w:val="38F31085"/>
    <w:rsid w:val="38F372D7"/>
    <w:rsid w:val="38F4304F"/>
    <w:rsid w:val="38F65019"/>
    <w:rsid w:val="38F66DC7"/>
    <w:rsid w:val="38F80D91"/>
    <w:rsid w:val="38F90665"/>
    <w:rsid w:val="38F94775"/>
    <w:rsid w:val="38F95540"/>
    <w:rsid w:val="38FB262F"/>
    <w:rsid w:val="38FC32F5"/>
    <w:rsid w:val="390239BE"/>
    <w:rsid w:val="3902751A"/>
    <w:rsid w:val="39047736"/>
    <w:rsid w:val="3907079C"/>
    <w:rsid w:val="390A63CE"/>
    <w:rsid w:val="390D3AAA"/>
    <w:rsid w:val="390D68A8"/>
    <w:rsid w:val="390E2362"/>
    <w:rsid w:val="390E76DF"/>
    <w:rsid w:val="39111E53"/>
    <w:rsid w:val="39131727"/>
    <w:rsid w:val="39137979"/>
    <w:rsid w:val="3914549F"/>
    <w:rsid w:val="3914724D"/>
    <w:rsid w:val="391A0D07"/>
    <w:rsid w:val="391D4354"/>
    <w:rsid w:val="391E1E7A"/>
    <w:rsid w:val="39205BF2"/>
    <w:rsid w:val="39227BBC"/>
    <w:rsid w:val="392456E2"/>
    <w:rsid w:val="39271051"/>
    <w:rsid w:val="39276F80"/>
    <w:rsid w:val="39277222"/>
    <w:rsid w:val="39292CF8"/>
    <w:rsid w:val="3929719C"/>
    <w:rsid w:val="392971ED"/>
    <w:rsid w:val="392A3BCE"/>
    <w:rsid w:val="392A6A70"/>
    <w:rsid w:val="392B58F2"/>
    <w:rsid w:val="392C27E9"/>
    <w:rsid w:val="392E030F"/>
    <w:rsid w:val="392E0314"/>
    <w:rsid w:val="393022D9"/>
    <w:rsid w:val="39317DFF"/>
    <w:rsid w:val="39325651"/>
    <w:rsid w:val="39331DC9"/>
    <w:rsid w:val="39335925"/>
    <w:rsid w:val="39363667"/>
    <w:rsid w:val="393671C3"/>
    <w:rsid w:val="393A4F06"/>
    <w:rsid w:val="393B1BB5"/>
    <w:rsid w:val="393B7CF1"/>
    <w:rsid w:val="393F076E"/>
    <w:rsid w:val="393F251C"/>
    <w:rsid w:val="39406294"/>
    <w:rsid w:val="39416688"/>
    <w:rsid w:val="39420AEC"/>
    <w:rsid w:val="3942200C"/>
    <w:rsid w:val="39423DBA"/>
    <w:rsid w:val="39455658"/>
    <w:rsid w:val="3947398A"/>
    <w:rsid w:val="394A2C6F"/>
    <w:rsid w:val="394A4DFF"/>
    <w:rsid w:val="394B7113"/>
    <w:rsid w:val="39502F10"/>
    <w:rsid w:val="39504729"/>
    <w:rsid w:val="39513F13"/>
    <w:rsid w:val="3962445C"/>
    <w:rsid w:val="396401D4"/>
    <w:rsid w:val="39653C7D"/>
    <w:rsid w:val="39663F4D"/>
    <w:rsid w:val="39671A73"/>
    <w:rsid w:val="39677CC5"/>
    <w:rsid w:val="39691347"/>
    <w:rsid w:val="396A50BF"/>
    <w:rsid w:val="396C4215"/>
    <w:rsid w:val="396C649D"/>
    <w:rsid w:val="396C7089"/>
    <w:rsid w:val="3971644D"/>
    <w:rsid w:val="397228F1"/>
    <w:rsid w:val="397A3554"/>
    <w:rsid w:val="397C3770"/>
    <w:rsid w:val="397D7CE3"/>
    <w:rsid w:val="39842625"/>
    <w:rsid w:val="3986014B"/>
    <w:rsid w:val="3986639D"/>
    <w:rsid w:val="39873EC3"/>
    <w:rsid w:val="39875C71"/>
    <w:rsid w:val="398C3287"/>
    <w:rsid w:val="39932868"/>
    <w:rsid w:val="39957106"/>
    <w:rsid w:val="39972358"/>
    <w:rsid w:val="39981C2C"/>
    <w:rsid w:val="3998745F"/>
    <w:rsid w:val="39987E7E"/>
    <w:rsid w:val="399A3BF6"/>
    <w:rsid w:val="399B7122"/>
    <w:rsid w:val="399F120C"/>
    <w:rsid w:val="39A148C7"/>
    <w:rsid w:val="39A24859"/>
    <w:rsid w:val="39A607ED"/>
    <w:rsid w:val="39A700C1"/>
    <w:rsid w:val="39A84565"/>
    <w:rsid w:val="39A86127"/>
    <w:rsid w:val="39A86313"/>
    <w:rsid w:val="39AE1450"/>
    <w:rsid w:val="39AE76A2"/>
    <w:rsid w:val="39AF61D8"/>
    <w:rsid w:val="39B12CEE"/>
    <w:rsid w:val="39B27192"/>
    <w:rsid w:val="39B4306C"/>
    <w:rsid w:val="39B60304"/>
    <w:rsid w:val="39B63E9B"/>
    <w:rsid w:val="39B747A8"/>
    <w:rsid w:val="39B867BB"/>
    <w:rsid w:val="39BA4298"/>
    <w:rsid w:val="39BB2BAC"/>
    <w:rsid w:val="39BD78E5"/>
    <w:rsid w:val="39BF365D"/>
    <w:rsid w:val="39BF540B"/>
    <w:rsid w:val="39C649EB"/>
    <w:rsid w:val="39C90037"/>
    <w:rsid w:val="39C96289"/>
    <w:rsid w:val="39CB0253"/>
    <w:rsid w:val="39CB7802"/>
    <w:rsid w:val="39CD7B28"/>
    <w:rsid w:val="39CE1AF2"/>
    <w:rsid w:val="39CE641A"/>
    <w:rsid w:val="39D0586A"/>
    <w:rsid w:val="39D23390"/>
    <w:rsid w:val="39E135D3"/>
    <w:rsid w:val="39E15381"/>
    <w:rsid w:val="39E245F9"/>
    <w:rsid w:val="39E41315"/>
    <w:rsid w:val="39E42709"/>
    <w:rsid w:val="39E6508D"/>
    <w:rsid w:val="39E76710"/>
    <w:rsid w:val="39E8110F"/>
    <w:rsid w:val="39E92488"/>
    <w:rsid w:val="39EA164A"/>
    <w:rsid w:val="39EC7B15"/>
    <w:rsid w:val="39ED01CA"/>
    <w:rsid w:val="39EE5CF0"/>
    <w:rsid w:val="39F06BFD"/>
    <w:rsid w:val="39F23A32"/>
    <w:rsid w:val="39F2758E"/>
    <w:rsid w:val="39F72DF7"/>
    <w:rsid w:val="39F74BA5"/>
    <w:rsid w:val="39F75EA6"/>
    <w:rsid w:val="39FC21BB"/>
    <w:rsid w:val="39FC7DA9"/>
    <w:rsid w:val="39FF3A59"/>
    <w:rsid w:val="3A045513"/>
    <w:rsid w:val="3A0472C2"/>
    <w:rsid w:val="3A055283"/>
    <w:rsid w:val="3A0B4C95"/>
    <w:rsid w:val="3A12378C"/>
    <w:rsid w:val="3A137505"/>
    <w:rsid w:val="3A1439A9"/>
    <w:rsid w:val="3A192D6D"/>
    <w:rsid w:val="3A195161"/>
    <w:rsid w:val="3A1A4D37"/>
    <w:rsid w:val="3A1C285D"/>
    <w:rsid w:val="3A23599A"/>
    <w:rsid w:val="3A241712"/>
    <w:rsid w:val="3A26189D"/>
    <w:rsid w:val="3A296D28"/>
    <w:rsid w:val="3A2A02C9"/>
    <w:rsid w:val="3A2A4F7A"/>
    <w:rsid w:val="3A2B2111"/>
    <w:rsid w:val="3A2B2AA0"/>
    <w:rsid w:val="3A2F07E2"/>
    <w:rsid w:val="3A2F2590"/>
    <w:rsid w:val="3A30455A"/>
    <w:rsid w:val="3A322081"/>
    <w:rsid w:val="3A3556CD"/>
    <w:rsid w:val="3A3951BD"/>
    <w:rsid w:val="3A3B7187"/>
    <w:rsid w:val="3A3C2EFF"/>
    <w:rsid w:val="3A40479E"/>
    <w:rsid w:val="3A414072"/>
    <w:rsid w:val="3A433A5E"/>
    <w:rsid w:val="3A465B2C"/>
    <w:rsid w:val="3A4F75EF"/>
    <w:rsid w:val="3A5244D1"/>
    <w:rsid w:val="3A59585F"/>
    <w:rsid w:val="3A5B15D7"/>
    <w:rsid w:val="3A6164C2"/>
    <w:rsid w:val="3A647D60"/>
    <w:rsid w:val="3A683CF4"/>
    <w:rsid w:val="3A695377"/>
    <w:rsid w:val="3A6A35C8"/>
    <w:rsid w:val="3A6B7341"/>
    <w:rsid w:val="3A6D30B9"/>
    <w:rsid w:val="3A711271"/>
    <w:rsid w:val="3A716474"/>
    <w:rsid w:val="3A7206CF"/>
    <w:rsid w:val="3A726921"/>
    <w:rsid w:val="3A742699"/>
    <w:rsid w:val="3A744447"/>
    <w:rsid w:val="3A7601BF"/>
    <w:rsid w:val="3A775CE5"/>
    <w:rsid w:val="3A791A5E"/>
    <w:rsid w:val="3A7B57D6"/>
    <w:rsid w:val="3A7E159B"/>
    <w:rsid w:val="3A7E7074"/>
    <w:rsid w:val="3A822B01"/>
    <w:rsid w:val="3A836438"/>
    <w:rsid w:val="3A8521B0"/>
    <w:rsid w:val="3A865F28"/>
    <w:rsid w:val="3A872856"/>
    <w:rsid w:val="3A886145"/>
    <w:rsid w:val="3A8C79E3"/>
    <w:rsid w:val="3A8D5509"/>
    <w:rsid w:val="3A8D72B7"/>
    <w:rsid w:val="3A8F302F"/>
    <w:rsid w:val="3A916DA7"/>
    <w:rsid w:val="3A920D71"/>
    <w:rsid w:val="3A9248CD"/>
    <w:rsid w:val="3A956CA9"/>
    <w:rsid w:val="3A96260F"/>
    <w:rsid w:val="3A971EE4"/>
    <w:rsid w:val="3A993EAE"/>
    <w:rsid w:val="3A9B19D4"/>
    <w:rsid w:val="3A9E3272"/>
    <w:rsid w:val="3A9E7716"/>
    <w:rsid w:val="3AA27206"/>
    <w:rsid w:val="3AA30888"/>
    <w:rsid w:val="3AA36ADA"/>
    <w:rsid w:val="3AA80595"/>
    <w:rsid w:val="3AA82343"/>
    <w:rsid w:val="3AAA60BB"/>
    <w:rsid w:val="3AAC1E33"/>
    <w:rsid w:val="3AAC3BE1"/>
    <w:rsid w:val="3AAD5BAB"/>
    <w:rsid w:val="3AAF36D1"/>
    <w:rsid w:val="3AB363E3"/>
    <w:rsid w:val="3AB40CE8"/>
    <w:rsid w:val="3AB57B20"/>
    <w:rsid w:val="3AB64A60"/>
    <w:rsid w:val="3AB6680E"/>
    <w:rsid w:val="3AB75076"/>
    <w:rsid w:val="3AB962FE"/>
    <w:rsid w:val="3ABB02C8"/>
    <w:rsid w:val="3ABE56C2"/>
    <w:rsid w:val="3AC058DE"/>
    <w:rsid w:val="3AC21656"/>
    <w:rsid w:val="3AC336EA"/>
    <w:rsid w:val="3AC4344A"/>
    <w:rsid w:val="3AC63751"/>
    <w:rsid w:val="3AC76C6D"/>
    <w:rsid w:val="3ACA4067"/>
    <w:rsid w:val="3ACA5AF3"/>
    <w:rsid w:val="3ACC4C05"/>
    <w:rsid w:val="3ACF78CF"/>
    <w:rsid w:val="3AD13648"/>
    <w:rsid w:val="3AD153F6"/>
    <w:rsid w:val="3AD2467C"/>
    <w:rsid w:val="3AD62A0C"/>
    <w:rsid w:val="3AD969A0"/>
    <w:rsid w:val="3ADC2E01"/>
    <w:rsid w:val="3ADC3D9A"/>
    <w:rsid w:val="3AE26C73"/>
    <w:rsid w:val="3AE315CD"/>
    <w:rsid w:val="3AE535C6"/>
    <w:rsid w:val="3AE55345"/>
    <w:rsid w:val="3AE62426"/>
    <w:rsid w:val="3AE66A84"/>
    <w:rsid w:val="3AEA295B"/>
    <w:rsid w:val="3AEA64B7"/>
    <w:rsid w:val="3AEC222F"/>
    <w:rsid w:val="3AEF3ACE"/>
    <w:rsid w:val="3AF13CEA"/>
    <w:rsid w:val="3AF45588"/>
    <w:rsid w:val="3AF631BC"/>
    <w:rsid w:val="3AFC3D3F"/>
    <w:rsid w:val="3AFD268F"/>
    <w:rsid w:val="3AFD519E"/>
    <w:rsid w:val="3B003F2D"/>
    <w:rsid w:val="3B021A53"/>
    <w:rsid w:val="3B037579"/>
    <w:rsid w:val="3B077069"/>
    <w:rsid w:val="3B082DE1"/>
    <w:rsid w:val="3B0C4680"/>
    <w:rsid w:val="3B0E5C90"/>
    <w:rsid w:val="3B1919C4"/>
    <w:rsid w:val="3B1B0D67"/>
    <w:rsid w:val="3B1B6E04"/>
    <w:rsid w:val="3B201ED9"/>
    <w:rsid w:val="3B255741"/>
    <w:rsid w:val="3B263F17"/>
    <w:rsid w:val="3B273268"/>
    <w:rsid w:val="3B293484"/>
    <w:rsid w:val="3B295232"/>
    <w:rsid w:val="3B2C2F74"/>
    <w:rsid w:val="3B2E2848"/>
    <w:rsid w:val="3B312338"/>
    <w:rsid w:val="3B331C0C"/>
    <w:rsid w:val="3B3360B0"/>
    <w:rsid w:val="3B343BD6"/>
    <w:rsid w:val="3B3763D1"/>
    <w:rsid w:val="3B3B31B7"/>
    <w:rsid w:val="3B3F2CA7"/>
    <w:rsid w:val="3B3F4A55"/>
    <w:rsid w:val="3B455DE4"/>
    <w:rsid w:val="3B457B92"/>
    <w:rsid w:val="3B4756B8"/>
    <w:rsid w:val="3B491430"/>
    <w:rsid w:val="3B497682"/>
    <w:rsid w:val="3B4C2CCE"/>
    <w:rsid w:val="3B4E2EEA"/>
    <w:rsid w:val="3B4F45B3"/>
    <w:rsid w:val="3B506C62"/>
    <w:rsid w:val="3B5129DA"/>
    <w:rsid w:val="3B530501"/>
    <w:rsid w:val="3B563B4D"/>
    <w:rsid w:val="3B581673"/>
    <w:rsid w:val="3B591FDB"/>
    <w:rsid w:val="3B5A188F"/>
    <w:rsid w:val="3B5B1163"/>
    <w:rsid w:val="3B5D312D"/>
    <w:rsid w:val="3B5F0C53"/>
    <w:rsid w:val="3B6224F2"/>
    <w:rsid w:val="3B626996"/>
    <w:rsid w:val="3B6273BD"/>
    <w:rsid w:val="3B6444BC"/>
    <w:rsid w:val="3B68367D"/>
    <w:rsid w:val="3B693880"/>
    <w:rsid w:val="3B6C3370"/>
    <w:rsid w:val="3B70502D"/>
    <w:rsid w:val="3B714E2B"/>
    <w:rsid w:val="3B762441"/>
    <w:rsid w:val="3B787F67"/>
    <w:rsid w:val="3B7A783B"/>
    <w:rsid w:val="3B7F30A4"/>
    <w:rsid w:val="3B800BCA"/>
    <w:rsid w:val="3B81506E"/>
    <w:rsid w:val="3B824942"/>
    <w:rsid w:val="3B827442"/>
    <w:rsid w:val="3B844B5E"/>
    <w:rsid w:val="3B854432"/>
    <w:rsid w:val="3B936B4F"/>
    <w:rsid w:val="3B9603ED"/>
    <w:rsid w:val="3B9659D1"/>
    <w:rsid w:val="3B9823B7"/>
    <w:rsid w:val="3B9A505A"/>
    <w:rsid w:val="3B9F3746"/>
    <w:rsid w:val="3BA7084C"/>
    <w:rsid w:val="3BA743A8"/>
    <w:rsid w:val="3BAB0637"/>
    <w:rsid w:val="3BAB20EB"/>
    <w:rsid w:val="3BAB3E99"/>
    <w:rsid w:val="3BAC5E63"/>
    <w:rsid w:val="3BAE46FA"/>
    <w:rsid w:val="3BAE4B45"/>
    <w:rsid w:val="3BB10350"/>
    <w:rsid w:val="3BB15227"/>
    <w:rsid w:val="3BB32D4D"/>
    <w:rsid w:val="3BB36270"/>
    <w:rsid w:val="3BB56AC5"/>
    <w:rsid w:val="3BB645EB"/>
    <w:rsid w:val="3BB70A8F"/>
    <w:rsid w:val="3BB75988"/>
    <w:rsid w:val="3BB865B6"/>
    <w:rsid w:val="3BBA40DC"/>
    <w:rsid w:val="3BBB7E54"/>
    <w:rsid w:val="3BBC42F8"/>
    <w:rsid w:val="3BBD3BCC"/>
    <w:rsid w:val="3BBF7944"/>
    <w:rsid w:val="3BC1190E"/>
    <w:rsid w:val="3BC11D04"/>
    <w:rsid w:val="3BC27434"/>
    <w:rsid w:val="3BC431AC"/>
    <w:rsid w:val="3BC44F5A"/>
    <w:rsid w:val="3BC82C9D"/>
    <w:rsid w:val="3BC850D1"/>
    <w:rsid w:val="3BC907C3"/>
    <w:rsid w:val="3BC9431F"/>
    <w:rsid w:val="3BC944D9"/>
    <w:rsid w:val="3BC9468F"/>
    <w:rsid w:val="3BCB62E9"/>
    <w:rsid w:val="3BCE402B"/>
    <w:rsid w:val="3BD117F8"/>
    <w:rsid w:val="3BD3519D"/>
    <w:rsid w:val="3BD37F89"/>
    <w:rsid w:val="3BDA477E"/>
    <w:rsid w:val="3BDF1D94"/>
    <w:rsid w:val="3BDF7FE6"/>
    <w:rsid w:val="3BE63CCF"/>
    <w:rsid w:val="3BEB0739"/>
    <w:rsid w:val="3BEB698B"/>
    <w:rsid w:val="3BEC625F"/>
    <w:rsid w:val="3BED2703"/>
    <w:rsid w:val="3BED44B1"/>
    <w:rsid w:val="3BEE0229"/>
    <w:rsid w:val="3BEE1FD7"/>
    <w:rsid w:val="3BEE647B"/>
    <w:rsid w:val="3BF35840"/>
    <w:rsid w:val="3BF70E8C"/>
    <w:rsid w:val="3BF770DE"/>
    <w:rsid w:val="3BF82174"/>
    <w:rsid w:val="3BF87364"/>
    <w:rsid w:val="3BFC3E48"/>
    <w:rsid w:val="3BFD046C"/>
    <w:rsid w:val="3BFE0815"/>
    <w:rsid w:val="3BFF2436"/>
    <w:rsid w:val="3C011D0B"/>
    <w:rsid w:val="3C01771B"/>
    <w:rsid w:val="3C0812EB"/>
    <w:rsid w:val="3C0D4B53"/>
    <w:rsid w:val="3C0E030A"/>
    <w:rsid w:val="3C12216A"/>
    <w:rsid w:val="3C125CC6"/>
    <w:rsid w:val="3C17152E"/>
    <w:rsid w:val="3C177780"/>
    <w:rsid w:val="3C1934F8"/>
    <w:rsid w:val="3C1A7270"/>
    <w:rsid w:val="3C1C08F2"/>
    <w:rsid w:val="3C1D466B"/>
    <w:rsid w:val="3C243C4B"/>
    <w:rsid w:val="3C277297"/>
    <w:rsid w:val="3C2974B3"/>
    <w:rsid w:val="3C297AE3"/>
    <w:rsid w:val="3C2D0492"/>
    <w:rsid w:val="3C2F6E1E"/>
    <w:rsid w:val="3C320116"/>
    <w:rsid w:val="3C3245BA"/>
    <w:rsid w:val="3C3519B4"/>
    <w:rsid w:val="3C3534B5"/>
    <w:rsid w:val="3C355E58"/>
    <w:rsid w:val="3C357C06"/>
    <w:rsid w:val="3C371BD0"/>
    <w:rsid w:val="3C373913"/>
    <w:rsid w:val="3C387915"/>
    <w:rsid w:val="3C3D6ABB"/>
    <w:rsid w:val="3C4542ED"/>
    <w:rsid w:val="3C463BC1"/>
    <w:rsid w:val="3C495460"/>
    <w:rsid w:val="3C4A0C7C"/>
    <w:rsid w:val="3C4D4F50"/>
    <w:rsid w:val="3C4F64BA"/>
    <w:rsid w:val="3C535D05"/>
    <w:rsid w:val="3C577B7C"/>
    <w:rsid w:val="3C593492"/>
    <w:rsid w:val="3C5938F5"/>
    <w:rsid w:val="3C593FF1"/>
    <w:rsid w:val="3C5A58BF"/>
    <w:rsid w:val="3C5C1AB7"/>
    <w:rsid w:val="3C5E0F0B"/>
    <w:rsid w:val="3C5E715D"/>
    <w:rsid w:val="3C614F2B"/>
    <w:rsid w:val="3C6414B3"/>
    <w:rsid w:val="3C650E53"/>
    <w:rsid w:val="3C664263"/>
    <w:rsid w:val="3C667DC0"/>
    <w:rsid w:val="3C683B38"/>
    <w:rsid w:val="3C6B7ACC"/>
    <w:rsid w:val="3C6F3118"/>
    <w:rsid w:val="3C797AF3"/>
    <w:rsid w:val="3C7C5835"/>
    <w:rsid w:val="3C7F0E81"/>
    <w:rsid w:val="3C7F70D3"/>
    <w:rsid w:val="3C801BC8"/>
    <w:rsid w:val="3C805325"/>
    <w:rsid w:val="3C812E4B"/>
    <w:rsid w:val="3C8F281C"/>
    <w:rsid w:val="3C926E07"/>
    <w:rsid w:val="3C942B7F"/>
    <w:rsid w:val="3C9506A5"/>
    <w:rsid w:val="3C9568F7"/>
    <w:rsid w:val="3C964B49"/>
    <w:rsid w:val="3C9708C1"/>
    <w:rsid w:val="3C991F43"/>
    <w:rsid w:val="3CA1704A"/>
    <w:rsid w:val="3CA408E8"/>
    <w:rsid w:val="3CA45755"/>
    <w:rsid w:val="3CA60B04"/>
    <w:rsid w:val="3CA64660"/>
    <w:rsid w:val="3CAA4150"/>
    <w:rsid w:val="3CAB3A59"/>
    <w:rsid w:val="3CB054DF"/>
    <w:rsid w:val="3CB21257"/>
    <w:rsid w:val="3CB43221"/>
    <w:rsid w:val="3CB6466C"/>
    <w:rsid w:val="3CB75A2A"/>
    <w:rsid w:val="3CB7686D"/>
    <w:rsid w:val="3CBD5CF5"/>
    <w:rsid w:val="3CBE5E4E"/>
    <w:rsid w:val="3CC05722"/>
    <w:rsid w:val="3CC1149A"/>
    <w:rsid w:val="3CC50F8A"/>
    <w:rsid w:val="3CC64D02"/>
    <w:rsid w:val="3CC72DC1"/>
    <w:rsid w:val="3CC80A7A"/>
    <w:rsid w:val="3CCA2A44"/>
    <w:rsid w:val="3CCB2319"/>
    <w:rsid w:val="3CD016DD"/>
    <w:rsid w:val="3CDA245A"/>
    <w:rsid w:val="3CDF7907"/>
    <w:rsid w:val="3CE00DEC"/>
    <w:rsid w:val="3CE27D8E"/>
    <w:rsid w:val="3CE358B4"/>
    <w:rsid w:val="3CE5162C"/>
    <w:rsid w:val="3CE753A4"/>
    <w:rsid w:val="3CE8111C"/>
    <w:rsid w:val="3CE8690F"/>
    <w:rsid w:val="3CEC4769"/>
    <w:rsid w:val="3CEF4259"/>
    <w:rsid w:val="3CF655E7"/>
    <w:rsid w:val="3CF7310E"/>
    <w:rsid w:val="3CF87058"/>
    <w:rsid w:val="3CF96CED"/>
    <w:rsid w:val="3CFC24D2"/>
    <w:rsid w:val="3CFE449C"/>
    <w:rsid w:val="3CFE624A"/>
    <w:rsid w:val="3D001FC2"/>
    <w:rsid w:val="3D0221DE"/>
    <w:rsid w:val="3D045B29"/>
    <w:rsid w:val="3D064921"/>
    <w:rsid w:val="3D0715A3"/>
    <w:rsid w:val="3D08531B"/>
    <w:rsid w:val="3D0A4BEF"/>
    <w:rsid w:val="3D0D2931"/>
    <w:rsid w:val="3D0D46DF"/>
    <w:rsid w:val="3D0D4E06"/>
    <w:rsid w:val="3D0E5556"/>
    <w:rsid w:val="3D0F2205"/>
    <w:rsid w:val="3D113ED7"/>
    <w:rsid w:val="3D1141CF"/>
    <w:rsid w:val="3D146CD2"/>
    <w:rsid w:val="3D18555E"/>
    <w:rsid w:val="3D197528"/>
    <w:rsid w:val="3D1D25E7"/>
    <w:rsid w:val="3D1E06B7"/>
    <w:rsid w:val="3D211F38"/>
    <w:rsid w:val="3D22095C"/>
    <w:rsid w:val="3D22626E"/>
    <w:rsid w:val="3D246484"/>
    <w:rsid w:val="3D271C45"/>
    <w:rsid w:val="3D2959BD"/>
    <w:rsid w:val="3D29776B"/>
    <w:rsid w:val="3D2C1009"/>
    <w:rsid w:val="3D2C1DB3"/>
    <w:rsid w:val="3D2E2FD3"/>
    <w:rsid w:val="3D2F0AF9"/>
    <w:rsid w:val="3D2F28A7"/>
    <w:rsid w:val="3D344362"/>
    <w:rsid w:val="3D346110"/>
    <w:rsid w:val="3D347EBE"/>
    <w:rsid w:val="3D3659E4"/>
    <w:rsid w:val="3D385C00"/>
    <w:rsid w:val="3D393726"/>
    <w:rsid w:val="3D3B56F0"/>
    <w:rsid w:val="3D3C05D3"/>
    <w:rsid w:val="3D3E0D3C"/>
    <w:rsid w:val="3D424389"/>
    <w:rsid w:val="3D430101"/>
    <w:rsid w:val="3D4A5933"/>
    <w:rsid w:val="3D4A76E1"/>
    <w:rsid w:val="3D5347E8"/>
    <w:rsid w:val="3D540560"/>
    <w:rsid w:val="3D5567B2"/>
    <w:rsid w:val="3D567E34"/>
    <w:rsid w:val="3D580050"/>
    <w:rsid w:val="3D5877B1"/>
    <w:rsid w:val="3D5A2CB5"/>
    <w:rsid w:val="3D5B241B"/>
    <w:rsid w:val="3D5B369C"/>
    <w:rsid w:val="3D5C4FEC"/>
    <w:rsid w:val="3D622C7D"/>
    <w:rsid w:val="3D624A2B"/>
    <w:rsid w:val="3D6267D9"/>
    <w:rsid w:val="3D632551"/>
    <w:rsid w:val="3D6407A3"/>
    <w:rsid w:val="3D641F1A"/>
    <w:rsid w:val="3D65451B"/>
    <w:rsid w:val="3D6577DF"/>
    <w:rsid w:val="3D6D517E"/>
    <w:rsid w:val="3D6F7148"/>
    <w:rsid w:val="3D6F7DAF"/>
    <w:rsid w:val="3D7309E6"/>
    <w:rsid w:val="3D766728"/>
    <w:rsid w:val="3D784514"/>
    <w:rsid w:val="3D793B23"/>
    <w:rsid w:val="3D7D1865"/>
    <w:rsid w:val="3D7D2220"/>
    <w:rsid w:val="3D7D3613"/>
    <w:rsid w:val="3D840E45"/>
    <w:rsid w:val="3D8726E3"/>
    <w:rsid w:val="3D87623F"/>
    <w:rsid w:val="3D89645B"/>
    <w:rsid w:val="3D8A5D30"/>
    <w:rsid w:val="3D8C1AA8"/>
    <w:rsid w:val="3D8E75CE"/>
    <w:rsid w:val="3D8F3346"/>
    <w:rsid w:val="3D90216B"/>
    <w:rsid w:val="3D921364"/>
    <w:rsid w:val="3D932E36"/>
    <w:rsid w:val="3D9464AE"/>
    <w:rsid w:val="3D9848F1"/>
    <w:rsid w:val="3D9A41C5"/>
    <w:rsid w:val="3D9A76FB"/>
    <w:rsid w:val="3D9B618F"/>
    <w:rsid w:val="3D9D5A63"/>
    <w:rsid w:val="3D9E365A"/>
    <w:rsid w:val="3D9F76BF"/>
    <w:rsid w:val="3DA07301"/>
    <w:rsid w:val="3DA43295"/>
    <w:rsid w:val="3DA54918"/>
    <w:rsid w:val="3DA70690"/>
    <w:rsid w:val="3DA74B34"/>
    <w:rsid w:val="3DAA0180"/>
    <w:rsid w:val="3DAA78F8"/>
    <w:rsid w:val="3DAD4894"/>
    <w:rsid w:val="3DAE1A1E"/>
    <w:rsid w:val="3DB039E8"/>
    <w:rsid w:val="3DB633CE"/>
    <w:rsid w:val="3DBA4867"/>
    <w:rsid w:val="3DBF3C2B"/>
    <w:rsid w:val="3DC079A3"/>
    <w:rsid w:val="3DC50703"/>
    <w:rsid w:val="3DC6320C"/>
    <w:rsid w:val="3DCB0822"/>
    <w:rsid w:val="3DD27E02"/>
    <w:rsid w:val="3DD339DE"/>
    <w:rsid w:val="3DD35929"/>
    <w:rsid w:val="3DD60F75"/>
    <w:rsid w:val="3DD74F30"/>
    <w:rsid w:val="3DD84CED"/>
    <w:rsid w:val="3DDF607B"/>
    <w:rsid w:val="3DE1331C"/>
    <w:rsid w:val="3DE25B6C"/>
    <w:rsid w:val="3DE418E4"/>
    <w:rsid w:val="3DE47B36"/>
    <w:rsid w:val="3DE511B8"/>
    <w:rsid w:val="3DE6565C"/>
    <w:rsid w:val="3DE874B5"/>
    <w:rsid w:val="3DE90CA8"/>
    <w:rsid w:val="3DEB4A20"/>
    <w:rsid w:val="3DEC2546"/>
    <w:rsid w:val="3DF15DAF"/>
    <w:rsid w:val="3DF8538F"/>
    <w:rsid w:val="3DFA2EB5"/>
    <w:rsid w:val="3DFD4754"/>
    <w:rsid w:val="3E004AC7"/>
    <w:rsid w:val="3E015FF2"/>
    <w:rsid w:val="3E0368E3"/>
    <w:rsid w:val="3E0621CD"/>
    <w:rsid w:val="3E0755D2"/>
    <w:rsid w:val="3E09759C"/>
    <w:rsid w:val="3E0C4997"/>
    <w:rsid w:val="3E0C52B0"/>
    <w:rsid w:val="3E0E070F"/>
    <w:rsid w:val="3E0F156A"/>
    <w:rsid w:val="3E126451"/>
    <w:rsid w:val="3E175A62"/>
    <w:rsid w:val="3E18333B"/>
    <w:rsid w:val="3E1877DF"/>
    <w:rsid w:val="3E1C107E"/>
    <w:rsid w:val="3E1C3664"/>
    <w:rsid w:val="3E1F0B6E"/>
    <w:rsid w:val="3E2148E6"/>
    <w:rsid w:val="3E241CE0"/>
    <w:rsid w:val="3E246184"/>
    <w:rsid w:val="3E247F32"/>
    <w:rsid w:val="3E285C74"/>
    <w:rsid w:val="3E287A22"/>
    <w:rsid w:val="3E2B711B"/>
    <w:rsid w:val="3E2D5039"/>
    <w:rsid w:val="3E2E0DB1"/>
    <w:rsid w:val="3E2E7003"/>
    <w:rsid w:val="3E2F6F09"/>
    <w:rsid w:val="3E300685"/>
    <w:rsid w:val="3E317495"/>
    <w:rsid w:val="3E3444BC"/>
    <w:rsid w:val="3E350391"/>
    <w:rsid w:val="3E3839DE"/>
    <w:rsid w:val="3E3B7B84"/>
    <w:rsid w:val="3E3F2FBE"/>
    <w:rsid w:val="3E3F4D6C"/>
    <w:rsid w:val="3E427218"/>
    <w:rsid w:val="3E467EA9"/>
    <w:rsid w:val="3E495BEB"/>
    <w:rsid w:val="3E5325C6"/>
    <w:rsid w:val="3E575950"/>
    <w:rsid w:val="3E595E2E"/>
    <w:rsid w:val="3E5A3954"/>
    <w:rsid w:val="3E5D1F87"/>
    <w:rsid w:val="3E612F34"/>
    <w:rsid w:val="3E630A5B"/>
    <w:rsid w:val="3E65446C"/>
    <w:rsid w:val="3E66054B"/>
    <w:rsid w:val="3E666E60"/>
    <w:rsid w:val="3E6840FF"/>
    <w:rsid w:val="3E691DE9"/>
    <w:rsid w:val="3E6B6D9C"/>
    <w:rsid w:val="3E703177"/>
    <w:rsid w:val="3E706AA3"/>
    <w:rsid w:val="3E734A16"/>
    <w:rsid w:val="3E742C68"/>
    <w:rsid w:val="3E75253C"/>
    <w:rsid w:val="3E774506"/>
    <w:rsid w:val="3E7A3FF6"/>
    <w:rsid w:val="3E832EAB"/>
    <w:rsid w:val="3E8375FD"/>
    <w:rsid w:val="3E88226F"/>
    <w:rsid w:val="3E8A2015"/>
    <w:rsid w:val="3E8F1850"/>
    <w:rsid w:val="3E8F7AA2"/>
    <w:rsid w:val="3E9055C8"/>
    <w:rsid w:val="3E907F9B"/>
    <w:rsid w:val="3E925F20"/>
    <w:rsid w:val="3E927592"/>
    <w:rsid w:val="3E94330A"/>
    <w:rsid w:val="3E952BDE"/>
    <w:rsid w:val="3E962C89"/>
    <w:rsid w:val="3E9926CE"/>
    <w:rsid w:val="3E9C3F6D"/>
    <w:rsid w:val="3E9E5F37"/>
    <w:rsid w:val="3EA00548"/>
    <w:rsid w:val="3EA03A5D"/>
    <w:rsid w:val="3EA13331"/>
    <w:rsid w:val="3EA177D5"/>
    <w:rsid w:val="3EA3354D"/>
    <w:rsid w:val="3EA572C5"/>
    <w:rsid w:val="3EAA48DB"/>
    <w:rsid w:val="3EAB2402"/>
    <w:rsid w:val="3EAD43CC"/>
    <w:rsid w:val="3EAF1EF2"/>
    <w:rsid w:val="3EAF3CA0"/>
    <w:rsid w:val="3EB412B6"/>
    <w:rsid w:val="3EB47508"/>
    <w:rsid w:val="3EB5502E"/>
    <w:rsid w:val="3EB91CF7"/>
    <w:rsid w:val="3EBB0897"/>
    <w:rsid w:val="3EBC016B"/>
    <w:rsid w:val="3EBE0387"/>
    <w:rsid w:val="3EC23263"/>
    <w:rsid w:val="3EC419A3"/>
    <w:rsid w:val="3ECA4F52"/>
    <w:rsid w:val="3ECB6600"/>
    <w:rsid w:val="3ECC1E3C"/>
    <w:rsid w:val="3ECD05CA"/>
    <w:rsid w:val="3ECF4C3A"/>
    <w:rsid w:val="3ED100BA"/>
    <w:rsid w:val="3ED13738"/>
    <w:rsid w:val="3ED23E32"/>
    <w:rsid w:val="3ED656D0"/>
    <w:rsid w:val="3EDA0523"/>
    <w:rsid w:val="3EDB2CE7"/>
    <w:rsid w:val="3EDC080D"/>
    <w:rsid w:val="3EE1322D"/>
    <w:rsid w:val="3EE15E23"/>
    <w:rsid w:val="3EEA2F2A"/>
    <w:rsid w:val="3EEB0A50"/>
    <w:rsid w:val="3EEB1561"/>
    <w:rsid w:val="3EED2A1A"/>
    <w:rsid w:val="3EED76A5"/>
    <w:rsid w:val="3EEE458E"/>
    <w:rsid w:val="3EEE5831"/>
    <w:rsid w:val="3EEF6792"/>
    <w:rsid w:val="3EF45B57"/>
    <w:rsid w:val="3EF603D9"/>
    <w:rsid w:val="3EF773F5"/>
    <w:rsid w:val="3EFB0C93"/>
    <w:rsid w:val="3EFC2C5D"/>
    <w:rsid w:val="3EFC4A0B"/>
    <w:rsid w:val="3EFC7E62"/>
    <w:rsid w:val="3F014834"/>
    <w:rsid w:val="3F025137"/>
    <w:rsid w:val="3F05101E"/>
    <w:rsid w:val="3F057D64"/>
    <w:rsid w:val="3F061212"/>
    <w:rsid w:val="3F073ADC"/>
    <w:rsid w:val="3F0B2EA0"/>
    <w:rsid w:val="3F0B4C4E"/>
    <w:rsid w:val="3F11495A"/>
    <w:rsid w:val="3F122481"/>
    <w:rsid w:val="3F12422F"/>
    <w:rsid w:val="3F1461F9"/>
    <w:rsid w:val="3F147FA7"/>
    <w:rsid w:val="3F163D1F"/>
    <w:rsid w:val="3F164A3D"/>
    <w:rsid w:val="3F177A97"/>
    <w:rsid w:val="3F19380F"/>
    <w:rsid w:val="3F1C6E5B"/>
    <w:rsid w:val="3F1D32FF"/>
    <w:rsid w:val="3F1E0E25"/>
    <w:rsid w:val="3F1E7077"/>
    <w:rsid w:val="3F2521B4"/>
    <w:rsid w:val="3F275F2C"/>
    <w:rsid w:val="3F285800"/>
    <w:rsid w:val="3F2A5A1C"/>
    <w:rsid w:val="3F2B709E"/>
    <w:rsid w:val="3F2E5046"/>
    <w:rsid w:val="3F310B59"/>
    <w:rsid w:val="3F361456"/>
    <w:rsid w:val="3F3917BB"/>
    <w:rsid w:val="3F395C5F"/>
    <w:rsid w:val="3F3B5533"/>
    <w:rsid w:val="3F3D5750"/>
    <w:rsid w:val="3F3E6DD2"/>
    <w:rsid w:val="3F4279F9"/>
    <w:rsid w:val="3F43263A"/>
    <w:rsid w:val="3F454604"/>
    <w:rsid w:val="3F4563B2"/>
    <w:rsid w:val="3F45783C"/>
    <w:rsid w:val="3F474FAC"/>
    <w:rsid w:val="3F4A1C1A"/>
    <w:rsid w:val="3F4A39C9"/>
    <w:rsid w:val="3F4B4DBD"/>
    <w:rsid w:val="3F516B05"/>
    <w:rsid w:val="3F5900B0"/>
    <w:rsid w:val="3F5A3E2B"/>
    <w:rsid w:val="3F5B3E28"/>
    <w:rsid w:val="3F5E1222"/>
    <w:rsid w:val="3F5E7474"/>
    <w:rsid w:val="3F626F64"/>
    <w:rsid w:val="3F6C1B91"/>
    <w:rsid w:val="3F6C393F"/>
    <w:rsid w:val="3F6F342F"/>
    <w:rsid w:val="3F710F55"/>
    <w:rsid w:val="3F76656C"/>
    <w:rsid w:val="3F7722E4"/>
    <w:rsid w:val="3F8139FC"/>
    <w:rsid w:val="3F8360DA"/>
    <w:rsid w:val="3F836EDA"/>
    <w:rsid w:val="3F8778D8"/>
    <w:rsid w:val="3F88404C"/>
    <w:rsid w:val="3F890995"/>
    <w:rsid w:val="3F8C3FE1"/>
    <w:rsid w:val="3F93711E"/>
    <w:rsid w:val="3F942E96"/>
    <w:rsid w:val="3F981C83"/>
    <w:rsid w:val="3F9904AC"/>
    <w:rsid w:val="3F9A4950"/>
    <w:rsid w:val="3FA0183A"/>
    <w:rsid w:val="3FA05CDE"/>
    <w:rsid w:val="3FA532F5"/>
    <w:rsid w:val="3FA702FB"/>
    <w:rsid w:val="3FA94B93"/>
    <w:rsid w:val="3FAE3F57"/>
    <w:rsid w:val="3FB05F21"/>
    <w:rsid w:val="3FB100F4"/>
    <w:rsid w:val="3FB13A48"/>
    <w:rsid w:val="3FB157F6"/>
    <w:rsid w:val="3FB377C0"/>
    <w:rsid w:val="3FB47094"/>
    <w:rsid w:val="3FB53538"/>
    <w:rsid w:val="3FBB48C6"/>
    <w:rsid w:val="3FBF6165"/>
    <w:rsid w:val="3FC512A1"/>
    <w:rsid w:val="3FC65745"/>
    <w:rsid w:val="3FC86191"/>
    <w:rsid w:val="3FCB17B4"/>
    <w:rsid w:val="3FCE45FA"/>
    <w:rsid w:val="3FD31C10"/>
    <w:rsid w:val="3FD414E4"/>
    <w:rsid w:val="3FDB2873"/>
    <w:rsid w:val="3FDD6F27"/>
    <w:rsid w:val="3FE67B95"/>
    <w:rsid w:val="3FE71217"/>
    <w:rsid w:val="3FEA0D08"/>
    <w:rsid w:val="3FEC2CD2"/>
    <w:rsid w:val="3FED6A1C"/>
    <w:rsid w:val="3FEE25A6"/>
    <w:rsid w:val="3FEE6A4A"/>
    <w:rsid w:val="3FF04570"/>
    <w:rsid w:val="3FF102E8"/>
    <w:rsid w:val="3FF35E0E"/>
    <w:rsid w:val="3FFA53EF"/>
    <w:rsid w:val="40026051"/>
    <w:rsid w:val="40077B0C"/>
    <w:rsid w:val="40084E9C"/>
    <w:rsid w:val="40093CF1"/>
    <w:rsid w:val="400973E0"/>
    <w:rsid w:val="400B13AA"/>
    <w:rsid w:val="400E2C48"/>
    <w:rsid w:val="400F34F7"/>
    <w:rsid w:val="401144E6"/>
    <w:rsid w:val="401364B0"/>
    <w:rsid w:val="401A41DC"/>
    <w:rsid w:val="401C5365"/>
    <w:rsid w:val="40216A50"/>
    <w:rsid w:val="402204A1"/>
    <w:rsid w:val="4022393A"/>
    <w:rsid w:val="402406BD"/>
    <w:rsid w:val="4024421A"/>
    <w:rsid w:val="402A6B57"/>
    <w:rsid w:val="403027DE"/>
    <w:rsid w:val="40313F72"/>
    <w:rsid w:val="40316936"/>
    <w:rsid w:val="40322DDA"/>
    <w:rsid w:val="40324B88"/>
    <w:rsid w:val="403326AF"/>
    <w:rsid w:val="40354679"/>
    <w:rsid w:val="403703F1"/>
    <w:rsid w:val="40394418"/>
    <w:rsid w:val="403A3A3D"/>
    <w:rsid w:val="40414DCB"/>
    <w:rsid w:val="40416B7A"/>
    <w:rsid w:val="404228F2"/>
    <w:rsid w:val="404535C5"/>
    <w:rsid w:val="40490124"/>
    <w:rsid w:val="404B17A6"/>
    <w:rsid w:val="404E1296"/>
    <w:rsid w:val="40544B3B"/>
    <w:rsid w:val="40556AC9"/>
    <w:rsid w:val="40586DFE"/>
    <w:rsid w:val="405A5E8D"/>
    <w:rsid w:val="405A7C3B"/>
    <w:rsid w:val="405D597D"/>
    <w:rsid w:val="40644F5E"/>
    <w:rsid w:val="406477B5"/>
    <w:rsid w:val="406800A0"/>
    <w:rsid w:val="406867FC"/>
    <w:rsid w:val="406960D0"/>
    <w:rsid w:val="406B1E48"/>
    <w:rsid w:val="406D3CE7"/>
    <w:rsid w:val="406D3E12"/>
    <w:rsid w:val="40736F4F"/>
    <w:rsid w:val="40752CC7"/>
    <w:rsid w:val="407A6407"/>
    <w:rsid w:val="407A652F"/>
    <w:rsid w:val="407D1B7C"/>
    <w:rsid w:val="407F76A2"/>
    <w:rsid w:val="4081166C"/>
    <w:rsid w:val="40833636"/>
    <w:rsid w:val="40860A30"/>
    <w:rsid w:val="40863629"/>
    <w:rsid w:val="40864ED4"/>
    <w:rsid w:val="40873378"/>
    <w:rsid w:val="408908EE"/>
    <w:rsid w:val="40896772"/>
    <w:rsid w:val="408A49C4"/>
    <w:rsid w:val="408B6047"/>
    <w:rsid w:val="40905D53"/>
    <w:rsid w:val="40923879"/>
    <w:rsid w:val="40974727"/>
    <w:rsid w:val="409A272E"/>
    <w:rsid w:val="40A12E76"/>
    <w:rsid w:val="40A13ABC"/>
    <w:rsid w:val="40A23390"/>
    <w:rsid w:val="40A37834"/>
    <w:rsid w:val="40A8309D"/>
    <w:rsid w:val="40A92971"/>
    <w:rsid w:val="40AA6120"/>
    <w:rsid w:val="40AB0497"/>
    <w:rsid w:val="40AB66E9"/>
    <w:rsid w:val="40AD06B3"/>
    <w:rsid w:val="40AF61D9"/>
    <w:rsid w:val="40B03CFF"/>
    <w:rsid w:val="40B06A01"/>
    <w:rsid w:val="40B37547"/>
    <w:rsid w:val="40BE466E"/>
    <w:rsid w:val="40BF2194"/>
    <w:rsid w:val="40BF3F42"/>
    <w:rsid w:val="40C120CD"/>
    <w:rsid w:val="40C31C84"/>
    <w:rsid w:val="40C41559"/>
    <w:rsid w:val="40C61775"/>
    <w:rsid w:val="40C94DC1"/>
    <w:rsid w:val="40CC31ED"/>
    <w:rsid w:val="40CE48A0"/>
    <w:rsid w:val="40CF687B"/>
    <w:rsid w:val="40D043A1"/>
    <w:rsid w:val="40D0614F"/>
    <w:rsid w:val="40D20119"/>
    <w:rsid w:val="40D53766"/>
    <w:rsid w:val="40D56E2C"/>
    <w:rsid w:val="40D82ED1"/>
    <w:rsid w:val="40D914A8"/>
    <w:rsid w:val="40DB3FF9"/>
    <w:rsid w:val="40DC68A2"/>
    <w:rsid w:val="40DE086C"/>
    <w:rsid w:val="40DE261A"/>
    <w:rsid w:val="40DF6392"/>
    <w:rsid w:val="40E045E4"/>
    <w:rsid w:val="40E37C31"/>
    <w:rsid w:val="40E51BFB"/>
    <w:rsid w:val="40E57E4D"/>
    <w:rsid w:val="40E83499"/>
    <w:rsid w:val="40E90FBF"/>
    <w:rsid w:val="40EE50F7"/>
    <w:rsid w:val="40F005A0"/>
    <w:rsid w:val="40F97454"/>
    <w:rsid w:val="40FC5196"/>
    <w:rsid w:val="40FD375C"/>
    <w:rsid w:val="41004C87"/>
    <w:rsid w:val="41016309"/>
    <w:rsid w:val="41032081"/>
    <w:rsid w:val="41083B3B"/>
    <w:rsid w:val="410D1152"/>
    <w:rsid w:val="410F6C78"/>
    <w:rsid w:val="4110479E"/>
    <w:rsid w:val="41140732"/>
    <w:rsid w:val="411419E3"/>
    <w:rsid w:val="41144229"/>
    <w:rsid w:val="41164303"/>
    <w:rsid w:val="41171FD0"/>
    <w:rsid w:val="41195D48"/>
    <w:rsid w:val="411B386E"/>
    <w:rsid w:val="411F7564"/>
    <w:rsid w:val="412169AB"/>
    <w:rsid w:val="412228A6"/>
    <w:rsid w:val="41270465"/>
    <w:rsid w:val="412A075C"/>
    <w:rsid w:val="412B15D8"/>
    <w:rsid w:val="412C31AD"/>
    <w:rsid w:val="412D5350"/>
    <w:rsid w:val="412D70FE"/>
    <w:rsid w:val="413260C8"/>
    <w:rsid w:val="4134048C"/>
    <w:rsid w:val="41433130"/>
    <w:rsid w:val="41466412"/>
    <w:rsid w:val="414803DC"/>
    <w:rsid w:val="414B1AB2"/>
    <w:rsid w:val="414E7496"/>
    <w:rsid w:val="41504494"/>
    <w:rsid w:val="41566D3D"/>
    <w:rsid w:val="41596145"/>
    <w:rsid w:val="415E7BFF"/>
    <w:rsid w:val="415F13B8"/>
    <w:rsid w:val="41601281"/>
    <w:rsid w:val="41613CD8"/>
    <w:rsid w:val="41627D39"/>
    <w:rsid w:val="41662610"/>
    <w:rsid w:val="416845DA"/>
    <w:rsid w:val="416A65A4"/>
    <w:rsid w:val="416F3546"/>
    <w:rsid w:val="416F5968"/>
    <w:rsid w:val="41780CC1"/>
    <w:rsid w:val="417816C8"/>
    <w:rsid w:val="41782A6F"/>
    <w:rsid w:val="41794A39"/>
    <w:rsid w:val="417B7450"/>
    <w:rsid w:val="417C262C"/>
    <w:rsid w:val="417E62D1"/>
    <w:rsid w:val="417E7959"/>
    <w:rsid w:val="41807753"/>
    <w:rsid w:val="418238EE"/>
    <w:rsid w:val="41825BE2"/>
    <w:rsid w:val="4182744A"/>
    <w:rsid w:val="418331C2"/>
    <w:rsid w:val="41850CE8"/>
    <w:rsid w:val="41854814"/>
    <w:rsid w:val="41870F04"/>
    <w:rsid w:val="418B1B16"/>
    <w:rsid w:val="418D5DEE"/>
    <w:rsid w:val="418E2292"/>
    <w:rsid w:val="41911D83"/>
    <w:rsid w:val="419453CF"/>
    <w:rsid w:val="41962EF5"/>
    <w:rsid w:val="41984EBF"/>
    <w:rsid w:val="41A03D74"/>
    <w:rsid w:val="41A2189A"/>
    <w:rsid w:val="41A24AFA"/>
    <w:rsid w:val="41A35612"/>
    <w:rsid w:val="41A37D9D"/>
    <w:rsid w:val="41A43864"/>
    <w:rsid w:val="41A5138A"/>
    <w:rsid w:val="41A53138"/>
    <w:rsid w:val="41A878FC"/>
    <w:rsid w:val="41AA4BF2"/>
    <w:rsid w:val="41AE46E3"/>
    <w:rsid w:val="41AF2209"/>
    <w:rsid w:val="41B10C5F"/>
    <w:rsid w:val="41B11ADD"/>
    <w:rsid w:val="41B617E9"/>
    <w:rsid w:val="41B9630E"/>
    <w:rsid w:val="41BB0BAE"/>
    <w:rsid w:val="41BD2B78"/>
    <w:rsid w:val="41C247B5"/>
    <w:rsid w:val="41C521AA"/>
    <w:rsid w:val="41C55588"/>
    <w:rsid w:val="41CC21FF"/>
    <w:rsid w:val="41CC4B69"/>
    <w:rsid w:val="41CC6917"/>
    <w:rsid w:val="41CE268F"/>
    <w:rsid w:val="41CF4659"/>
    <w:rsid w:val="41D13F2D"/>
    <w:rsid w:val="41D35EF7"/>
    <w:rsid w:val="41D43A1D"/>
    <w:rsid w:val="41E01715"/>
    <w:rsid w:val="41E2438C"/>
    <w:rsid w:val="41E501B8"/>
    <w:rsid w:val="41E579D9"/>
    <w:rsid w:val="41E64239"/>
    <w:rsid w:val="41E9396D"/>
    <w:rsid w:val="41E9571B"/>
    <w:rsid w:val="41EA4FEF"/>
    <w:rsid w:val="41F06AA9"/>
    <w:rsid w:val="41F145CF"/>
    <w:rsid w:val="41F30347"/>
    <w:rsid w:val="41F320F5"/>
    <w:rsid w:val="41F61BE6"/>
    <w:rsid w:val="41FB36A0"/>
    <w:rsid w:val="41FF0A9A"/>
    <w:rsid w:val="42002A64"/>
    <w:rsid w:val="4200449D"/>
    <w:rsid w:val="42010CB6"/>
    <w:rsid w:val="42021C48"/>
    <w:rsid w:val="420559F8"/>
    <w:rsid w:val="42075BA1"/>
    <w:rsid w:val="420B38E3"/>
    <w:rsid w:val="420C31B7"/>
    <w:rsid w:val="420F4A55"/>
    <w:rsid w:val="42100EF9"/>
    <w:rsid w:val="421107CE"/>
    <w:rsid w:val="4214139B"/>
    <w:rsid w:val="421A1D78"/>
    <w:rsid w:val="421F738E"/>
    <w:rsid w:val="42201C89"/>
    <w:rsid w:val="4220550C"/>
    <w:rsid w:val="422229DB"/>
    <w:rsid w:val="4222708E"/>
    <w:rsid w:val="42246753"/>
    <w:rsid w:val="42254279"/>
    <w:rsid w:val="42270CEC"/>
    <w:rsid w:val="42277FF1"/>
    <w:rsid w:val="42291FBB"/>
    <w:rsid w:val="42293D69"/>
    <w:rsid w:val="422B7AE1"/>
    <w:rsid w:val="422C3859"/>
    <w:rsid w:val="422F6EA6"/>
    <w:rsid w:val="42310E70"/>
    <w:rsid w:val="42380450"/>
    <w:rsid w:val="423A3BCC"/>
    <w:rsid w:val="423B584A"/>
    <w:rsid w:val="423D46F9"/>
    <w:rsid w:val="423F4574"/>
    <w:rsid w:val="42417305"/>
    <w:rsid w:val="42424E2B"/>
    <w:rsid w:val="4243599A"/>
    <w:rsid w:val="42440BA3"/>
    <w:rsid w:val="42446DF5"/>
    <w:rsid w:val="4246491B"/>
    <w:rsid w:val="42466EEC"/>
    <w:rsid w:val="424B1F31"/>
    <w:rsid w:val="424E57D2"/>
    <w:rsid w:val="42552DB0"/>
    <w:rsid w:val="42554B5E"/>
    <w:rsid w:val="425608D6"/>
    <w:rsid w:val="42562684"/>
    <w:rsid w:val="425828A0"/>
    <w:rsid w:val="425C413F"/>
    <w:rsid w:val="425C5EED"/>
    <w:rsid w:val="425F778B"/>
    <w:rsid w:val="426052B1"/>
    <w:rsid w:val="42607A93"/>
    <w:rsid w:val="42611755"/>
    <w:rsid w:val="42613503"/>
    <w:rsid w:val="42621029"/>
    <w:rsid w:val="42644DA1"/>
    <w:rsid w:val="4269060A"/>
    <w:rsid w:val="426A3716"/>
    <w:rsid w:val="427003C2"/>
    <w:rsid w:val="42707BEA"/>
    <w:rsid w:val="42725710"/>
    <w:rsid w:val="42764AD5"/>
    <w:rsid w:val="42786A9F"/>
    <w:rsid w:val="4279063A"/>
    <w:rsid w:val="427B469B"/>
    <w:rsid w:val="427C033D"/>
    <w:rsid w:val="427D33F0"/>
    <w:rsid w:val="427D40B5"/>
    <w:rsid w:val="42813BA5"/>
    <w:rsid w:val="4286713B"/>
    <w:rsid w:val="428E1E1E"/>
    <w:rsid w:val="4292190E"/>
    <w:rsid w:val="429338D8"/>
    <w:rsid w:val="42935686"/>
    <w:rsid w:val="42957651"/>
    <w:rsid w:val="42957E13"/>
    <w:rsid w:val="4298417C"/>
    <w:rsid w:val="429C278D"/>
    <w:rsid w:val="429D02B3"/>
    <w:rsid w:val="42A17DA3"/>
    <w:rsid w:val="42A258CA"/>
    <w:rsid w:val="42A46591"/>
    <w:rsid w:val="42A96C58"/>
    <w:rsid w:val="42AB29D0"/>
    <w:rsid w:val="42AB6E74"/>
    <w:rsid w:val="42AF6075"/>
    <w:rsid w:val="42B06238"/>
    <w:rsid w:val="42B07FE6"/>
    <w:rsid w:val="42B21FB1"/>
    <w:rsid w:val="42B23D5F"/>
    <w:rsid w:val="42B26C49"/>
    <w:rsid w:val="42B307CB"/>
    <w:rsid w:val="42B37AD7"/>
    <w:rsid w:val="42B41C5B"/>
    <w:rsid w:val="42B75819"/>
    <w:rsid w:val="42B775C7"/>
    <w:rsid w:val="42B86E9B"/>
    <w:rsid w:val="42BC698B"/>
    <w:rsid w:val="42C121F4"/>
    <w:rsid w:val="42C35F6C"/>
    <w:rsid w:val="42C41CE4"/>
    <w:rsid w:val="42C44321"/>
    <w:rsid w:val="42C615B8"/>
    <w:rsid w:val="42C910A8"/>
    <w:rsid w:val="42CB4E20"/>
    <w:rsid w:val="42CB6BCE"/>
    <w:rsid w:val="42CE66BF"/>
    <w:rsid w:val="42D24401"/>
    <w:rsid w:val="42D27D5B"/>
    <w:rsid w:val="42D924E6"/>
    <w:rsid w:val="42D9578F"/>
    <w:rsid w:val="42DA1507"/>
    <w:rsid w:val="42DA5063"/>
    <w:rsid w:val="42DC7E3D"/>
    <w:rsid w:val="42DE0FF8"/>
    <w:rsid w:val="42DF267A"/>
    <w:rsid w:val="42DF60BC"/>
    <w:rsid w:val="42E12896"/>
    <w:rsid w:val="42E3660E"/>
    <w:rsid w:val="42E5528F"/>
    <w:rsid w:val="42EA799C"/>
    <w:rsid w:val="42EB101F"/>
    <w:rsid w:val="42ED123B"/>
    <w:rsid w:val="42F02361"/>
    <w:rsid w:val="42F02AD9"/>
    <w:rsid w:val="42F11EE3"/>
    <w:rsid w:val="42F36125"/>
    <w:rsid w:val="42F500EF"/>
    <w:rsid w:val="42F56341"/>
    <w:rsid w:val="42F73E67"/>
    <w:rsid w:val="42F779C3"/>
    <w:rsid w:val="42F97BDF"/>
    <w:rsid w:val="42FA5706"/>
    <w:rsid w:val="42FA74B4"/>
    <w:rsid w:val="42FC76D0"/>
    <w:rsid w:val="42FE546C"/>
    <w:rsid w:val="42FE6FA4"/>
    <w:rsid w:val="42FF4ACA"/>
    <w:rsid w:val="43040332"/>
    <w:rsid w:val="43056584"/>
    <w:rsid w:val="43081BD1"/>
    <w:rsid w:val="430A1DED"/>
    <w:rsid w:val="430B16C1"/>
    <w:rsid w:val="430B346F"/>
    <w:rsid w:val="430D368B"/>
    <w:rsid w:val="43104F29"/>
    <w:rsid w:val="43150FF8"/>
    <w:rsid w:val="43151FA6"/>
    <w:rsid w:val="43192030"/>
    <w:rsid w:val="431B5DA8"/>
    <w:rsid w:val="431D1F2C"/>
    <w:rsid w:val="431E13F4"/>
    <w:rsid w:val="431E31A2"/>
    <w:rsid w:val="43202EB0"/>
    <w:rsid w:val="43212C92"/>
    <w:rsid w:val="432307B8"/>
    <w:rsid w:val="43252782"/>
    <w:rsid w:val="4326646F"/>
    <w:rsid w:val="432A7D99"/>
    <w:rsid w:val="432B3B11"/>
    <w:rsid w:val="432C1F92"/>
    <w:rsid w:val="433107D0"/>
    <w:rsid w:val="4333084C"/>
    <w:rsid w:val="433429C6"/>
    <w:rsid w:val="433504EC"/>
    <w:rsid w:val="43364990"/>
    <w:rsid w:val="433724B6"/>
    <w:rsid w:val="43394480"/>
    <w:rsid w:val="43395F5E"/>
    <w:rsid w:val="433A4C90"/>
    <w:rsid w:val="433A6FE6"/>
    <w:rsid w:val="433B1FA6"/>
    <w:rsid w:val="433B4453"/>
    <w:rsid w:val="433C7ACC"/>
    <w:rsid w:val="433E3844"/>
    <w:rsid w:val="433F136A"/>
    <w:rsid w:val="43421586"/>
    <w:rsid w:val="43434716"/>
    <w:rsid w:val="43444075"/>
    <w:rsid w:val="43454BD3"/>
    <w:rsid w:val="43480868"/>
    <w:rsid w:val="43495B48"/>
    <w:rsid w:val="434B48CD"/>
    <w:rsid w:val="434B5F61"/>
    <w:rsid w:val="434D1CD9"/>
    <w:rsid w:val="434D3A87"/>
    <w:rsid w:val="434F15AD"/>
    <w:rsid w:val="4350713C"/>
    <w:rsid w:val="43525542"/>
    <w:rsid w:val="435412BA"/>
    <w:rsid w:val="43566DE0"/>
    <w:rsid w:val="43574906"/>
    <w:rsid w:val="4359067E"/>
    <w:rsid w:val="435C016E"/>
    <w:rsid w:val="435C1F1C"/>
    <w:rsid w:val="4364101B"/>
    <w:rsid w:val="436653E0"/>
    <w:rsid w:val="43675A04"/>
    <w:rsid w:val="436C6603"/>
    <w:rsid w:val="436F39FE"/>
    <w:rsid w:val="437370B7"/>
    <w:rsid w:val="43747266"/>
    <w:rsid w:val="43784FA8"/>
    <w:rsid w:val="437B23A2"/>
    <w:rsid w:val="437E6337"/>
    <w:rsid w:val="43866F99"/>
    <w:rsid w:val="438751EB"/>
    <w:rsid w:val="438F517E"/>
    <w:rsid w:val="43921371"/>
    <w:rsid w:val="43931DE2"/>
    <w:rsid w:val="43943464"/>
    <w:rsid w:val="43963680"/>
    <w:rsid w:val="43993A74"/>
    <w:rsid w:val="43996CCD"/>
    <w:rsid w:val="439E2535"/>
    <w:rsid w:val="43A044FF"/>
    <w:rsid w:val="43A062AD"/>
    <w:rsid w:val="43A23DD3"/>
    <w:rsid w:val="43A6558D"/>
    <w:rsid w:val="43AC5B43"/>
    <w:rsid w:val="43B00525"/>
    <w:rsid w:val="43B06F1C"/>
    <w:rsid w:val="43B104BA"/>
    <w:rsid w:val="43B14016"/>
    <w:rsid w:val="43B65AD0"/>
    <w:rsid w:val="43B835F7"/>
    <w:rsid w:val="43B85E8D"/>
    <w:rsid w:val="43C24475"/>
    <w:rsid w:val="43C33D49"/>
    <w:rsid w:val="43C401ED"/>
    <w:rsid w:val="43C4431A"/>
    <w:rsid w:val="43C55D14"/>
    <w:rsid w:val="43C74575"/>
    <w:rsid w:val="43C75114"/>
    <w:rsid w:val="43CC70A2"/>
    <w:rsid w:val="43CD4BC8"/>
    <w:rsid w:val="43CE0EDD"/>
    <w:rsid w:val="43D146B8"/>
    <w:rsid w:val="43D45F57"/>
    <w:rsid w:val="43D575DD"/>
    <w:rsid w:val="43D61CCF"/>
    <w:rsid w:val="43D877F5"/>
    <w:rsid w:val="43DB72E5"/>
    <w:rsid w:val="43DD4E0B"/>
    <w:rsid w:val="43E00315"/>
    <w:rsid w:val="43E066A9"/>
    <w:rsid w:val="43E53CC0"/>
    <w:rsid w:val="43E77E5A"/>
    <w:rsid w:val="43E837B0"/>
    <w:rsid w:val="43E91A02"/>
    <w:rsid w:val="43EC14F2"/>
    <w:rsid w:val="43ED6D81"/>
    <w:rsid w:val="43EF2D90"/>
    <w:rsid w:val="43EF4482"/>
    <w:rsid w:val="43F6411F"/>
    <w:rsid w:val="43F6451D"/>
    <w:rsid w:val="43F65ECD"/>
    <w:rsid w:val="43FB7987"/>
    <w:rsid w:val="43FD54AD"/>
    <w:rsid w:val="44000AFA"/>
    <w:rsid w:val="44056110"/>
    <w:rsid w:val="44095C00"/>
    <w:rsid w:val="440C3942"/>
    <w:rsid w:val="440C749E"/>
    <w:rsid w:val="440D414F"/>
    <w:rsid w:val="440D6621"/>
    <w:rsid w:val="440E76BA"/>
    <w:rsid w:val="44112D07"/>
    <w:rsid w:val="441445A5"/>
    <w:rsid w:val="44184095"/>
    <w:rsid w:val="441A7E0D"/>
    <w:rsid w:val="441C3663"/>
    <w:rsid w:val="44202F4A"/>
    <w:rsid w:val="442073EE"/>
    <w:rsid w:val="44216071"/>
    <w:rsid w:val="442C1630"/>
    <w:rsid w:val="442C5D93"/>
    <w:rsid w:val="442E1B0B"/>
    <w:rsid w:val="442E38B9"/>
    <w:rsid w:val="442E595A"/>
    <w:rsid w:val="442F13DF"/>
    <w:rsid w:val="44301E08"/>
    <w:rsid w:val="443239D6"/>
    <w:rsid w:val="44330ECF"/>
    <w:rsid w:val="443469F5"/>
    <w:rsid w:val="4436426D"/>
    <w:rsid w:val="443656CE"/>
    <w:rsid w:val="4439400C"/>
    <w:rsid w:val="443941AE"/>
    <w:rsid w:val="443A04B0"/>
    <w:rsid w:val="443A225E"/>
    <w:rsid w:val="443B54A2"/>
    <w:rsid w:val="443D58AA"/>
    <w:rsid w:val="44450C02"/>
    <w:rsid w:val="44451010"/>
    <w:rsid w:val="44476729"/>
    <w:rsid w:val="444906F3"/>
    <w:rsid w:val="44492562"/>
    <w:rsid w:val="444A4D6B"/>
    <w:rsid w:val="444B65C3"/>
    <w:rsid w:val="444E5D09"/>
    <w:rsid w:val="444F55DD"/>
    <w:rsid w:val="44501A81"/>
    <w:rsid w:val="44511355"/>
    <w:rsid w:val="4453331F"/>
    <w:rsid w:val="445350CD"/>
    <w:rsid w:val="44564BBE"/>
    <w:rsid w:val="4456696C"/>
    <w:rsid w:val="44586B88"/>
    <w:rsid w:val="445A645C"/>
    <w:rsid w:val="445B0426"/>
    <w:rsid w:val="445C6678"/>
    <w:rsid w:val="445D4AB6"/>
    <w:rsid w:val="445F1CC4"/>
    <w:rsid w:val="445F3A72"/>
    <w:rsid w:val="4461572C"/>
    <w:rsid w:val="44667944"/>
    <w:rsid w:val="44672F1A"/>
    <w:rsid w:val="44676DCB"/>
    <w:rsid w:val="44692B43"/>
    <w:rsid w:val="446E63AB"/>
    <w:rsid w:val="44775FA6"/>
    <w:rsid w:val="44784B34"/>
    <w:rsid w:val="44786A70"/>
    <w:rsid w:val="447A08AC"/>
    <w:rsid w:val="447A6AFE"/>
    <w:rsid w:val="447C2876"/>
    <w:rsid w:val="447D6881"/>
    <w:rsid w:val="447F4114"/>
    <w:rsid w:val="4484172B"/>
    <w:rsid w:val="44867251"/>
    <w:rsid w:val="4487121B"/>
    <w:rsid w:val="4488746D"/>
    <w:rsid w:val="44890AEF"/>
    <w:rsid w:val="448A5ACB"/>
    <w:rsid w:val="448B0D0B"/>
    <w:rsid w:val="448E25A9"/>
    <w:rsid w:val="44915BF6"/>
    <w:rsid w:val="44973488"/>
    <w:rsid w:val="449A71A0"/>
    <w:rsid w:val="449F47B6"/>
    <w:rsid w:val="44A06825"/>
    <w:rsid w:val="44A1052F"/>
    <w:rsid w:val="44A1408B"/>
    <w:rsid w:val="44A21BB1"/>
    <w:rsid w:val="44A6695C"/>
    <w:rsid w:val="44A678F3"/>
    <w:rsid w:val="44A91191"/>
    <w:rsid w:val="44A973E3"/>
    <w:rsid w:val="44B66A11"/>
    <w:rsid w:val="44B738AE"/>
    <w:rsid w:val="44B951CC"/>
    <w:rsid w:val="44BA15F0"/>
    <w:rsid w:val="44C1472D"/>
    <w:rsid w:val="44C63AF1"/>
    <w:rsid w:val="44C85ABB"/>
    <w:rsid w:val="44CB55AC"/>
    <w:rsid w:val="44CB735A"/>
    <w:rsid w:val="44CD14E0"/>
    <w:rsid w:val="44CE29A6"/>
    <w:rsid w:val="44D02BC2"/>
    <w:rsid w:val="44D0671E"/>
    <w:rsid w:val="44D15BD3"/>
    <w:rsid w:val="44D206E8"/>
    <w:rsid w:val="44D22496"/>
    <w:rsid w:val="44D81A76"/>
    <w:rsid w:val="44D83825"/>
    <w:rsid w:val="44DC3315"/>
    <w:rsid w:val="44DF1057"/>
    <w:rsid w:val="44E24BED"/>
    <w:rsid w:val="44E346A3"/>
    <w:rsid w:val="44E64193"/>
    <w:rsid w:val="44E87F0C"/>
    <w:rsid w:val="44E93C84"/>
    <w:rsid w:val="44E95A32"/>
    <w:rsid w:val="44EB79FC"/>
    <w:rsid w:val="44EC107E"/>
    <w:rsid w:val="44EC2DBF"/>
    <w:rsid w:val="44F00B6E"/>
    <w:rsid w:val="44F06DC0"/>
    <w:rsid w:val="44F20B0B"/>
    <w:rsid w:val="44F248E6"/>
    <w:rsid w:val="44F527F3"/>
    <w:rsid w:val="44F71EFD"/>
    <w:rsid w:val="44F92119"/>
    <w:rsid w:val="44FA19ED"/>
    <w:rsid w:val="44FA7C3F"/>
    <w:rsid w:val="44FE772F"/>
    <w:rsid w:val="44FF34A7"/>
    <w:rsid w:val="45012D7B"/>
    <w:rsid w:val="45036AF3"/>
    <w:rsid w:val="450665E4"/>
    <w:rsid w:val="4508235C"/>
    <w:rsid w:val="45086339"/>
    <w:rsid w:val="450B3BFA"/>
    <w:rsid w:val="450B54FD"/>
    <w:rsid w:val="450D7972"/>
    <w:rsid w:val="45107462"/>
    <w:rsid w:val="45120AE5"/>
    <w:rsid w:val="451231DA"/>
    <w:rsid w:val="45124539"/>
    <w:rsid w:val="4513485D"/>
    <w:rsid w:val="45140D01"/>
    <w:rsid w:val="451A208F"/>
    <w:rsid w:val="451C5E07"/>
    <w:rsid w:val="451F3201"/>
    <w:rsid w:val="4521341D"/>
    <w:rsid w:val="45264590"/>
    <w:rsid w:val="452B604A"/>
    <w:rsid w:val="452B6409"/>
    <w:rsid w:val="452E5F4C"/>
    <w:rsid w:val="453F38A4"/>
    <w:rsid w:val="454113CA"/>
    <w:rsid w:val="454224AB"/>
    <w:rsid w:val="45486BFC"/>
    <w:rsid w:val="454B049A"/>
    <w:rsid w:val="454C355D"/>
    <w:rsid w:val="454E4597"/>
    <w:rsid w:val="4550336E"/>
    <w:rsid w:val="455410FD"/>
    <w:rsid w:val="45576E3F"/>
    <w:rsid w:val="456033DF"/>
    <w:rsid w:val="45612018"/>
    <w:rsid w:val="45633A36"/>
    <w:rsid w:val="4565155C"/>
    <w:rsid w:val="4568104C"/>
    <w:rsid w:val="456B4699"/>
    <w:rsid w:val="456B6447"/>
    <w:rsid w:val="456D0411"/>
    <w:rsid w:val="456D21BF"/>
    <w:rsid w:val="45701CAF"/>
    <w:rsid w:val="457277D5"/>
    <w:rsid w:val="457479F1"/>
    <w:rsid w:val="4577303D"/>
    <w:rsid w:val="457B2B2E"/>
    <w:rsid w:val="458138DD"/>
    <w:rsid w:val="4582210E"/>
    <w:rsid w:val="45841FCF"/>
    <w:rsid w:val="45863281"/>
    <w:rsid w:val="45876549"/>
    <w:rsid w:val="4588524B"/>
    <w:rsid w:val="458920E2"/>
    <w:rsid w:val="458946E9"/>
    <w:rsid w:val="458A0FC3"/>
    <w:rsid w:val="458C4D3B"/>
    <w:rsid w:val="458D2861"/>
    <w:rsid w:val="458F482B"/>
    <w:rsid w:val="45912351"/>
    <w:rsid w:val="45927E77"/>
    <w:rsid w:val="45965BB9"/>
    <w:rsid w:val="4597548E"/>
    <w:rsid w:val="4597723C"/>
    <w:rsid w:val="459B4F7E"/>
    <w:rsid w:val="459C29C3"/>
    <w:rsid w:val="459E4A6E"/>
    <w:rsid w:val="45A02594"/>
    <w:rsid w:val="45A100BA"/>
    <w:rsid w:val="45A11786"/>
    <w:rsid w:val="45A47C0E"/>
    <w:rsid w:val="45A7579D"/>
    <w:rsid w:val="45A831F7"/>
    <w:rsid w:val="45AA6F6F"/>
    <w:rsid w:val="45AB2CE7"/>
    <w:rsid w:val="45AB5409"/>
    <w:rsid w:val="45AD6A5F"/>
    <w:rsid w:val="45B002FD"/>
    <w:rsid w:val="45B20519"/>
    <w:rsid w:val="45B306B1"/>
    <w:rsid w:val="45B778DE"/>
    <w:rsid w:val="45B82804"/>
    <w:rsid w:val="45B97DC2"/>
    <w:rsid w:val="45BC319A"/>
    <w:rsid w:val="45C06792"/>
    <w:rsid w:val="45C12674"/>
    <w:rsid w:val="45C61CE6"/>
    <w:rsid w:val="45C77069"/>
    <w:rsid w:val="45C85647"/>
    <w:rsid w:val="45CC5137"/>
    <w:rsid w:val="45CF2E79"/>
    <w:rsid w:val="45CF4C28"/>
    <w:rsid w:val="45D1274E"/>
    <w:rsid w:val="45D21CF5"/>
    <w:rsid w:val="45D67D64"/>
    <w:rsid w:val="45D95AA6"/>
    <w:rsid w:val="45DB181E"/>
    <w:rsid w:val="45DD100A"/>
    <w:rsid w:val="45E071B1"/>
    <w:rsid w:val="45E561F9"/>
    <w:rsid w:val="45E87A97"/>
    <w:rsid w:val="45EA1A61"/>
    <w:rsid w:val="45EA5542"/>
    <w:rsid w:val="45EE77A4"/>
    <w:rsid w:val="45EF7078"/>
    <w:rsid w:val="45F11042"/>
    <w:rsid w:val="45F468CD"/>
    <w:rsid w:val="45F538D3"/>
    <w:rsid w:val="45F621B4"/>
    <w:rsid w:val="45F97EF6"/>
    <w:rsid w:val="45FB5A1D"/>
    <w:rsid w:val="45FB77CB"/>
    <w:rsid w:val="46053443"/>
    <w:rsid w:val="46080139"/>
    <w:rsid w:val="46081EE8"/>
    <w:rsid w:val="4609638B"/>
    <w:rsid w:val="460F69AD"/>
    <w:rsid w:val="46144D30"/>
    <w:rsid w:val="46160AA8"/>
    <w:rsid w:val="461865CE"/>
    <w:rsid w:val="46195EA3"/>
    <w:rsid w:val="461B197A"/>
    <w:rsid w:val="461D3BE5"/>
    <w:rsid w:val="461E170B"/>
    <w:rsid w:val="461F5BAF"/>
    <w:rsid w:val="46203691"/>
    <w:rsid w:val="462036D5"/>
    <w:rsid w:val="46242FBD"/>
    <w:rsid w:val="46256F3D"/>
    <w:rsid w:val="462A4554"/>
    <w:rsid w:val="462C3E28"/>
    <w:rsid w:val="462C7812"/>
    <w:rsid w:val="462F1B6A"/>
    <w:rsid w:val="46317690"/>
    <w:rsid w:val="46325030"/>
    <w:rsid w:val="4632659C"/>
    <w:rsid w:val="46342CDD"/>
    <w:rsid w:val="46357180"/>
    <w:rsid w:val="46364CA7"/>
    <w:rsid w:val="463864BE"/>
    <w:rsid w:val="463B050F"/>
    <w:rsid w:val="463F7FFF"/>
    <w:rsid w:val="4642364B"/>
    <w:rsid w:val="46494FE1"/>
    <w:rsid w:val="464A2500"/>
    <w:rsid w:val="464A3A20"/>
    <w:rsid w:val="464C1B5B"/>
    <w:rsid w:val="464E1FF0"/>
    <w:rsid w:val="464F5D68"/>
    <w:rsid w:val="46511A49"/>
    <w:rsid w:val="4651388E"/>
    <w:rsid w:val="465313B5"/>
    <w:rsid w:val="465429F3"/>
    <w:rsid w:val="465515D1"/>
    <w:rsid w:val="465670F7"/>
    <w:rsid w:val="46577FD6"/>
    <w:rsid w:val="465A0995"/>
    <w:rsid w:val="465A4BC4"/>
    <w:rsid w:val="465A6BE7"/>
    <w:rsid w:val="465B470D"/>
    <w:rsid w:val="465D66D7"/>
    <w:rsid w:val="46607F75"/>
    <w:rsid w:val="46671304"/>
    <w:rsid w:val="46690BD8"/>
    <w:rsid w:val="4670640B"/>
    <w:rsid w:val="467F21AA"/>
    <w:rsid w:val="46805F22"/>
    <w:rsid w:val="46827EEC"/>
    <w:rsid w:val="46830FA7"/>
    <w:rsid w:val="4685178A"/>
    <w:rsid w:val="46853538"/>
    <w:rsid w:val="468679DC"/>
    <w:rsid w:val="46884147"/>
    <w:rsid w:val="468B1848"/>
    <w:rsid w:val="468E6050"/>
    <w:rsid w:val="46932F3D"/>
    <w:rsid w:val="46933EA7"/>
    <w:rsid w:val="46935C55"/>
    <w:rsid w:val="46963997"/>
    <w:rsid w:val="469905C1"/>
    <w:rsid w:val="469A3487"/>
    <w:rsid w:val="469F284C"/>
    <w:rsid w:val="46A00372"/>
    <w:rsid w:val="46A2058E"/>
    <w:rsid w:val="46A47E62"/>
    <w:rsid w:val="46A55988"/>
    <w:rsid w:val="46A71700"/>
    <w:rsid w:val="46AC4F69"/>
    <w:rsid w:val="46AE783B"/>
    <w:rsid w:val="46B004D9"/>
    <w:rsid w:val="46B02CAB"/>
    <w:rsid w:val="46B362F7"/>
    <w:rsid w:val="46B57F9F"/>
    <w:rsid w:val="46B67B95"/>
    <w:rsid w:val="46B81B60"/>
    <w:rsid w:val="46BD2CD2"/>
    <w:rsid w:val="46BF4C9C"/>
    <w:rsid w:val="46C027C2"/>
    <w:rsid w:val="46C95A27"/>
    <w:rsid w:val="46C95B1B"/>
    <w:rsid w:val="46CC73B9"/>
    <w:rsid w:val="46CE72BE"/>
    <w:rsid w:val="46D00C57"/>
    <w:rsid w:val="46D324F5"/>
    <w:rsid w:val="46D955A7"/>
    <w:rsid w:val="46DB13AA"/>
    <w:rsid w:val="46DF0E9A"/>
    <w:rsid w:val="46DF70EC"/>
    <w:rsid w:val="46E22739"/>
    <w:rsid w:val="46E44703"/>
    <w:rsid w:val="46E56A5F"/>
    <w:rsid w:val="46E6047B"/>
    <w:rsid w:val="46E841F3"/>
    <w:rsid w:val="46E97F6B"/>
    <w:rsid w:val="46EA2EE6"/>
    <w:rsid w:val="46EB3CE3"/>
    <w:rsid w:val="46EB40C3"/>
    <w:rsid w:val="46ED1809"/>
    <w:rsid w:val="46EE5581"/>
    <w:rsid w:val="46F54B62"/>
    <w:rsid w:val="46FA2178"/>
    <w:rsid w:val="46FC7C9E"/>
    <w:rsid w:val="46FF153C"/>
    <w:rsid w:val="47017063"/>
    <w:rsid w:val="47022DDB"/>
    <w:rsid w:val="470628CB"/>
    <w:rsid w:val="47064679"/>
    <w:rsid w:val="47081233"/>
    <w:rsid w:val="47097DAF"/>
    <w:rsid w:val="470E79D1"/>
    <w:rsid w:val="47107FCF"/>
    <w:rsid w:val="47133957"/>
    <w:rsid w:val="471504F1"/>
    <w:rsid w:val="47152B0E"/>
    <w:rsid w:val="47186B04"/>
    <w:rsid w:val="471F398D"/>
    <w:rsid w:val="472055BF"/>
    <w:rsid w:val="472114B3"/>
    <w:rsid w:val="4723347D"/>
    <w:rsid w:val="47234345"/>
    <w:rsid w:val="47255DED"/>
    <w:rsid w:val="47264D1B"/>
    <w:rsid w:val="47280A93"/>
    <w:rsid w:val="47282841"/>
    <w:rsid w:val="472865F9"/>
    <w:rsid w:val="47290367"/>
    <w:rsid w:val="472965B9"/>
    <w:rsid w:val="472D42FC"/>
    <w:rsid w:val="4732546E"/>
    <w:rsid w:val="473311E6"/>
    <w:rsid w:val="47344B9C"/>
    <w:rsid w:val="47376F28"/>
    <w:rsid w:val="473867FC"/>
    <w:rsid w:val="473A4323"/>
    <w:rsid w:val="473E2065"/>
    <w:rsid w:val="47411B55"/>
    <w:rsid w:val="47413903"/>
    <w:rsid w:val="47431429"/>
    <w:rsid w:val="4743767B"/>
    <w:rsid w:val="474D42B3"/>
    <w:rsid w:val="475278BE"/>
    <w:rsid w:val="4755115C"/>
    <w:rsid w:val="47596E9F"/>
    <w:rsid w:val="475C073D"/>
    <w:rsid w:val="475F6E94"/>
    <w:rsid w:val="47617B01"/>
    <w:rsid w:val="47631ACB"/>
    <w:rsid w:val="47653A95"/>
    <w:rsid w:val="47657C89"/>
    <w:rsid w:val="476615BC"/>
    <w:rsid w:val="476B6BD2"/>
    <w:rsid w:val="476C0CCC"/>
    <w:rsid w:val="476D399F"/>
    <w:rsid w:val="476D64A6"/>
    <w:rsid w:val="476E4379"/>
    <w:rsid w:val="47705F96"/>
    <w:rsid w:val="47743CD8"/>
    <w:rsid w:val="47767A51"/>
    <w:rsid w:val="477A6E15"/>
    <w:rsid w:val="477B4A45"/>
    <w:rsid w:val="477E6905"/>
    <w:rsid w:val="478519C1"/>
    <w:rsid w:val="47887784"/>
    <w:rsid w:val="478F466E"/>
    <w:rsid w:val="4791660D"/>
    <w:rsid w:val="479229E6"/>
    <w:rsid w:val="479559FD"/>
    <w:rsid w:val="47986858"/>
    <w:rsid w:val="4799373F"/>
    <w:rsid w:val="4799729B"/>
    <w:rsid w:val="479A005B"/>
    <w:rsid w:val="479B1265"/>
    <w:rsid w:val="479F062A"/>
    <w:rsid w:val="47A0687C"/>
    <w:rsid w:val="47A07E0C"/>
    <w:rsid w:val="47A143A2"/>
    <w:rsid w:val="47A3011A"/>
    <w:rsid w:val="47A85730"/>
    <w:rsid w:val="47AA0E1C"/>
    <w:rsid w:val="47AA594C"/>
    <w:rsid w:val="47AF4916"/>
    <w:rsid w:val="47AF4D11"/>
    <w:rsid w:val="47B10A89"/>
    <w:rsid w:val="47B16CDB"/>
    <w:rsid w:val="47B21FD0"/>
    <w:rsid w:val="47B37D01"/>
    <w:rsid w:val="47BB1907"/>
    <w:rsid w:val="47BD6A22"/>
    <w:rsid w:val="47BE31A6"/>
    <w:rsid w:val="47C46FB6"/>
    <w:rsid w:val="47C562E2"/>
    <w:rsid w:val="47C600D9"/>
    <w:rsid w:val="47C63E08"/>
    <w:rsid w:val="47CA1B4A"/>
    <w:rsid w:val="47CA2E28"/>
    <w:rsid w:val="47CB141F"/>
    <w:rsid w:val="47D06870"/>
    <w:rsid w:val="47D14C87"/>
    <w:rsid w:val="47D17961"/>
    <w:rsid w:val="47D27C1D"/>
    <w:rsid w:val="47D74267"/>
    <w:rsid w:val="47DD11F5"/>
    <w:rsid w:val="47DD7AD0"/>
    <w:rsid w:val="47E30093"/>
    <w:rsid w:val="47E349BA"/>
    <w:rsid w:val="47E50732"/>
    <w:rsid w:val="47E56984"/>
    <w:rsid w:val="47E81FD1"/>
    <w:rsid w:val="47EB050B"/>
    <w:rsid w:val="47EB386F"/>
    <w:rsid w:val="47EB7801"/>
    <w:rsid w:val="47EC1AC1"/>
    <w:rsid w:val="47EF1F72"/>
    <w:rsid w:val="47F00216"/>
    <w:rsid w:val="47F14FBA"/>
    <w:rsid w:val="47F15329"/>
    <w:rsid w:val="47F72214"/>
    <w:rsid w:val="47F95F8C"/>
    <w:rsid w:val="47FA07C6"/>
    <w:rsid w:val="47FE1AD2"/>
    <w:rsid w:val="47FE35A2"/>
    <w:rsid w:val="48013092"/>
    <w:rsid w:val="480145C4"/>
    <w:rsid w:val="48027536"/>
    <w:rsid w:val="48052B82"/>
    <w:rsid w:val="480C2163"/>
    <w:rsid w:val="480D7C89"/>
    <w:rsid w:val="480F3A01"/>
    <w:rsid w:val="48111527"/>
    <w:rsid w:val="481132D5"/>
    <w:rsid w:val="4812704D"/>
    <w:rsid w:val="48137EDD"/>
    <w:rsid w:val="48141018"/>
    <w:rsid w:val="481C620A"/>
    <w:rsid w:val="481D46A7"/>
    <w:rsid w:val="481D7ECC"/>
    <w:rsid w:val="4820176A"/>
    <w:rsid w:val="48223734"/>
    <w:rsid w:val="48270D4B"/>
    <w:rsid w:val="48272AF9"/>
    <w:rsid w:val="482760A2"/>
    <w:rsid w:val="4828061F"/>
    <w:rsid w:val="48284AC3"/>
    <w:rsid w:val="48286871"/>
    <w:rsid w:val="48335942"/>
    <w:rsid w:val="48335D86"/>
    <w:rsid w:val="483416BA"/>
    <w:rsid w:val="48362D3C"/>
    <w:rsid w:val="48376AB4"/>
    <w:rsid w:val="48380768"/>
    <w:rsid w:val="483B2A48"/>
    <w:rsid w:val="48401E0D"/>
    <w:rsid w:val="48403BBB"/>
    <w:rsid w:val="4841003D"/>
    <w:rsid w:val="48435459"/>
    <w:rsid w:val="48482A6F"/>
    <w:rsid w:val="484A400D"/>
    <w:rsid w:val="484B549D"/>
    <w:rsid w:val="484C07B1"/>
    <w:rsid w:val="484C6A03"/>
    <w:rsid w:val="48510BF8"/>
    <w:rsid w:val="4851130F"/>
    <w:rsid w:val="48537D92"/>
    <w:rsid w:val="485633DE"/>
    <w:rsid w:val="485A1DF5"/>
    <w:rsid w:val="485B6C46"/>
    <w:rsid w:val="485E2A48"/>
    <w:rsid w:val="4860600B"/>
    <w:rsid w:val="48627FD5"/>
    <w:rsid w:val="486378A9"/>
    <w:rsid w:val="48643D4D"/>
    <w:rsid w:val="48671147"/>
    <w:rsid w:val="4870272E"/>
    <w:rsid w:val="48711FC6"/>
    <w:rsid w:val="48735D3E"/>
    <w:rsid w:val="487675DC"/>
    <w:rsid w:val="487A3570"/>
    <w:rsid w:val="487B4BF3"/>
    <w:rsid w:val="487C587B"/>
    <w:rsid w:val="4882187E"/>
    <w:rsid w:val="488241D3"/>
    <w:rsid w:val="48825F81"/>
    <w:rsid w:val="488340A3"/>
    <w:rsid w:val="48842C88"/>
    <w:rsid w:val="48847F4B"/>
    <w:rsid w:val="48853CC3"/>
    <w:rsid w:val="48867F4E"/>
    <w:rsid w:val="488717E9"/>
    <w:rsid w:val="488F68F0"/>
    <w:rsid w:val="48942552"/>
    <w:rsid w:val="489A0F95"/>
    <w:rsid w:val="489A776F"/>
    <w:rsid w:val="48A203D1"/>
    <w:rsid w:val="48A24875"/>
    <w:rsid w:val="48A26623"/>
    <w:rsid w:val="48A759E8"/>
    <w:rsid w:val="48AE4FC8"/>
    <w:rsid w:val="48AE6D76"/>
    <w:rsid w:val="48B30830"/>
    <w:rsid w:val="48B3438D"/>
    <w:rsid w:val="48B620CF"/>
    <w:rsid w:val="48B85E47"/>
    <w:rsid w:val="48BF71D5"/>
    <w:rsid w:val="48C20A74"/>
    <w:rsid w:val="48C2276C"/>
    <w:rsid w:val="48C42A3E"/>
    <w:rsid w:val="48C4659A"/>
    <w:rsid w:val="48C52312"/>
    <w:rsid w:val="48C61658"/>
    <w:rsid w:val="48CA7928"/>
    <w:rsid w:val="48CB3DCC"/>
    <w:rsid w:val="48CC18F2"/>
    <w:rsid w:val="48CC36A0"/>
    <w:rsid w:val="48D12A65"/>
    <w:rsid w:val="48D250C5"/>
    <w:rsid w:val="48D2515B"/>
    <w:rsid w:val="48D52555"/>
    <w:rsid w:val="48D6451F"/>
    <w:rsid w:val="48D80297"/>
    <w:rsid w:val="48D9521E"/>
    <w:rsid w:val="48DA5DBD"/>
    <w:rsid w:val="48DB1B35"/>
    <w:rsid w:val="48DF5182"/>
    <w:rsid w:val="48E44E8E"/>
    <w:rsid w:val="48E56510"/>
    <w:rsid w:val="48E629B4"/>
    <w:rsid w:val="48EC789E"/>
    <w:rsid w:val="48EE1869"/>
    <w:rsid w:val="48F30C2D"/>
    <w:rsid w:val="48FA1FBB"/>
    <w:rsid w:val="490177EE"/>
    <w:rsid w:val="49042270"/>
    <w:rsid w:val="49060BED"/>
    <w:rsid w:val="49066BB2"/>
    <w:rsid w:val="49092EE1"/>
    <w:rsid w:val="490948F4"/>
    <w:rsid w:val="490D6193"/>
    <w:rsid w:val="491D3EFC"/>
    <w:rsid w:val="491F1A22"/>
    <w:rsid w:val="492139EC"/>
    <w:rsid w:val="4921579A"/>
    <w:rsid w:val="49252811"/>
    <w:rsid w:val="49296D45"/>
    <w:rsid w:val="492B03C7"/>
    <w:rsid w:val="492B6619"/>
    <w:rsid w:val="492E6109"/>
    <w:rsid w:val="49317B5C"/>
    <w:rsid w:val="4933371F"/>
    <w:rsid w:val="49370211"/>
    <w:rsid w:val="49374FBE"/>
    <w:rsid w:val="49385C0C"/>
    <w:rsid w:val="493C0826"/>
    <w:rsid w:val="493C25D4"/>
    <w:rsid w:val="493D634C"/>
    <w:rsid w:val="493F20C4"/>
    <w:rsid w:val="4944592C"/>
    <w:rsid w:val="49446DE7"/>
    <w:rsid w:val="49464F44"/>
    <w:rsid w:val="494871CB"/>
    <w:rsid w:val="494B2817"/>
    <w:rsid w:val="494B6CBB"/>
    <w:rsid w:val="494F4E40"/>
    <w:rsid w:val="494F64C8"/>
    <w:rsid w:val="4950607F"/>
    <w:rsid w:val="49555444"/>
    <w:rsid w:val="4957740E"/>
    <w:rsid w:val="495A5150"/>
    <w:rsid w:val="495A6EFE"/>
    <w:rsid w:val="495C7CDB"/>
    <w:rsid w:val="495F4514"/>
    <w:rsid w:val="495F62C2"/>
    <w:rsid w:val="4961028C"/>
    <w:rsid w:val="4961203A"/>
    <w:rsid w:val="496164DE"/>
    <w:rsid w:val="49647D7D"/>
    <w:rsid w:val="496549D0"/>
    <w:rsid w:val="496D09DF"/>
    <w:rsid w:val="496E4757"/>
    <w:rsid w:val="49730464"/>
    <w:rsid w:val="49753D38"/>
    <w:rsid w:val="49770D90"/>
    <w:rsid w:val="49787384"/>
    <w:rsid w:val="497C50C6"/>
    <w:rsid w:val="497C6E74"/>
    <w:rsid w:val="497F0713"/>
    <w:rsid w:val="49837F59"/>
    <w:rsid w:val="49847CA8"/>
    <w:rsid w:val="4985306E"/>
    <w:rsid w:val="49867CF3"/>
    <w:rsid w:val="49891591"/>
    <w:rsid w:val="498B2DA7"/>
    <w:rsid w:val="498B70B7"/>
    <w:rsid w:val="498F4DFA"/>
    <w:rsid w:val="49935F6C"/>
    <w:rsid w:val="499410ED"/>
    <w:rsid w:val="49950082"/>
    <w:rsid w:val="49951CE4"/>
    <w:rsid w:val="49970D05"/>
    <w:rsid w:val="499A72FA"/>
    <w:rsid w:val="499E6C9D"/>
    <w:rsid w:val="499E6DEB"/>
    <w:rsid w:val="49A07007"/>
    <w:rsid w:val="49A24972"/>
    <w:rsid w:val="49A87C69"/>
    <w:rsid w:val="49AA17E5"/>
    <w:rsid w:val="49AA1C33"/>
    <w:rsid w:val="49AD34D2"/>
    <w:rsid w:val="49B20AE8"/>
    <w:rsid w:val="49B303BC"/>
    <w:rsid w:val="49B760FE"/>
    <w:rsid w:val="49B93C25"/>
    <w:rsid w:val="49BC1967"/>
    <w:rsid w:val="49BC3715"/>
    <w:rsid w:val="49C03205"/>
    <w:rsid w:val="49C10D2B"/>
    <w:rsid w:val="49C16F7D"/>
    <w:rsid w:val="49CA4084"/>
    <w:rsid w:val="49D722FD"/>
    <w:rsid w:val="49DC5B65"/>
    <w:rsid w:val="49DC7715"/>
    <w:rsid w:val="49DF112C"/>
    <w:rsid w:val="49DF11B1"/>
    <w:rsid w:val="49E07403"/>
    <w:rsid w:val="49E30CA1"/>
    <w:rsid w:val="49EA6E56"/>
    <w:rsid w:val="49ED2CCD"/>
    <w:rsid w:val="49EE03A8"/>
    <w:rsid w:val="49EF7646"/>
    <w:rsid w:val="49F11610"/>
    <w:rsid w:val="49F17862"/>
    <w:rsid w:val="49F42AD9"/>
    <w:rsid w:val="49F509D5"/>
    <w:rsid w:val="49F66B3A"/>
    <w:rsid w:val="49F7474D"/>
    <w:rsid w:val="49F96717"/>
    <w:rsid w:val="49FA5FEB"/>
    <w:rsid w:val="49FE46F2"/>
    <w:rsid w:val="4A007AA5"/>
    <w:rsid w:val="4A011472"/>
    <w:rsid w:val="4A023139"/>
    <w:rsid w:val="4A0330F2"/>
    <w:rsid w:val="4A05330E"/>
    <w:rsid w:val="4A0A386F"/>
    <w:rsid w:val="4A0A4480"/>
    <w:rsid w:val="4A0A6440"/>
    <w:rsid w:val="4A0B01F8"/>
    <w:rsid w:val="4A0D5D1E"/>
    <w:rsid w:val="4A0F5F3A"/>
    <w:rsid w:val="4A111CB3"/>
    <w:rsid w:val="4A116313"/>
    <w:rsid w:val="4A123335"/>
    <w:rsid w:val="4A1672C9"/>
    <w:rsid w:val="4A17094B"/>
    <w:rsid w:val="4A174DEF"/>
    <w:rsid w:val="4A176B9D"/>
    <w:rsid w:val="4A17781B"/>
    <w:rsid w:val="4A1E617D"/>
    <w:rsid w:val="4A1E7F2C"/>
    <w:rsid w:val="4A227A1C"/>
    <w:rsid w:val="4A2319E6"/>
    <w:rsid w:val="4A255B52"/>
    <w:rsid w:val="4A273284"/>
    <w:rsid w:val="4A2803BA"/>
    <w:rsid w:val="4A2808DB"/>
    <w:rsid w:val="4A280DAA"/>
    <w:rsid w:val="4A2A4B22"/>
    <w:rsid w:val="4A314103"/>
    <w:rsid w:val="4A315EB1"/>
    <w:rsid w:val="4A33564C"/>
    <w:rsid w:val="4A361719"/>
    <w:rsid w:val="4A370FED"/>
    <w:rsid w:val="4A371FA0"/>
    <w:rsid w:val="4A3813CD"/>
    <w:rsid w:val="4A394D65"/>
    <w:rsid w:val="4A404346"/>
    <w:rsid w:val="4A407EA2"/>
    <w:rsid w:val="4A421E6C"/>
    <w:rsid w:val="4A435BE4"/>
    <w:rsid w:val="4A443E36"/>
    <w:rsid w:val="4A45195C"/>
    <w:rsid w:val="4A4554B8"/>
    <w:rsid w:val="4A464412"/>
    <w:rsid w:val="4A474F52"/>
    <w:rsid w:val="4A4756D4"/>
    <w:rsid w:val="4A4A6F73"/>
    <w:rsid w:val="4A520A07"/>
    <w:rsid w:val="4A5751EC"/>
    <w:rsid w:val="4A5B1180"/>
    <w:rsid w:val="4A5D4EF8"/>
    <w:rsid w:val="4A5E5D08"/>
    <w:rsid w:val="4A631DE2"/>
    <w:rsid w:val="4A66404E"/>
    <w:rsid w:val="4A69564B"/>
    <w:rsid w:val="4A6A3171"/>
    <w:rsid w:val="4A6C0C97"/>
    <w:rsid w:val="4A6E2C61"/>
    <w:rsid w:val="4A722025"/>
    <w:rsid w:val="4A743FEF"/>
    <w:rsid w:val="4A750A43"/>
    <w:rsid w:val="4A7933B4"/>
    <w:rsid w:val="4A7A7858"/>
    <w:rsid w:val="4A7B35D0"/>
    <w:rsid w:val="4A7B576F"/>
    <w:rsid w:val="4A7D10F6"/>
    <w:rsid w:val="4A7F5F45"/>
    <w:rsid w:val="4A802994"/>
    <w:rsid w:val="4A8204BA"/>
    <w:rsid w:val="4A82495E"/>
    <w:rsid w:val="4A8423CD"/>
    <w:rsid w:val="4A8561FD"/>
    <w:rsid w:val="4A881849"/>
    <w:rsid w:val="4A8835F7"/>
    <w:rsid w:val="4A883874"/>
    <w:rsid w:val="4A895CED"/>
    <w:rsid w:val="4A8A3813"/>
    <w:rsid w:val="4A8E50B1"/>
    <w:rsid w:val="4A9106FD"/>
    <w:rsid w:val="4A982A48"/>
    <w:rsid w:val="4A985F30"/>
    <w:rsid w:val="4A9B332A"/>
    <w:rsid w:val="4A9B77CE"/>
    <w:rsid w:val="4A9D70A2"/>
    <w:rsid w:val="4AA04DE4"/>
    <w:rsid w:val="4AA735E3"/>
    <w:rsid w:val="4AAC3789"/>
    <w:rsid w:val="4AAF6DD6"/>
    <w:rsid w:val="4AB368C6"/>
    <w:rsid w:val="4AB54F3B"/>
    <w:rsid w:val="4AB663B6"/>
    <w:rsid w:val="4AB8212E"/>
    <w:rsid w:val="4ABB1C1E"/>
    <w:rsid w:val="4ABF170F"/>
    <w:rsid w:val="4AC42881"/>
    <w:rsid w:val="4AC60109"/>
    <w:rsid w:val="4AC97E97"/>
    <w:rsid w:val="4ACB00B3"/>
    <w:rsid w:val="4ACE1952"/>
    <w:rsid w:val="4AD41253"/>
    <w:rsid w:val="4ADA20A4"/>
    <w:rsid w:val="4ADB7BCB"/>
    <w:rsid w:val="4AE051E1"/>
    <w:rsid w:val="4AE20E30"/>
    <w:rsid w:val="4AE41175"/>
    <w:rsid w:val="4AE50A49"/>
    <w:rsid w:val="4AE747C1"/>
    <w:rsid w:val="4AE7656F"/>
    <w:rsid w:val="4AE86BB0"/>
    <w:rsid w:val="4AE9678B"/>
    <w:rsid w:val="4AEC0102"/>
    <w:rsid w:val="4AF313B8"/>
    <w:rsid w:val="4AF34F14"/>
    <w:rsid w:val="4AF561A9"/>
    <w:rsid w:val="4AF63D85"/>
    <w:rsid w:val="4AFA62A3"/>
    <w:rsid w:val="4AFD3FE5"/>
    <w:rsid w:val="4AFD5D93"/>
    <w:rsid w:val="4AFF7D5D"/>
    <w:rsid w:val="4B0141C0"/>
    <w:rsid w:val="4B0233A9"/>
    <w:rsid w:val="4B03697B"/>
    <w:rsid w:val="4B04509A"/>
    <w:rsid w:val="4B074E64"/>
    <w:rsid w:val="4B0B04B0"/>
    <w:rsid w:val="4B0D06CC"/>
    <w:rsid w:val="4B103D18"/>
    <w:rsid w:val="4B116CFB"/>
    <w:rsid w:val="4B121E1D"/>
    <w:rsid w:val="4B124AD8"/>
    <w:rsid w:val="4B14423A"/>
    <w:rsid w:val="4B1650A7"/>
    <w:rsid w:val="4B1B1A3F"/>
    <w:rsid w:val="4B1D4687"/>
    <w:rsid w:val="4B1F1F35"/>
    <w:rsid w:val="4B234855"/>
    <w:rsid w:val="4B241572"/>
    <w:rsid w:val="4B2772B4"/>
    <w:rsid w:val="4B2B2900"/>
    <w:rsid w:val="4B306168"/>
    <w:rsid w:val="4B316422"/>
    <w:rsid w:val="4B321D8C"/>
    <w:rsid w:val="4B321EE0"/>
    <w:rsid w:val="4B3519D1"/>
    <w:rsid w:val="4B383B38"/>
    <w:rsid w:val="4B3949FD"/>
    <w:rsid w:val="4B3D53FF"/>
    <w:rsid w:val="4B3F0159"/>
    <w:rsid w:val="4B441C14"/>
    <w:rsid w:val="4B45613C"/>
    <w:rsid w:val="4B4E2A92"/>
    <w:rsid w:val="4B4F71EE"/>
    <w:rsid w:val="4B545024"/>
    <w:rsid w:val="4B552AA6"/>
    <w:rsid w:val="4B5C0D0B"/>
    <w:rsid w:val="4B5F25AA"/>
    <w:rsid w:val="4B603035"/>
    <w:rsid w:val="4B621798"/>
    <w:rsid w:val="4B666BB6"/>
    <w:rsid w:val="4B674CD4"/>
    <w:rsid w:val="4B6776B0"/>
    <w:rsid w:val="4B683B54"/>
    <w:rsid w:val="4B69167A"/>
    <w:rsid w:val="4B6D116B"/>
    <w:rsid w:val="4B6F67D8"/>
    <w:rsid w:val="4B75001F"/>
    <w:rsid w:val="4B751DCD"/>
    <w:rsid w:val="4B773D97"/>
    <w:rsid w:val="4B7C315C"/>
    <w:rsid w:val="4B810772"/>
    <w:rsid w:val="4B814C16"/>
    <w:rsid w:val="4B8169C4"/>
    <w:rsid w:val="4B824C4E"/>
    <w:rsid w:val="4B83098E"/>
    <w:rsid w:val="4B83273C"/>
    <w:rsid w:val="4B8600DF"/>
    <w:rsid w:val="4B865D88"/>
    <w:rsid w:val="4B885FA4"/>
    <w:rsid w:val="4B897627"/>
    <w:rsid w:val="4B8A1D1C"/>
    <w:rsid w:val="4B8D5369"/>
    <w:rsid w:val="4B8E10E1"/>
    <w:rsid w:val="4B8F1535"/>
    <w:rsid w:val="4B9106E2"/>
    <w:rsid w:val="4B9304A5"/>
    <w:rsid w:val="4B93319E"/>
    <w:rsid w:val="4B933353"/>
    <w:rsid w:val="4B944949"/>
    <w:rsid w:val="4B95421D"/>
    <w:rsid w:val="4B9761E7"/>
    <w:rsid w:val="4B9A7A86"/>
    <w:rsid w:val="4B9C37FE"/>
    <w:rsid w:val="4B9D30D2"/>
    <w:rsid w:val="4B9D4FA7"/>
    <w:rsid w:val="4B9F1C20"/>
    <w:rsid w:val="4BA32DDE"/>
    <w:rsid w:val="4BA91A77"/>
    <w:rsid w:val="4BA95F1B"/>
    <w:rsid w:val="4BA97CC9"/>
    <w:rsid w:val="4BAE52DF"/>
    <w:rsid w:val="4BAE567A"/>
    <w:rsid w:val="4BB072A9"/>
    <w:rsid w:val="4BB24DCF"/>
    <w:rsid w:val="4BB74194"/>
    <w:rsid w:val="4BB943B0"/>
    <w:rsid w:val="4BBE3774"/>
    <w:rsid w:val="4BBF68D2"/>
    <w:rsid w:val="4BC0573E"/>
    <w:rsid w:val="4BC6087B"/>
    <w:rsid w:val="4BC93EC7"/>
    <w:rsid w:val="4BCB5E91"/>
    <w:rsid w:val="4BCD1C09"/>
    <w:rsid w:val="4BCD39B7"/>
    <w:rsid w:val="4BCE772F"/>
    <w:rsid w:val="4BD034A7"/>
    <w:rsid w:val="4BD06395"/>
    <w:rsid w:val="4BD20495"/>
    <w:rsid w:val="4BD27220"/>
    <w:rsid w:val="4BDC009E"/>
    <w:rsid w:val="4BDC6101"/>
    <w:rsid w:val="4BDE5BC4"/>
    <w:rsid w:val="4BDF193C"/>
    <w:rsid w:val="4BE27F8A"/>
    <w:rsid w:val="4BE331DB"/>
    <w:rsid w:val="4BE62CCB"/>
    <w:rsid w:val="4BE64A79"/>
    <w:rsid w:val="4BEB208F"/>
    <w:rsid w:val="4BED509D"/>
    <w:rsid w:val="4BF076A6"/>
    <w:rsid w:val="4BF453E8"/>
    <w:rsid w:val="4BF663FF"/>
    <w:rsid w:val="4BF70A34"/>
    <w:rsid w:val="4BF821AF"/>
    <w:rsid w:val="4BF90C50"/>
    <w:rsid w:val="4BFA2B96"/>
    <w:rsid w:val="4BFC604B"/>
    <w:rsid w:val="4C0373D9"/>
    <w:rsid w:val="4C070814"/>
    <w:rsid w:val="4C0849EF"/>
    <w:rsid w:val="4C0A0767"/>
    <w:rsid w:val="4C0A69B9"/>
    <w:rsid w:val="4C0B2731"/>
    <w:rsid w:val="4C0D64AA"/>
    <w:rsid w:val="4C0F2222"/>
    <w:rsid w:val="4C101AF6"/>
    <w:rsid w:val="4C147838"/>
    <w:rsid w:val="4C172E84"/>
    <w:rsid w:val="4C196BFC"/>
    <w:rsid w:val="4C1C66ED"/>
    <w:rsid w:val="4C1E2465"/>
    <w:rsid w:val="4C1E4213"/>
    <w:rsid w:val="4C231829"/>
    <w:rsid w:val="4C256F65"/>
    <w:rsid w:val="4C26696E"/>
    <w:rsid w:val="4C2D08FA"/>
    <w:rsid w:val="4C2E3605"/>
    <w:rsid w:val="4C341C88"/>
    <w:rsid w:val="4C3562DA"/>
    <w:rsid w:val="4C371778"/>
    <w:rsid w:val="4C392DFB"/>
    <w:rsid w:val="4C3954F1"/>
    <w:rsid w:val="4C3A6B73"/>
    <w:rsid w:val="4C3B3017"/>
    <w:rsid w:val="4C3B4DC5"/>
    <w:rsid w:val="4C3C0B3D"/>
    <w:rsid w:val="4C3D00B7"/>
    <w:rsid w:val="4C3D6D8F"/>
    <w:rsid w:val="4C3D7453"/>
    <w:rsid w:val="4C3E6663"/>
    <w:rsid w:val="4C4243A5"/>
    <w:rsid w:val="4C4579F1"/>
    <w:rsid w:val="4C465518"/>
    <w:rsid w:val="4C4730D6"/>
    <w:rsid w:val="4C485734"/>
    <w:rsid w:val="4C4A0649"/>
    <w:rsid w:val="4C4A1A57"/>
    <w:rsid w:val="4C4B0D80"/>
    <w:rsid w:val="4C4B7913"/>
    <w:rsid w:val="4C4D68A6"/>
    <w:rsid w:val="4C4F0870"/>
    <w:rsid w:val="4C5145E8"/>
    <w:rsid w:val="4C577725"/>
    <w:rsid w:val="4C5916EF"/>
    <w:rsid w:val="4C59524B"/>
    <w:rsid w:val="4C5B7215"/>
    <w:rsid w:val="4C5E6D05"/>
    <w:rsid w:val="4C602C6D"/>
    <w:rsid w:val="4C667968"/>
    <w:rsid w:val="4C6E50DF"/>
    <w:rsid w:val="4C7107E7"/>
    <w:rsid w:val="4C746529"/>
    <w:rsid w:val="4C765DFD"/>
    <w:rsid w:val="4C781A7F"/>
    <w:rsid w:val="4C786019"/>
    <w:rsid w:val="4C7C5D8B"/>
    <w:rsid w:val="4C7C718B"/>
    <w:rsid w:val="4C7E5ECA"/>
    <w:rsid w:val="4C820C46"/>
    <w:rsid w:val="4C8449BE"/>
    <w:rsid w:val="4C876AA5"/>
    <w:rsid w:val="4C8D79CC"/>
    <w:rsid w:val="4C8E75EA"/>
    <w:rsid w:val="4C8F6EBF"/>
    <w:rsid w:val="4C910E89"/>
    <w:rsid w:val="4C9442AE"/>
    <w:rsid w:val="4C96649F"/>
    <w:rsid w:val="4CA0731E"/>
    <w:rsid w:val="4CA25171"/>
    <w:rsid w:val="4CA30BBC"/>
    <w:rsid w:val="4CA3296A"/>
    <w:rsid w:val="4CA54934"/>
    <w:rsid w:val="4CA7245A"/>
    <w:rsid w:val="4CA95F3B"/>
    <w:rsid w:val="4CA961D2"/>
    <w:rsid w:val="4CAA019C"/>
    <w:rsid w:val="4CAE37E9"/>
    <w:rsid w:val="4CB24C66"/>
    <w:rsid w:val="4CB30DFF"/>
    <w:rsid w:val="4CB42DC9"/>
    <w:rsid w:val="4CBA258C"/>
    <w:rsid w:val="4CBB392D"/>
    <w:rsid w:val="4CBB7CB4"/>
    <w:rsid w:val="4CBD7ED0"/>
    <w:rsid w:val="4CBF59F6"/>
    <w:rsid w:val="4CC0351C"/>
    <w:rsid w:val="4CC21042"/>
    <w:rsid w:val="4CC27294"/>
    <w:rsid w:val="4CC306FE"/>
    <w:rsid w:val="4CC4707B"/>
    <w:rsid w:val="4CC50B32"/>
    <w:rsid w:val="4CC528E0"/>
    <w:rsid w:val="4CC76658"/>
    <w:rsid w:val="4CC96874"/>
    <w:rsid w:val="4CCC1EC1"/>
    <w:rsid w:val="4CCE5BD4"/>
    <w:rsid w:val="4CD34FFD"/>
    <w:rsid w:val="4CD46FC7"/>
    <w:rsid w:val="4CD754F1"/>
    <w:rsid w:val="4CD75544"/>
    <w:rsid w:val="4CDA19A5"/>
    <w:rsid w:val="4CDA2830"/>
    <w:rsid w:val="4CDA6125"/>
    <w:rsid w:val="4CDB2104"/>
    <w:rsid w:val="4CE4545C"/>
    <w:rsid w:val="4CE73541"/>
    <w:rsid w:val="4CE94099"/>
    <w:rsid w:val="4CEA25B3"/>
    <w:rsid w:val="4CEC4311"/>
    <w:rsid w:val="4CED7344"/>
    <w:rsid w:val="4CEF5BAF"/>
    <w:rsid w:val="4CF0209D"/>
    <w:rsid w:val="4CF12E00"/>
    <w:rsid w:val="4CF34379"/>
    <w:rsid w:val="4CF91FCC"/>
    <w:rsid w:val="4CFB09F8"/>
    <w:rsid w:val="4CFB4554"/>
    <w:rsid w:val="4CFD02CC"/>
    <w:rsid w:val="4CFF2296"/>
    <w:rsid w:val="4CFF4044"/>
    <w:rsid w:val="4CFF501F"/>
    <w:rsid w:val="4D027691"/>
    <w:rsid w:val="4D035C4F"/>
    <w:rsid w:val="4D072EF9"/>
    <w:rsid w:val="4D07739D"/>
    <w:rsid w:val="4D0923D9"/>
    <w:rsid w:val="4D0A4797"/>
    <w:rsid w:val="4D0C6761"/>
    <w:rsid w:val="4D0E00FB"/>
    <w:rsid w:val="4D0F1DAD"/>
    <w:rsid w:val="4D13189E"/>
    <w:rsid w:val="4D13416C"/>
    <w:rsid w:val="4D146C42"/>
    <w:rsid w:val="4D153868"/>
    <w:rsid w:val="4D176606"/>
    <w:rsid w:val="4D1A0E7E"/>
    <w:rsid w:val="4D1C1598"/>
    <w:rsid w:val="4D221AE1"/>
    <w:rsid w:val="4D265A75"/>
    <w:rsid w:val="4D2770F7"/>
    <w:rsid w:val="4D292E6F"/>
    <w:rsid w:val="4D2C295F"/>
    <w:rsid w:val="4D2E0486"/>
    <w:rsid w:val="4D31441A"/>
    <w:rsid w:val="4D330A1C"/>
    <w:rsid w:val="4D355CB8"/>
    <w:rsid w:val="4D357738"/>
    <w:rsid w:val="4D387556"/>
    <w:rsid w:val="4D4001B9"/>
    <w:rsid w:val="4D4052E5"/>
    <w:rsid w:val="4D422183"/>
    <w:rsid w:val="4D467EC5"/>
    <w:rsid w:val="4D471250"/>
    <w:rsid w:val="4D471547"/>
    <w:rsid w:val="4D486CC1"/>
    <w:rsid w:val="4D491763"/>
    <w:rsid w:val="4D4B1874"/>
    <w:rsid w:val="4D4B54DB"/>
    <w:rsid w:val="4D52686A"/>
    <w:rsid w:val="4D550108"/>
    <w:rsid w:val="4D573E80"/>
    <w:rsid w:val="4D5819A6"/>
    <w:rsid w:val="4D5D6FBD"/>
    <w:rsid w:val="4D5E5119"/>
    <w:rsid w:val="4D6046FD"/>
    <w:rsid w:val="4D616AAD"/>
    <w:rsid w:val="4D6640C3"/>
    <w:rsid w:val="4D677E3B"/>
    <w:rsid w:val="4D697710"/>
    <w:rsid w:val="4D6D377D"/>
    <w:rsid w:val="4D6E2F78"/>
    <w:rsid w:val="4D7209E7"/>
    <w:rsid w:val="4D722A68"/>
    <w:rsid w:val="4D73058E"/>
    <w:rsid w:val="4D73233C"/>
    <w:rsid w:val="4D761E2D"/>
    <w:rsid w:val="4D791D44"/>
    <w:rsid w:val="4D7C38E7"/>
    <w:rsid w:val="4D7D31BB"/>
    <w:rsid w:val="4D810EFD"/>
    <w:rsid w:val="4D812CAB"/>
    <w:rsid w:val="4D830A74"/>
    <w:rsid w:val="4D8602C2"/>
    <w:rsid w:val="4D866514"/>
    <w:rsid w:val="4D8A3570"/>
    <w:rsid w:val="4D8E361A"/>
    <w:rsid w:val="4D950505"/>
    <w:rsid w:val="4D986247"/>
    <w:rsid w:val="4D987FF5"/>
    <w:rsid w:val="4D9C5D37"/>
    <w:rsid w:val="4D9C7AE5"/>
    <w:rsid w:val="4DA1334D"/>
    <w:rsid w:val="4DA44BEC"/>
    <w:rsid w:val="4DA4699A"/>
    <w:rsid w:val="4DA74D9E"/>
    <w:rsid w:val="4DA92202"/>
    <w:rsid w:val="4DAB1FDE"/>
    <w:rsid w:val="4DB31898"/>
    <w:rsid w:val="4DBC0187"/>
    <w:rsid w:val="4DBD1158"/>
    <w:rsid w:val="4DC25072"/>
    <w:rsid w:val="4DC332C4"/>
    <w:rsid w:val="4DC351C2"/>
    <w:rsid w:val="4DC86B2C"/>
    <w:rsid w:val="4DCC69B2"/>
    <w:rsid w:val="4DCD7C9F"/>
    <w:rsid w:val="4DD52FF7"/>
    <w:rsid w:val="4DD76D6F"/>
    <w:rsid w:val="4DDA64EC"/>
    <w:rsid w:val="4DDC25D7"/>
    <w:rsid w:val="4DDE7A3E"/>
    <w:rsid w:val="4DE1374A"/>
    <w:rsid w:val="4DE35714"/>
    <w:rsid w:val="4DE4323A"/>
    <w:rsid w:val="4DE84AD8"/>
    <w:rsid w:val="4DEA6AA2"/>
    <w:rsid w:val="4DEC4FB0"/>
    <w:rsid w:val="4DED0341"/>
    <w:rsid w:val="4DED1400"/>
    <w:rsid w:val="4DEE5E67"/>
    <w:rsid w:val="4DF01E53"/>
    <w:rsid w:val="4DF23BA9"/>
    <w:rsid w:val="4DF3347D"/>
    <w:rsid w:val="4DF53699"/>
    <w:rsid w:val="4DF55447"/>
    <w:rsid w:val="4DF62F44"/>
    <w:rsid w:val="4DF80A94"/>
    <w:rsid w:val="4DF96CE5"/>
    <w:rsid w:val="4DFA077D"/>
    <w:rsid w:val="4DFA2A5E"/>
    <w:rsid w:val="4DFF0074"/>
    <w:rsid w:val="4E01203E"/>
    <w:rsid w:val="4E035DB6"/>
    <w:rsid w:val="4E037B64"/>
    <w:rsid w:val="4E047438"/>
    <w:rsid w:val="4E0631B0"/>
    <w:rsid w:val="4E075D8A"/>
    <w:rsid w:val="4E0B6A19"/>
    <w:rsid w:val="4E102281"/>
    <w:rsid w:val="4E10402F"/>
    <w:rsid w:val="4E105DDD"/>
    <w:rsid w:val="4E1103A0"/>
    <w:rsid w:val="4E125FF9"/>
    <w:rsid w:val="4E191136"/>
    <w:rsid w:val="4E1A6C5C"/>
    <w:rsid w:val="4E1E3F1E"/>
    <w:rsid w:val="4E1E499E"/>
    <w:rsid w:val="4E233D62"/>
    <w:rsid w:val="4E28581D"/>
    <w:rsid w:val="4E2875CB"/>
    <w:rsid w:val="4E2A50F1"/>
    <w:rsid w:val="4E2A6045"/>
    <w:rsid w:val="4E2D2E33"/>
    <w:rsid w:val="4E2D698F"/>
    <w:rsid w:val="4E3715BC"/>
    <w:rsid w:val="4E3917D8"/>
    <w:rsid w:val="4E393586"/>
    <w:rsid w:val="4E3C637F"/>
    <w:rsid w:val="4E3F66C2"/>
    <w:rsid w:val="4E4168DE"/>
    <w:rsid w:val="4E451F2B"/>
    <w:rsid w:val="4E4B32B9"/>
    <w:rsid w:val="4E4B3EEE"/>
    <w:rsid w:val="4E4B5067"/>
    <w:rsid w:val="4E5C54C6"/>
    <w:rsid w:val="4E5D2A1D"/>
    <w:rsid w:val="4E5E3D22"/>
    <w:rsid w:val="4E5E4D9B"/>
    <w:rsid w:val="4E600B13"/>
    <w:rsid w:val="4E616639"/>
    <w:rsid w:val="4E633605"/>
    <w:rsid w:val="4E65437B"/>
    <w:rsid w:val="4E685C19"/>
    <w:rsid w:val="4E720846"/>
    <w:rsid w:val="4E7660AF"/>
    <w:rsid w:val="4E7C3473"/>
    <w:rsid w:val="4E7D6D7D"/>
    <w:rsid w:val="4E7E020D"/>
    <w:rsid w:val="4E880069"/>
    <w:rsid w:val="4E883E90"/>
    <w:rsid w:val="4E887DA1"/>
    <w:rsid w:val="4E8924B7"/>
    <w:rsid w:val="4E8C7B5A"/>
    <w:rsid w:val="4E8D38D2"/>
    <w:rsid w:val="4E8F31A6"/>
    <w:rsid w:val="4E8F764A"/>
    <w:rsid w:val="4E9133C2"/>
    <w:rsid w:val="4E9407BC"/>
    <w:rsid w:val="4E9609D8"/>
    <w:rsid w:val="4E9702AC"/>
    <w:rsid w:val="4E9904C8"/>
    <w:rsid w:val="4E994F3D"/>
    <w:rsid w:val="4E9B1B4B"/>
    <w:rsid w:val="4EA12ED9"/>
    <w:rsid w:val="4EA21AFA"/>
    <w:rsid w:val="4EA32699"/>
    <w:rsid w:val="4EA34EA3"/>
    <w:rsid w:val="4EA8070C"/>
    <w:rsid w:val="4EAA6232"/>
    <w:rsid w:val="4EAD187E"/>
    <w:rsid w:val="4EB40E5E"/>
    <w:rsid w:val="4EB41A1D"/>
    <w:rsid w:val="4EB5120D"/>
    <w:rsid w:val="4EB62E28"/>
    <w:rsid w:val="4EB66985"/>
    <w:rsid w:val="4EB90223"/>
    <w:rsid w:val="4EBB3F9B"/>
    <w:rsid w:val="4EBE7F2F"/>
    <w:rsid w:val="4EBF6FC0"/>
    <w:rsid w:val="4EC00FAD"/>
    <w:rsid w:val="4EC512BE"/>
    <w:rsid w:val="4EC70B92"/>
    <w:rsid w:val="4EC72940"/>
    <w:rsid w:val="4EC8490A"/>
    <w:rsid w:val="4EC866B8"/>
    <w:rsid w:val="4ECA270D"/>
    <w:rsid w:val="4ED212E5"/>
    <w:rsid w:val="4ED37498"/>
    <w:rsid w:val="4ED908C5"/>
    <w:rsid w:val="4EDA10ED"/>
    <w:rsid w:val="4EDA2D48"/>
    <w:rsid w:val="4EEA0D24"/>
    <w:rsid w:val="4EF43951"/>
    <w:rsid w:val="4EF63225"/>
    <w:rsid w:val="4EFB6F97"/>
    <w:rsid w:val="4EFE032C"/>
    <w:rsid w:val="4F005E52"/>
    <w:rsid w:val="4F082F58"/>
    <w:rsid w:val="4F0911AA"/>
    <w:rsid w:val="4F0C0C9A"/>
    <w:rsid w:val="4F0C47F7"/>
    <w:rsid w:val="4F0E056F"/>
    <w:rsid w:val="4F0F2539"/>
    <w:rsid w:val="4F0F42E7"/>
    <w:rsid w:val="4F0F6398"/>
    <w:rsid w:val="4F11005F"/>
    <w:rsid w:val="4F110FA8"/>
    <w:rsid w:val="4F135B85"/>
    <w:rsid w:val="4F1560AE"/>
    <w:rsid w:val="4F1D2EA8"/>
    <w:rsid w:val="4F1D43F5"/>
    <w:rsid w:val="4F1D6A04"/>
    <w:rsid w:val="4F1E452A"/>
    <w:rsid w:val="4F204746"/>
    <w:rsid w:val="4F2064F4"/>
    <w:rsid w:val="4F241019"/>
    <w:rsid w:val="4F29184C"/>
    <w:rsid w:val="4F2935FA"/>
    <w:rsid w:val="4F2A68EE"/>
    <w:rsid w:val="4F2E29BF"/>
    <w:rsid w:val="4F2E69C1"/>
    <w:rsid w:val="4F2F6737"/>
    <w:rsid w:val="4F304989"/>
    <w:rsid w:val="4F334479"/>
    <w:rsid w:val="4F342C01"/>
    <w:rsid w:val="4F351F9F"/>
    <w:rsid w:val="4F367AC5"/>
    <w:rsid w:val="4F3A75B6"/>
    <w:rsid w:val="4F3E697A"/>
    <w:rsid w:val="4F416513"/>
    <w:rsid w:val="4F45114D"/>
    <w:rsid w:val="4F454F19"/>
    <w:rsid w:val="4F473A81"/>
    <w:rsid w:val="4F4977F9"/>
    <w:rsid w:val="4F4A531F"/>
    <w:rsid w:val="4F4C25C9"/>
    <w:rsid w:val="4F4E3061"/>
    <w:rsid w:val="4F506B2E"/>
    <w:rsid w:val="4F512B51"/>
    <w:rsid w:val="4F5148FF"/>
    <w:rsid w:val="4F531CB1"/>
    <w:rsid w:val="4F5477AA"/>
    <w:rsid w:val="4F552641"/>
    <w:rsid w:val="4F58642E"/>
    <w:rsid w:val="4F587A3C"/>
    <w:rsid w:val="4F5B577E"/>
    <w:rsid w:val="4F5D49DE"/>
    <w:rsid w:val="4F5F0DCA"/>
    <w:rsid w:val="4F602D94"/>
    <w:rsid w:val="4F636098"/>
    <w:rsid w:val="4F6512F6"/>
    <w:rsid w:val="4F691C49"/>
    <w:rsid w:val="4F697E9B"/>
    <w:rsid w:val="4F6A776F"/>
    <w:rsid w:val="4F6B3C13"/>
    <w:rsid w:val="4F6C1739"/>
    <w:rsid w:val="4F6C5EFF"/>
    <w:rsid w:val="4F74239C"/>
    <w:rsid w:val="4F786330"/>
    <w:rsid w:val="4F786D37"/>
    <w:rsid w:val="4F7C5E20"/>
    <w:rsid w:val="4F7F46A4"/>
    <w:rsid w:val="4F7F76BE"/>
    <w:rsid w:val="4F820F5D"/>
    <w:rsid w:val="4F840831"/>
    <w:rsid w:val="4F844CD5"/>
    <w:rsid w:val="4F846A83"/>
    <w:rsid w:val="4F8952CC"/>
    <w:rsid w:val="4F8B4779"/>
    <w:rsid w:val="4F8B5111"/>
    <w:rsid w:val="4F8B6063"/>
    <w:rsid w:val="4F8E16AF"/>
    <w:rsid w:val="4F8E237C"/>
    <w:rsid w:val="4F8E345D"/>
    <w:rsid w:val="4F8F7917"/>
    <w:rsid w:val="4F905428"/>
    <w:rsid w:val="4F934F18"/>
    <w:rsid w:val="4F9523FF"/>
    <w:rsid w:val="4F952A3E"/>
    <w:rsid w:val="4F9843DC"/>
    <w:rsid w:val="4F9A44F8"/>
    <w:rsid w:val="4F9B0E06"/>
    <w:rsid w:val="4F9B7EA7"/>
    <w:rsid w:val="4F9D7B44"/>
    <w:rsid w:val="4FA233AD"/>
    <w:rsid w:val="4FA55A32"/>
    <w:rsid w:val="4FA669F9"/>
    <w:rsid w:val="4FA90297"/>
    <w:rsid w:val="4FA964E9"/>
    <w:rsid w:val="4FAD6032"/>
    <w:rsid w:val="4FB01626"/>
    <w:rsid w:val="4FB07878"/>
    <w:rsid w:val="4FB31116"/>
    <w:rsid w:val="4FB355BA"/>
    <w:rsid w:val="4FB44097"/>
    <w:rsid w:val="4FBB3F6A"/>
    <w:rsid w:val="4FBE7D1A"/>
    <w:rsid w:val="4FBF11AA"/>
    <w:rsid w:val="4FC11A85"/>
    <w:rsid w:val="4FC62A8C"/>
    <w:rsid w:val="4FC81BF6"/>
    <w:rsid w:val="4FCB6460"/>
    <w:rsid w:val="4FD07F1A"/>
    <w:rsid w:val="4FD33566"/>
    <w:rsid w:val="4FD35314"/>
    <w:rsid w:val="4FD572DE"/>
    <w:rsid w:val="4FD73056"/>
    <w:rsid w:val="4FD974F3"/>
    <w:rsid w:val="4FDA2B47"/>
    <w:rsid w:val="4FDA48F5"/>
    <w:rsid w:val="4FDD6193"/>
    <w:rsid w:val="4FE13ED5"/>
    <w:rsid w:val="4FE20F0D"/>
    <w:rsid w:val="4FE44606"/>
    <w:rsid w:val="4FE51552"/>
    <w:rsid w:val="4FE528A4"/>
    <w:rsid w:val="4FE614EB"/>
    <w:rsid w:val="4FED287A"/>
    <w:rsid w:val="4FF359B6"/>
    <w:rsid w:val="4FF43C08"/>
    <w:rsid w:val="4FF82FCD"/>
    <w:rsid w:val="4FF84D7B"/>
    <w:rsid w:val="4FF85861"/>
    <w:rsid w:val="4FF9539C"/>
    <w:rsid w:val="4FFF663D"/>
    <w:rsid w:val="500243D3"/>
    <w:rsid w:val="5003209D"/>
    <w:rsid w:val="50033E4B"/>
    <w:rsid w:val="500B0F52"/>
    <w:rsid w:val="501222E0"/>
    <w:rsid w:val="50125E3D"/>
    <w:rsid w:val="50130A4A"/>
    <w:rsid w:val="50131BB5"/>
    <w:rsid w:val="50146059"/>
    <w:rsid w:val="50181CD8"/>
    <w:rsid w:val="50182CF3"/>
    <w:rsid w:val="5018529C"/>
    <w:rsid w:val="501F49FD"/>
    <w:rsid w:val="50210776"/>
    <w:rsid w:val="50250266"/>
    <w:rsid w:val="50265D8C"/>
    <w:rsid w:val="50281B04"/>
    <w:rsid w:val="502838B2"/>
    <w:rsid w:val="502B02F9"/>
    <w:rsid w:val="502C0884"/>
    <w:rsid w:val="503009B9"/>
    <w:rsid w:val="50324731"/>
    <w:rsid w:val="50355FCF"/>
    <w:rsid w:val="5036276D"/>
    <w:rsid w:val="50373AF5"/>
    <w:rsid w:val="5038161B"/>
    <w:rsid w:val="50395ABF"/>
    <w:rsid w:val="5039786D"/>
    <w:rsid w:val="503B1BA2"/>
    <w:rsid w:val="503D0486"/>
    <w:rsid w:val="503E30D6"/>
    <w:rsid w:val="50406E4E"/>
    <w:rsid w:val="50412BC6"/>
    <w:rsid w:val="504306EC"/>
    <w:rsid w:val="50446212"/>
    <w:rsid w:val="50463D38"/>
    <w:rsid w:val="504825CD"/>
    <w:rsid w:val="50497753"/>
    <w:rsid w:val="504F7091"/>
    <w:rsid w:val="50504C4B"/>
    <w:rsid w:val="50506965"/>
    <w:rsid w:val="50530C38"/>
    <w:rsid w:val="50546455"/>
    <w:rsid w:val="50597F0F"/>
    <w:rsid w:val="505C355C"/>
    <w:rsid w:val="505C7A00"/>
    <w:rsid w:val="5060129E"/>
    <w:rsid w:val="50616DC4"/>
    <w:rsid w:val="506348EA"/>
    <w:rsid w:val="50697A27"/>
    <w:rsid w:val="506A2AFE"/>
    <w:rsid w:val="506D6B4D"/>
    <w:rsid w:val="506F537B"/>
    <w:rsid w:val="50722D7F"/>
    <w:rsid w:val="50744D49"/>
    <w:rsid w:val="50770396"/>
    <w:rsid w:val="50772144"/>
    <w:rsid w:val="50781210"/>
    <w:rsid w:val="5079410E"/>
    <w:rsid w:val="50797895"/>
    <w:rsid w:val="507C2A18"/>
    <w:rsid w:val="507C59AC"/>
    <w:rsid w:val="5081797E"/>
    <w:rsid w:val="508456FD"/>
    <w:rsid w:val="50852AB2"/>
    <w:rsid w:val="508B122D"/>
    <w:rsid w:val="508D296A"/>
    <w:rsid w:val="508F56DF"/>
    <w:rsid w:val="5092043F"/>
    <w:rsid w:val="50926B99"/>
    <w:rsid w:val="509727E6"/>
    <w:rsid w:val="5099030C"/>
    <w:rsid w:val="509C604E"/>
    <w:rsid w:val="509C6E7C"/>
    <w:rsid w:val="509E1DC6"/>
    <w:rsid w:val="50A0169A"/>
    <w:rsid w:val="50A078EC"/>
    <w:rsid w:val="50A8054F"/>
    <w:rsid w:val="50A82C45"/>
    <w:rsid w:val="50AB1CCE"/>
    <w:rsid w:val="50AD2922"/>
    <w:rsid w:val="50AF18DD"/>
    <w:rsid w:val="50B138A7"/>
    <w:rsid w:val="50B25872"/>
    <w:rsid w:val="50B415EA"/>
    <w:rsid w:val="50B52C6C"/>
    <w:rsid w:val="50BD1283"/>
    <w:rsid w:val="50BE6F9A"/>
    <w:rsid w:val="50C01D3C"/>
    <w:rsid w:val="50C7131D"/>
    <w:rsid w:val="50C730CB"/>
    <w:rsid w:val="50C76EAB"/>
    <w:rsid w:val="50C86E43"/>
    <w:rsid w:val="50CA4969"/>
    <w:rsid w:val="50CB0986"/>
    <w:rsid w:val="50CD09CB"/>
    <w:rsid w:val="50CF33DE"/>
    <w:rsid w:val="50D9042C"/>
    <w:rsid w:val="50D92DFE"/>
    <w:rsid w:val="50DE7392"/>
    <w:rsid w:val="50E21CB3"/>
    <w:rsid w:val="50E5344A"/>
    <w:rsid w:val="50E752AD"/>
    <w:rsid w:val="50E84DEF"/>
    <w:rsid w:val="50EC4197"/>
    <w:rsid w:val="50EE1EB6"/>
    <w:rsid w:val="50EF617E"/>
    <w:rsid w:val="50F1639A"/>
    <w:rsid w:val="50F47C38"/>
    <w:rsid w:val="50FB2D75"/>
    <w:rsid w:val="50FB4B23"/>
    <w:rsid w:val="50FD4D3F"/>
    <w:rsid w:val="51053BF3"/>
    <w:rsid w:val="51063B27"/>
    <w:rsid w:val="510734C7"/>
    <w:rsid w:val="510936E3"/>
    <w:rsid w:val="510B7F38"/>
    <w:rsid w:val="510C31D4"/>
    <w:rsid w:val="510F4A72"/>
    <w:rsid w:val="510F6820"/>
    <w:rsid w:val="51122FDC"/>
    <w:rsid w:val="511703CE"/>
    <w:rsid w:val="51197000"/>
    <w:rsid w:val="511D2CEB"/>
    <w:rsid w:val="511D718F"/>
    <w:rsid w:val="512027DB"/>
    <w:rsid w:val="51234079"/>
    <w:rsid w:val="51237D2E"/>
    <w:rsid w:val="512A6795"/>
    <w:rsid w:val="512B7CD4"/>
    <w:rsid w:val="512C2F2E"/>
    <w:rsid w:val="5139564B"/>
    <w:rsid w:val="513D439B"/>
    <w:rsid w:val="513E2C61"/>
    <w:rsid w:val="514364CA"/>
    <w:rsid w:val="5144471C"/>
    <w:rsid w:val="5149499E"/>
    <w:rsid w:val="514B1E8F"/>
    <w:rsid w:val="514B3CFC"/>
    <w:rsid w:val="514C1822"/>
    <w:rsid w:val="514F0810"/>
    <w:rsid w:val="51501312"/>
    <w:rsid w:val="51541DB4"/>
    <w:rsid w:val="51581F75"/>
    <w:rsid w:val="515D758B"/>
    <w:rsid w:val="515E50B1"/>
    <w:rsid w:val="5160430F"/>
    <w:rsid w:val="5160707C"/>
    <w:rsid w:val="51621046"/>
    <w:rsid w:val="5162104E"/>
    <w:rsid w:val="51646B6C"/>
    <w:rsid w:val="51654692"/>
    <w:rsid w:val="5167040A"/>
    <w:rsid w:val="51713037"/>
    <w:rsid w:val="5174109B"/>
    <w:rsid w:val="5176064D"/>
    <w:rsid w:val="5178029F"/>
    <w:rsid w:val="517B3EB5"/>
    <w:rsid w:val="517B639D"/>
    <w:rsid w:val="517D7C2E"/>
    <w:rsid w:val="517F39A6"/>
    <w:rsid w:val="517F5754"/>
    <w:rsid w:val="51826FF2"/>
    <w:rsid w:val="51842D6A"/>
    <w:rsid w:val="5184487E"/>
    <w:rsid w:val="51844B18"/>
    <w:rsid w:val="51856AE2"/>
    <w:rsid w:val="51870AAC"/>
    <w:rsid w:val="5187285A"/>
    <w:rsid w:val="51875DD0"/>
    <w:rsid w:val="518B5EA5"/>
    <w:rsid w:val="518F170F"/>
    <w:rsid w:val="519311FF"/>
    <w:rsid w:val="519412E6"/>
    <w:rsid w:val="519606B0"/>
    <w:rsid w:val="51965F7A"/>
    <w:rsid w:val="519A433C"/>
    <w:rsid w:val="51A52CE0"/>
    <w:rsid w:val="51AC698D"/>
    <w:rsid w:val="51B20896"/>
    <w:rsid w:val="51B55619"/>
    <w:rsid w:val="51B82A14"/>
    <w:rsid w:val="51BA49DE"/>
    <w:rsid w:val="51BB2504"/>
    <w:rsid w:val="51BC69A8"/>
    <w:rsid w:val="51BD4A0F"/>
    <w:rsid w:val="51BD627C"/>
    <w:rsid w:val="51BD75E0"/>
    <w:rsid w:val="51BF3DA2"/>
    <w:rsid w:val="51C13FBE"/>
    <w:rsid w:val="51C4760A"/>
    <w:rsid w:val="51C63383"/>
    <w:rsid w:val="51C770FB"/>
    <w:rsid w:val="51C92E73"/>
    <w:rsid w:val="51CB6BEB"/>
    <w:rsid w:val="51CE2237"/>
    <w:rsid w:val="51D236DC"/>
    <w:rsid w:val="51D3684D"/>
    <w:rsid w:val="51D51818"/>
    <w:rsid w:val="51D610EC"/>
    <w:rsid w:val="51DA0BDC"/>
    <w:rsid w:val="51DB6702"/>
    <w:rsid w:val="51DC4954"/>
    <w:rsid w:val="51DD247A"/>
    <w:rsid w:val="51DF14E9"/>
    <w:rsid w:val="51E11F6A"/>
    <w:rsid w:val="51EE0B2B"/>
    <w:rsid w:val="51F03BFE"/>
    <w:rsid w:val="51F06651"/>
    <w:rsid w:val="51F54E50"/>
    <w:rsid w:val="51F55A16"/>
    <w:rsid w:val="51F96A8C"/>
    <w:rsid w:val="51FC4FF6"/>
    <w:rsid w:val="51FE5112"/>
    <w:rsid w:val="51FF6894"/>
    <w:rsid w:val="52043EAB"/>
    <w:rsid w:val="52067C23"/>
    <w:rsid w:val="520C2D5F"/>
    <w:rsid w:val="52171E30"/>
    <w:rsid w:val="52181704"/>
    <w:rsid w:val="52187956"/>
    <w:rsid w:val="5219601D"/>
    <w:rsid w:val="52197F39"/>
    <w:rsid w:val="521C68BA"/>
    <w:rsid w:val="521C7FFB"/>
    <w:rsid w:val="52262073"/>
    <w:rsid w:val="52294CFF"/>
    <w:rsid w:val="522956BF"/>
    <w:rsid w:val="522B0B0F"/>
    <w:rsid w:val="522B7B4F"/>
    <w:rsid w:val="522D51B0"/>
    <w:rsid w:val="522F68D9"/>
    <w:rsid w:val="52302EF2"/>
    <w:rsid w:val="52304CA0"/>
    <w:rsid w:val="52306A4E"/>
    <w:rsid w:val="52374280"/>
    <w:rsid w:val="5238328E"/>
    <w:rsid w:val="523920F4"/>
    <w:rsid w:val="523D0E4F"/>
    <w:rsid w:val="523E560F"/>
    <w:rsid w:val="523E73BD"/>
    <w:rsid w:val="523F4A6E"/>
    <w:rsid w:val="52421D16"/>
    <w:rsid w:val="5245699D"/>
    <w:rsid w:val="52481FEA"/>
    <w:rsid w:val="52483D98"/>
    <w:rsid w:val="5248680B"/>
    <w:rsid w:val="52497B10"/>
    <w:rsid w:val="524B1ADA"/>
    <w:rsid w:val="524B3888"/>
    <w:rsid w:val="524B5DE6"/>
    <w:rsid w:val="524B7D2C"/>
    <w:rsid w:val="524D5852"/>
    <w:rsid w:val="524E02B9"/>
    <w:rsid w:val="524E3378"/>
    <w:rsid w:val="524E5126"/>
    <w:rsid w:val="52505342"/>
    <w:rsid w:val="52524C16"/>
    <w:rsid w:val="525A1D1D"/>
    <w:rsid w:val="525D5E0E"/>
    <w:rsid w:val="525F7333"/>
    <w:rsid w:val="526239CC"/>
    <w:rsid w:val="526273B5"/>
    <w:rsid w:val="52642B9B"/>
    <w:rsid w:val="52662091"/>
    <w:rsid w:val="52662470"/>
    <w:rsid w:val="526D7CA2"/>
    <w:rsid w:val="526F3A1A"/>
    <w:rsid w:val="5272350A"/>
    <w:rsid w:val="52732285"/>
    <w:rsid w:val="52734B8D"/>
    <w:rsid w:val="52744BA5"/>
    <w:rsid w:val="52754DA9"/>
    <w:rsid w:val="5277467D"/>
    <w:rsid w:val="527821A3"/>
    <w:rsid w:val="52796647"/>
    <w:rsid w:val="527D5F08"/>
    <w:rsid w:val="5281374D"/>
    <w:rsid w:val="52846D9A"/>
    <w:rsid w:val="52851E43"/>
    <w:rsid w:val="5288688A"/>
    <w:rsid w:val="528B637A"/>
    <w:rsid w:val="528C3A7D"/>
    <w:rsid w:val="528D20F2"/>
    <w:rsid w:val="528F19C6"/>
    <w:rsid w:val="528F5E6A"/>
    <w:rsid w:val="528F7C18"/>
    <w:rsid w:val="529214B7"/>
    <w:rsid w:val="52946FDD"/>
    <w:rsid w:val="52966AAF"/>
    <w:rsid w:val="5297059E"/>
    <w:rsid w:val="52972F71"/>
    <w:rsid w:val="52976ACD"/>
    <w:rsid w:val="529A036B"/>
    <w:rsid w:val="529C0587"/>
    <w:rsid w:val="529D3DB1"/>
    <w:rsid w:val="52A42543"/>
    <w:rsid w:val="52A77A34"/>
    <w:rsid w:val="52AA6800"/>
    <w:rsid w:val="52AC1DB3"/>
    <w:rsid w:val="52AF3C79"/>
    <w:rsid w:val="52B256B5"/>
    <w:rsid w:val="52B47D8E"/>
    <w:rsid w:val="52B72BAA"/>
    <w:rsid w:val="52B72CCB"/>
    <w:rsid w:val="52BD6456"/>
    <w:rsid w:val="52BE04FE"/>
    <w:rsid w:val="52BE40AB"/>
    <w:rsid w:val="52C13B4A"/>
    <w:rsid w:val="52C5188C"/>
    <w:rsid w:val="52C553E8"/>
    <w:rsid w:val="52C8288B"/>
    <w:rsid w:val="52C86D6D"/>
    <w:rsid w:val="52CB49C9"/>
    <w:rsid w:val="52CC2C1B"/>
    <w:rsid w:val="52CF270B"/>
    <w:rsid w:val="52CF44B9"/>
    <w:rsid w:val="52D4387D"/>
    <w:rsid w:val="52E37F64"/>
    <w:rsid w:val="52E5798E"/>
    <w:rsid w:val="52E87329"/>
    <w:rsid w:val="52EC1142"/>
    <w:rsid w:val="52EE029E"/>
    <w:rsid w:val="52EF6909"/>
    <w:rsid w:val="52F061DD"/>
    <w:rsid w:val="52F42171"/>
    <w:rsid w:val="52F77CF4"/>
    <w:rsid w:val="52FB3500"/>
    <w:rsid w:val="52FE6B4C"/>
    <w:rsid w:val="52FF1A0D"/>
    <w:rsid w:val="52FF7722"/>
    <w:rsid w:val="5302488E"/>
    <w:rsid w:val="53034162"/>
    <w:rsid w:val="53051C89"/>
    <w:rsid w:val="53053951"/>
    <w:rsid w:val="53081779"/>
    <w:rsid w:val="530A729F"/>
    <w:rsid w:val="530C1269"/>
    <w:rsid w:val="53103DB0"/>
    <w:rsid w:val="53114AD1"/>
    <w:rsid w:val="5314011E"/>
    <w:rsid w:val="531719BC"/>
    <w:rsid w:val="531B4A3A"/>
    <w:rsid w:val="531D66D7"/>
    <w:rsid w:val="531E71EE"/>
    <w:rsid w:val="53206AC2"/>
    <w:rsid w:val="53220A8C"/>
    <w:rsid w:val="53226CDE"/>
    <w:rsid w:val="532272D6"/>
    <w:rsid w:val="53285977"/>
    <w:rsid w:val="532F6D06"/>
    <w:rsid w:val="53312A7E"/>
    <w:rsid w:val="5332746D"/>
    <w:rsid w:val="5334256E"/>
    <w:rsid w:val="5337169E"/>
    <w:rsid w:val="53373E0C"/>
    <w:rsid w:val="533D58C6"/>
    <w:rsid w:val="533D7674"/>
    <w:rsid w:val="534433A9"/>
    <w:rsid w:val="53446C55"/>
    <w:rsid w:val="534529CD"/>
    <w:rsid w:val="5345477B"/>
    <w:rsid w:val="53456529"/>
    <w:rsid w:val="53476745"/>
    <w:rsid w:val="534C3D5B"/>
    <w:rsid w:val="534C5B09"/>
    <w:rsid w:val="534F296A"/>
    <w:rsid w:val="534F55FA"/>
    <w:rsid w:val="535624E4"/>
    <w:rsid w:val="53563C96"/>
    <w:rsid w:val="535765B6"/>
    <w:rsid w:val="5358625C"/>
    <w:rsid w:val="535A6478"/>
    <w:rsid w:val="535D78A6"/>
    <w:rsid w:val="535E75EB"/>
    <w:rsid w:val="536203AC"/>
    <w:rsid w:val="536410A5"/>
    <w:rsid w:val="53642E53"/>
    <w:rsid w:val="536A41E2"/>
    <w:rsid w:val="536F17F8"/>
    <w:rsid w:val="537312E8"/>
    <w:rsid w:val="5373753A"/>
    <w:rsid w:val="53755060"/>
    <w:rsid w:val="53792400"/>
    <w:rsid w:val="537D2167"/>
    <w:rsid w:val="537E1A3B"/>
    <w:rsid w:val="53807561"/>
    <w:rsid w:val="538708F0"/>
    <w:rsid w:val="538928BA"/>
    <w:rsid w:val="538E6122"/>
    <w:rsid w:val="538F6794"/>
    <w:rsid w:val="53901E9A"/>
    <w:rsid w:val="5391176E"/>
    <w:rsid w:val="53953895"/>
    <w:rsid w:val="53990623"/>
    <w:rsid w:val="539A6875"/>
    <w:rsid w:val="539D6365"/>
    <w:rsid w:val="539F032F"/>
    <w:rsid w:val="53A039CC"/>
    <w:rsid w:val="53A1505A"/>
    <w:rsid w:val="53A45945"/>
    <w:rsid w:val="53A476F3"/>
    <w:rsid w:val="53AC47FA"/>
    <w:rsid w:val="53AE2320"/>
    <w:rsid w:val="53AE40CE"/>
    <w:rsid w:val="53B10062"/>
    <w:rsid w:val="53B15D31"/>
    <w:rsid w:val="53B67427"/>
    <w:rsid w:val="53B768FB"/>
    <w:rsid w:val="53B86CFB"/>
    <w:rsid w:val="53BF0089"/>
    <w:rsid w:val="53C03E02"/>
    <w:rsid w:val="53C127F5"/>
    <w:rsid w:val="53C140E5"/>
    <w:rsid w:val="53D13BDA"/>
    <w:rsid w:val="53D1600F"/>
    <w:rsid w:val="53D61877"/>
    <w:rsid w:val="53DA1367"/>
    <w:rsid w:val="53DE67F8"/>
    <w:rsid w:val="53DF072C"/>
    <w:rsid w:val="53E126F6"/>
    <w:rsid w:val="53E45D42"/>
    <w:rsid w:val="53E53868"/>
    <w:rsid w:val="53E61ABA"/>
    <w:rsid w:val="53E72565"/>
    <w:rsid w:val="53E75832"/>
    <w:rsid w:val="53EB5437"/>
    <w:rsid w:val="53EC109A"/>
    <w:rsid w:val="53EE7333"/>
    <w:rsid w:val="53F046E7"/>
    <w:rsid w:val="53F32429"/>
    <w:rsid w:val="53F51CFD"/>
    <w:rsid w:val="53F57F4F"/>
    <w:rsid w:val="53FA37B7"/>
    <w:rsid w:val="53FA4276"/>
    <w:rsid w:val="53FD2283"/>
    <w:rsid w:val="53FF492A"/>
    <w:rsid w:val="54016E61"/>
    <w:rsid w:val="54063E08"/>
    <w:rsid w:val="54063F0A"/>
    <w:rsid w:val="540939FA"/>
    <w:rsid w:val="540B7773"/>
    <w:rsid w:val="540C51F2"/>
    <w:rsid w:val="540D34EB"/>
    <w:rsid w:val="540E1011"/>
    <w:rsid w:val="5414351A"/>
    <w:rsid w:val="5415414D"/>
    <w:rsid w:val="54176117"/>
    <w:rsid w:val="54183203"/>
    <w:rsid w:val="5418636F"/>
    <w:rsid w:val="541B7F5F"/>
    <w:rsid w:val="541E3671"/>
    <w:rsid w:val="541F321E"/>
    <w:rsid w:val="541F4FCC"/>
    <w:rsid w:val="54210D44"/>
    <w:rsid w:val="54224ABC"/>
    <w:rsid w:val="54240834"/>
    <w:rsid w:val="54280325"/>
    <w:rsid w:val="542A0E16"/>
    <w:rsid w:val="542B7CA6"/>
    <w:rsid w:val="542C1497"/>
    <w:rsid w:val="54302D35"/>
    <w:rsid w:val="54310657"/>
    <w:rsid w:val="54316AAD"/>
    <w:rsid w:val="54322F51"/>
    <w:rsid w:val="543437E8"/>
    <w:rsid w:val="5435659E"/>
    <w:rsid w:val="54372316"/>
    <w:rsid w:val="54372D88"/>
    <w:rsid w:val="543B2528"/>
    <w:rsid w:val="543C792C"/>
    <w:rsid w:val="54420CBA"/>
    <w:rsid w:val="544669FD"/>
    <w:rsid w:val="54492049"/>
    <w:rsid w:val="54493DF7"/>
    <w:rsid w:val="544B7B6F"/>
    <w:rsid w:val="544D7D8B"/>
    <w:rsid w:val="545339F1"/>
    <w:rsid w:val="54534C76"/>
    <w:rsid w:val="54556C40"/>
    <w:rsid w:val="54574766"/>
    <w:rsid w:val="545D5EF6"/>
    <w:rsid w:val="545E6D8C"/>
    <w:rsid w:val="54624EB9"/>
    <w:rsid w:val="54627485"/>
    <w:rsid w:val="546724CF"/>
    <w:rsid w:val="546B6463"/>
    <w:rsid w:val="546D21DB"/>
    <w:rsid w:val="546E385E"/>
    <w:rsid w:val="5472334E"/>
    <w:rsid w:val="54745318"/>
    <w:rsid w:val="54754BEC"/>
    <w:rsid w:val="547816AB"/>
    <w:rsid w:val="547842A7"/>
    <w:rsid w:val="54791FA3"/>
    <w:rsid w:val="547A0454"/>
    <w:rsid w:val="548117E3"/>
    <w:rsid w:val="54815C87"/>
    <w:rsid w:val="5483555B"/>
    <w:rsid w:val="548412D3"/>
    <w:rsid w:val="5484281F"/>
    <w:rsid w:val="54843081"/>
    <w:rsid w:val="54857525"/>
    <w:rsid w:val="54890697"/>
    <w:rsid w:val="54907C78"/>
    <w:rsid w:val="549239F0"/>
    <w:rsid w:val="5492579E"/>
    <w:rsid w:val="54931516"/>
    <w:rsid w:val="54971006"/>
    <w:rsid w:val="54972DB4"/>
    <w:rsid w:val="54973DD2"/>
    <w:rsid w:val="54976AA9"/>
    <w:rsid w:val="54994D7E"/>
    <w:rsid w:val="549A28A4"/>
    <w:rsid w:val="549C03CB"/>
    <w:rsid w:val="549C661D"/>
    <w:rsid w:val="549E05E7"/>
    <w:rsid w:val="54A02118"/>
    <w:rsid w:val="54A12E7B"/>
    <w:rsid w:val="54A159E1"/>
    <w:rsid w:val="54A43723"/>
    <w:rsid w:val="54A749AC"/>
    <w:rsid w:val="54A80623"/>
    <w:rsid w:val="54AA6F8B"/>
    <w:rsid w:val="54AB2D04"/>
    <w:rsid w:val="54AB4AB2"/>
    <w:rsid w:val="54AF45A2"/>
    <w:rsid w:val="54B7310D"/>
    <w:rsid w:val="54B86B3E"/>
    <w:rsid w:val="54B971CF"/>
    <w:rsid w:val="54BC0A6D"/>
    <w:rsid w:val="54BD77A2"/>
    <w:rsid w:val="54C0055D"/>
    <w:rsid w:val="54C53DC5"/>
    <w:rsid w:val="54C618EB"/>
    <w:rsid w:val="54C662FF"/>
    <w:rsid w:val="54C87412"/>
    <w:rsid w:val="54CF69F2"/>
    <w:rsid w:val="54D77655"/>
    <w:rsid w:val="54DF6509"/>
    <w:rsid w:val="54E16725"/>
    <w:rsid w:val="54E51D72"/>
    <w:rsid w:val="54E56216"/>
    <w:rsid w:val="54E65AEA"/>
    <w:rsid w:val="54E66898"/>
    <w:rsid w:val="54E83610"/>
    <w:rsid w:val="54E87019"/>
    <w:rsid w:val="54EA382C"/>
    <w:rsid w:val="54EC75A4"/>
    <w:rsid w:val="54EF0E42"/>
    <w:rsid w:val="54F226E1"/>
    <w:rsid w:val="54F71AA5"/>
    <w:rsid w:val="54F73313"/>
    <w:rsid w:val="54F75F49"/>
    <w:rsid w:val="54F80955"/>
    <w:rsid w:val="54F93A6F"/>
    <w:rsid w:val="54F975CB"/>
    <w:rsid w:val="54FE72D7"/>
    <w:rsid w:val="54FF095A"/>
    <w:rsid w:val="55004DFD"/>
    <w:rsid w:val="550146D2"/>
    <w:rsid w:val="55020B76"/>
    <w:rsid w:val="5503669C"/>
    <w:rsid w:val="550932A7"/>
    <w:rsid w:val="551B1F3B"/>
    <w:rsid w:val="551C775D"/>
    <w:rsid w:val="551F0ADE"/>
    <w:rsid w:val="5520724E"/>
    <w:rsid w:val="55214D74"/>
    <w:rsid w:val="552705DC"/>
    <w:rsid w:val="552F7491"/>
    <w:rsid w:val="55320D2F"/>
    <w:rsid w:val="55376345"/>
    <w:rsid w:val="553954C4"/>
    <w:rsid w:val="553B68DE"/>
    <w:rsid w:val="553D44F9"/>
    <w:rsid w:val="553E79BD"/>
    <w:rsid w:val="553F5893"/>
    <w:rsid w:val="5540344C"/>
    <w:rsid w:val="554051FA"/>
    <w:rsid w:val="55410F72"/>
    <w:rsid w:val="55456CB4"/>
    <w:rsid w:val="554747DA"/>
    <w:rsid w:val="55482300"/>
    <w:rsid w:val="554A0B9A"/>
    <w:rsid w:val="554A6449"/>
    <w:rsid w:val="554E3280"/>
    <w:rsid w:val="554E3DBB"/>
    <w:rsid w:val="554F368F"/>
    <w:rsid w:val="554F7B33"/>
    <w:rsid w:val="555170A7"/>
    <w:rsid w:val="55517407"/>
    <w:rsid w:val="555313D1"/>
    <w:rsid w:val="55545149"/>
    <w:rsid w:val="55582E57"/>
    <w:rsid w:val="555962BC"/>
    <w:rsid w:val="555B47FD"/>
    <w:rsid w:val="555B64D8"/>
    <w:rsid w:val="555E7D76"/>
    <w:rsid w:val="55631913"/>
    <w:rsid w:val="5563538C"/>
    <w:rsid w:val="5563713A"/>
    <w:rsid w:val="55653D9A"/>
    <w:rsid w:val="556A2E62"/>
    <w:rsid w:val="556F5ADF"/>
    <w:rsid w:val="55713605"/>
    <w:rsid w:val="557355CF"/>
    <w:rsid w:val="55766E6E"/>
    <w:rsid w:val="55774994"/>
    <w:rsid w:val="5579070C"/>
    <w:rsid w:val="557D644E"/>
    <w:rsid w:val="557F21C6"/>
    <w:rsid w:val="55807CEC"/>
    <w:rsid w:val="55852E44"/>
    <w:rsid w:val="55872E29"/>
    <w:rsid w:val="5587536D"/>
    <w:rsid w:val="5588094F"/>
    <w:rsid w:val="55894DF3"/>
    <w:rsid w:val="558A0B6B"/>
    <w:rsid w:val="5596306C"/>
    <w:rsid w:val="55983288"/>
    <w:rsid w:val="559A7000"/>
    <w:rsid w:val="559B174B"/>
    <w:rsid w:val="559B337F"/>
    <w:rsid w:val="559E0172"/>
    <w:rsid w:val="559E1D52"/>
    <w:rsid w:val="559E63C4"/>
    <w:rsid w:val="55A25EB5"/>
    <w:rsid w:val="55A41C2D"/>
    <w:rsid w:val="55A66DA3"/>
    <w:rsid w:val="55A734CB"/>
    <w:rsid w:val="55AC0AE1"/>
    <w:rsid w:val="55AC3A35"/>
    <w:rsid w:val="55AE2AAB"/>
    <w:rsid w:val="55AE4859"/>
    <w:rsid w:val="55AF412E"/>
    <w:rsid w:val="55B055F7"/>
    <w:rsid w:val="55B54A38"/>
    <w:rsid w:val="55B61960"/>
    <w:rsid w:val="55B87486"/>
    <w:rsid w:val="55B94FAC"/>
    <w:rsid w:val="55BD2CEE"/>
    <w:rsid w:val="55BD4A9D"/>
    <w:rsid w:val="55C027DF"/>
    <w:rsid w:val="55C0458D"/>
    <w:rsid w:val="55C4407D"/>
    <w:rsid w:val="55C71477"/>
    <w:rsid w:val="55C951EF"/>
    <w:rsid w:val="55CD539B"/>
    <w:rsid w:val="55CE0CF4"/>
    <w:rsid w:val="55CE2806"/>
    <w:rsid w:val="55CF7C27"/>
    <w:rsid w:val="55D32512"/>
    <w:rsid w:val="55D41DE6"/>
    <w:rsid w:val="55D87B28"/>
    <w:rsid w:val="55DB4F23"/>
    <w:rsid w:val="55DC74A2"/>
    <w:rsid w:val="55E069DD"/>
    <w:rsid w:val="55E24503"/>
    <w:rsid w:val="55E262B1"/>
    <w:rsid w:val="55E55DA1"/>
    <w:rsid w:val="55E62245"/>
    <w:rsid w:val="55E97640"/>
    <w:rsid w:val="55EC5382"/>
    <w:rsid w:val="55F3226C"/>
    <w:rsid w:val="55F36710"/>
    <w:rsid w:val="55F67FAE"/>
    <w:rsid w:val="55F84E9E"/>
    <w:rsid w:val="55F85AD5"/>
    <w:rsid w:val="55FA184D"/>
    <w:rsid w:val="55FF3307"/>
    <w:rsid w:val="55FF6E63"/>
    <w:rsid w:val="56044479"/>
    <w:rsid w:val="56064CB0"/>
    <w:rsid w:val="56066443"/>
    <w:rsid w:val="56091A90"/>
    <w:rsid w:val="560A5808"/>
    <w:rsid w:val="560C1580"/>
    <w:rsid w:val="560D18D0"/>
    <w:rsid w:val="561A3C9D"/>
    <w:rsid w:val="56233DC4"/>
    <w:rsid w:val="562468CA"/>
    <w:rsid w:val="56246DA9"/>
    <w:rsid w:val="5627460C"/>
    <w:rsid w:val="56290384"/>
    <w:rsid w:val="56293EE0"/>
    <w:rsid w:val="562B40FC"/>
    <w:rsid w:val="562E599A"/>
    <w:rsid w:val="5630526E"/>
    <w:rsid w:val="56343FEB"/>
    <w:rsid w:val="56363D8F"/>
    <w:rsid w:val="5637484F"/>
    <w:rsid w:val="563805C7"/>
    <w:rsid w:val="563A135A"/>
    <w:rsid w:val="563A60ED"/>
    <w:rsid w:val="563B3C13"/>
    <w:rsid w:val="563C1E65"/>
    <w:rsid w:val="563D3E2F"/>
    <w:rsid w:val="563F3703"/>
    <w:rsid w:val="5640122A"/>
    <w:rsid w:val="56404E40"/>
    <w:rsid w:val="564231F4"/>
    <w:rsid w:val="564273BF"/>
    <w:rsid w:val="56427760"/>
    <w:rsid w:val="56431446"/>
    <w:rsid w:val="564360F2"/>
    <w:rsid w:val="56494582"/>
    <w:rsid w:val="564C7BCE"/>
    <w:rsid w:val="564E7DEA"/>
    <w:rsid w:val="56505911"/>
    <w:rsid w:val="565151E5"/>
    <w:rsid w:val="56521689"/>
    <w:rsid w:val="56554CD5"/>
    <w:rsid w:val="56561C37"/>
    <w:rsid w:val="56570A4D"/>
    <w:rsid w:val="56576C9F"/>
    <w:rsid w:val="565C42B5"/>
    <w:rsid w:val="565C6063"/>
    <w:rsid w:val="565D002E"/>
    <w:rsid w:val="565E627F"/>
    <w:rsid w:val="565F21C4"/>
    <w:rsid w:val="565F7902"/>
    <w:rsid w:val="56617B1E"/>
    <w:rsid w:val="56633896"/>
    <w:rsid w:val="56650FBA"/>
    <w:rsid w:val="56666B5B"/>
    <w:rsid w:val="56666EE2"/>
    <w:rsid w:val="56694C24"/>
    <w:rsid w:val="566B44F9"/>
    <w:rsid w:val="566C3A58"/>
    <w:rsid w:val="566C7903"/>
    <w:rsid w:val="566D64C3"/>
    <w:rsid w:val="566F1D38"/>
    <w:rsid w:val="56701B0F"/>
    <w:rsid w:val="56707D61"/>
    <w:rsid w:val="567333AD"/>
    <w:rsid w:val="56755377"/>
    <w:rsid w:val="56755DC2"/>
    <w:rsid w:val="56757125"/>
    <w:rsid w:val="56767956"/>
    <w:rsid w:val="567A473C"/>
    <w:rsid w:val="567D5FDA"/>
    <w:rsid w:val="567D7625"/>
    <w:rsid w:val="567F79B8"/>
    <w:rsid w:val="56811F6E"/>
    <w:rsid w:val="56825435"/>
    <w:rsid w:val="568455BA"/>
    <w:rsid w:val="56854D8F"/>
    <w:rsid w:val="568832FC"/>
    <w:rsid w:val="568B6949"/>
    <w:rsid w:val="568E6439"/>
    <w:rsid w:val="569212CF"/>
    <w:rsid w:val="5693110A"/>
    <w:rsid w:val="56955A19"/>
    <w:rsid w:val="56981066"/>
    <w:rsid w:val="569A012D"/>
    <w:rsid w:val="569A4DDE"/>
    <w:rsid w:val="569A6A77"/>
    <w:rsid w:val="569C0B56"/>
    <w:rsid w:val="569C6DA8"/>
    <w:rsid w:val="569E48CE"/>
    <w:rsid w:val="569F41A2"/>
    <w:rsid w:val="56A02CA6"/>
    <w:rsid w:val="56A17F1A"/>
    <w:rsid w:val="56A33C92"/>
    <w:rsid w:val="56A619D5"/>
    <w:rsid w:val="56AB0D99"/>
    <w:rsid w:val="56AB2B47"/>
    <w:rsid w:val="56AD4B11"/>
    <w:rsid w:val="56AF6ADB"/>
    <w:rsid w:val="56B22A9C"/>
    <w:rsid w:val="56B714EC"/>
    <w:rsid w:val="56B85264"/>
    <w:rsid w:val="56B934B6"/>
    <w:rsid w:val="56B95D55"/>
    <w:rsid w:val="56BF4B95"/>
    <w:rsid w:val="56C02A96"/>
    <w:rsid w:val="56C1680E"/>
    <w:rsid w:val="56C41E5B"/>
    <w:rsid w:val="56C63E25"/>
    <w:rsid w:val="56C65BD3"/>
    <w:rsid w:val="56C9056E"/>
    <w:rsid w:val="56C97471"/>
    <w:rsid w:val="56CA56C3"/>
    <w:rsid w:val="56CE4A87"/>
    <w:rsid w:val="56CE6835"/>
    <w:rsid w:val="56D26326"/>
    <w:rsid w:val="56D4209E"/>
    <w:rsid w:val="56D4449B"/>
    <w:rsid w:val="56D906E3"/>
    <w:rsid w:val="56D93B58"/>
    <w:rsid w:val="56DE116E"/>
    <w:rsid w:val="56DE4CCA"/>
    <w:rsid w:val="56E3418D"/>
    <w:rsid w:val="56E524FD"/>
    <w:rsid w:val="56E84091"/>
    <w:rsid w:val="56ED3478"/>
    <w:rsid w:val="56F3629C"/>
    <w:rsid w:val="56F96B3F"/>
    <w:rsid w:val="56FA762A"/>
    <w:rsid w:val="56FB3ACE"/>
    <w:rsid w:val="56FC15F5"/>
    <w:rsid w:val="56FD4B37"/>
    <w:rsid w:val="56FE711B"/>
    <w:rsid w:val="56FF2E93"/>
    <w:rsid w:val="570215C6"/>
    <w:rsid w:val="57030BD5"/>
    <w:rsid w:val="570566FB"/>
    <w:rsid w:val="5706625C"/>
    <w:rsid w:val="570A3D11"/>
    <w:rsid w:val="570C5CDB"/>
    <w:rsid w:val="570F5142"/>
    <w:rsid w:val="571132F2"/>
    <w:rsid w:val="571444FF"/>
    <w:rsid w:val="5717642E"/>
    <w:rsid w:val="571903F8"/>
    <w:rsid w:val="571921A6"/>
    <w:rsid w:val="571A4A01"/>
    <w:rsid w:val="57203535"/>
    <w:rsid w:val="57234DD3"/>
    <w:rsid w:val="572648C3"/>
    <w:rsid w:val="57266671"/>
    <w:rsid w:val="572823EA"/>
    <w:rsid w:val="572B0FB2"/>
    <w:rsid w:val="572B7BB5"/>
    <w:rsid w:val="572F5526"/>
    <w:rsid w:val="573174F0"/>
    <w:rsid w:val="57335823"/>
    <w:rsid w:val="57340D8E"/>
    <w:rsid w:val="57342B3C"/>
    <w:rsid w:val="5735078A"/>
    <w:rsid w:val="5737262D"/>
    <w:rsid w:val="573C40E7"/>
    <w:rsid w:val="57430FD1"/>
    <w:rsid w:val="574746C0"/>
    <w:rsid w:val="574C257C"/>
    <w:rsid w:val="574C46C4"/>
    <w:rsid w:val="57517A4E"/>
    <w:rsid w:val="57566F57"/>
    <w:rsid w:val="5759342B"/>
    <w:rsid w:val="575B27BF"/>
    <w:rsid w:val="575E405D"/>
    <w:rsid w:val="576176AA"/>
    <w:rsid w:val="57633422"/>
    <w:rsid w:val="576553EC"/>
    <w:rsid w:val="57671164"/>
    <w:rsid w:val="57672F12"/>
    <w:rsid w:val="57680A38"/>
    <w:rsid w:val="57684EDC"/>
    <w:rsid w:val="576C0528"/>
    <w:rsid w:val="576C677A"/>
    <w:rsid w:val="576F0018"/>
    <w:rsid w:val="57707A2A"/>
    <w:rsid w:val="57730750"/>
    <w:rsid w:val="577473DD"/>
    <w:rsid w:val="57792C45"/>
    <w:rsid w:val="577D0B9E"/>
    <w:rsid w:val="577E46FF"/>
    <w:rsid w:val="577E64AD"/>
    <w:rsid w:val="57855205"/>
    <w:rsid w:val="578754A9"/>
    <w:rsid w:val="578E4942"/>
    <w:rsid w:val="578F2469"/>
    <w:rsid w:val="57917F8F"/>
    <w:rsid w:val="5794182D"/>
    <w:rsid w:val="579637F7"/>
    <w:rsid w:val="57996E43"/>
    <w:rsid w:val="579D2DD8"/>
    <w:rsid w:val="579E445A"/>
    <w:rsid w:val="57A20B0E"/>
    <w:rsid w:val="57A557E8"/>
    <w:rsid w:val="57A71560"/>
    <w:rsid w:val="57A75A04"/>
    <w:rsid w:val="57AB24DB"/>
    <w:rsid w:val="57AE09B5"/>
    <w:rsid w:val="57AF6667"/>
    <w:rsid w:val="57B1418D"/>
    <w:rsid w:val="57B41ECF"/>
    <w:rsid w:val="57B478F7"/>
    <w:rsid w:val="57B47A69"/>
    <w:rsid w:val="57B679F5"/>
    <w:rsid w:val="57B72A76"/>
    <w:rsid w:val="57B95737"/>
    <w:rsid w:val="57BB325E"/>
    <w:rsid w:val="57BD5228"/>
    <w:rsid w:val="57C049B1"/>
    <w:rsid w:val="57C06AC6"/>
    <w:rsid w:val="57C3426C"/>
    <w:rsid w:val="57C40364"/>
    <w:rsid w:val="57C4750C"/>
    <w:rsid w:val="57C55E8A"/>
    <w:rsid w:val="57C71C02"/>
    <w:rsid w:val="57C739B1"/>
    <w:rsid w:val="57C77E54"/>
    <w:rsid w:val="57CA524F"/>
    <w:rsid w:val="57CC546B"/>
    <w:rsid w:val="57CC7219"/>
    <w:rsid w:val="57CE1F93"/>
    <w:rsid w:val="57D52B76"/>
    <w:rsid w:val="57D70067"/>
    <w:rsid w:val="57D71BA8"/>
    <w:rsid w:val="57D83E10"/>
    <w:rsid w:val="57D8796C"/>
    <w:rsid w:val="57DB745C"/>
    <w:rsid w:val="57DE5D41"/>
    <w:rsid w:val="57DE6F4C"/>
    <w:rsid w:val="57DF519E"/>
    <w:rsid w:val="57E00F16"/>
    <w:rsid w:val="57E207EA"/>
    <w:rsid w:val="57E30C41"/>
    <w:rsid w:val="57E502DB"/>
    <w:rsid w:val="57E52089"/>
    <w:rsid w:val="57E91B79"/>
    <w:rsid w:val="57EA769F"/>
    <w:rsid w:val="57EC1669"/>
    <w:rsid w:val="57EE0EDB"/>
    <w:rsid w:val="57F10C0E"/>
    <w:rsid w:val="57F64296"/>
    <w:rsid w:val="57F8000E"/>
    <w:rsid w:val="57F95B34"/>
    <w:rsid w:val="57FA3401"/>
    <w:rsid w:val="580249E9"/>
    <w:rsid w:val="580A7D41"/>
    <w:rsid w:val="580F5357"/>
    <w:rsid w:val="5813309A"/>
    <w:rsid w:val="58134E48"/>
    <w:rsid w:val="5813533C"/>
    <w:rsid w:val="581806B0"/>
    <w:rsid w:val="581A61D6"/>
    <w:rsid w:val="581B1F4E"/>
    <w:rsid w:val="581D5CC6"/>
    <w:rsid w:val="581D7A74"/>
    <w:rsid w:val="581F1A3E"/>
    <w:rsid w:val="5822393B"/>
    <w:rsid w:val="58242BB1"/>
    <w:rsid w:val="582708F3"/>
    <w:rsid w:val="5829466B"/>
    <w:rsid w:val="5829790F"/>
    <w:rsid w:val="582B2191"/>
    <w:rsid w:val="582F1556"/>
    <w:rsid w:val="5830128A"/>
    <w:rsid w:val="58337298"/>
    <w:rsid w:val="58382B00"/>
    <w:rsid w:val="58397404"/>
    <w:rsid w:val="583B7EFB"/>
    <w:rsid w:val="583E1A0D"/>
    <w:rsid w:val="583F0740"/>
    <w:rsid w:val="58403763"/>
    <w:rsid w:val="58472D43"/>
    <w:rsid w:val="5847689F"/>
    <w:rsid w:val="584A41F8"/>
    <w:rsid w:val="584A6390"/>
    <w:rsid w:val="584C035A"/>
    <w:rsid w:val="584D65AC"/>
    <w:rsid w:val="58533496"/>
    <w:rsid w:val="58555460"/>
    <w:rsid w:val="58580AAD"/>
    <w:rsid w:val="585A2A77"/>
    <w:rsid w:val="585E1C06"/>
    <w:rsid w:val="5862192B"/>
    <w:rsid w:val="58690F0C"/>
    <w:rsid w:val="586B4C84"/>
    <w:rsid w:val="586B72E0"/>
    <w:rsid w:val="586E02D0"/>
    <w:rsid w:val="586E6522"/>
    <w:rsid w:val="58704048"/>
    <w:rsid w:val="58711B6E"/>
    <w:rsid w:val="58727DC0"/>
    <w:rsid w:val="587324F6"/>
    <w:rsid w:val="587A6C75"/>
    <w:rsid w:val="587C3218"/>
    <w:rsid w:val="587F0709"/>
    <w:rsid w:val="58800458"/>
    <w:rsid w:val="58816255"/>
    <w:rsid w:val="58823D7B"/>
    <w:rsid w:val="58852E3A"/>
    <w:rsid w:val="588743D1"/>
    <w:rsid w:val="5887701A"/>
    <w:rsid w:val="588840E5"/>
    <w:rsid w:val="58896EB8"/>
    <w:rsid w:val="588E2720"/>
    <w:rsid w:val="58953AAF"/>
    <w:rsid w:val="58975A79"/>
    <w:rsid w:val="589917F1"/>
    <w:rsid w:val="589A7317"/>
    <w:rsid w:val="589B129C"/>
    <w:rsid w:val="589C308F"/>
    <w:rsid w:val="589C6BEB"/>
    <w:rsid w:val="589F492D"/>
    <w:rsid w:val="58A837E2"/>
    <w:rsid w:val="58AD0DF8"/>
    <w:rsid w:val="58AD704A"/>
    <w:rsid w:val="58B02697"/>
    <w:rsid w:val="58B06B3A"/>
    <w:rsid w:val="58B51F19"/>
    <w:rsid w:val="58B64839"/>
    <w:rsid w:val="58B71C77"/>
    <w:rsid w:val="58B73A25"/>
    <w:rsid w:val="58BA3515"/>
    <w:rsid w:val="58BC103B"/>
    <w:rsid w:val="58BD4DB3"/>
    <w:rsid w:val="58BE1257"/>
    <w:rsid w:val="58BE3005"/>
    <w:rsid w:val="58C223CA"/>
    <w:rsid w:val="58C33BAC"/>
    <w:rsid w:val="58C44394"/>
    <w:rsid w:val="58C47EF0"/>
    <w:rsid w:val="58C817A8"/>
    <w:rsid w:val="58CD3249"/>
    <w:rsid w:val="58CF5213"/>
    <w:rsid w:val="58D02D39"/>
    <w:rsid w:val="58D16870"/>
    <w:rsid w:val="58D26AB1"/>
    <w:rsid w:val="58D345D7"/>
    <w:rsid w:val="58D520FD"/>
    <w:rsid w:val="58D8399B"/>
    <w:rsid w:val="58DC16DE"/>
    <w:rsid w:val="58DC7930"/>
    <w:rsid w:val="58DD0763"/>
    <w:rsid w:val="58DF2F7C"/>
    <w:rsid w:val="58E2665F"/>
    <w:rsid w:val="58ED5699"/>
    <w:rsid w:val="58EE31BF"/>
    <w:rsid w:val="58EF1411"/>
    <w:rsid w:val="58F05189"/>
    <w:rsid w:val="58F20F01"/>
    <w:rsid w:val="58F70B83"/>
    <w:rsid w:val="58F9403E"/>
    <w:rsid w:val="58FD7F05"/>
    <w:rsid w:val="590454E8"/>
    <w:rsid w:val="590B3D71"/>
    <w:rsid w:val="590E560F"/>
    <w:rsid w:val="590F3861"/>
    <w:rsid w:val="59135C8B"/>
    <w:rsid w:val="5915074C"/>
    <w:rsid w:val="59154BEF"/>
    <w:rsid w:val="591946E0"/>
    <w:rsid w:val="591A3FB4"/>
    <w:rsid w:val="591E7A48"/>
    <w:rsid w:val="591F15CA"/>
    <w:rsid w:val="59215342"/>
    <w:rsid w:val="5923730C"/>
    <w:rsid w:val="59246BE1"/>
    <w:rsid w:val="59262959"/>
    <w:rsid w:val="59266DFD"/>
    <w:rsid w:val="59284923"/>
    <w:rsid w:val="592A069B"/>
    <w:rsid w:val="592C2C48"/>
    <w:rsid w:val="593037D7"/>
    <w:rsid w:val="5932754F"/>
    <w:rsid w:val="59341C6D"/>
    <w:rsid w:val="59345076"/>
    <w:rsid w:val="59396B30"/>
    <w:rsid w:val="5939706E"/>
    <w:rsid w:val="593B28A8"/>
    <w:rsid w:val="593B4656"/>
    <w:rsid w:val="593E2D1F"/>
    <w:rsid w:val="59413C36"/>
    <w:rsid w:val="594159E5"/>
    <w:rsid w:val="59464185"/>
    <w:rsid w:val="594828CF"/>
    <w:rsid w:val="594E3CA4"/>
    <w:rsid w:val="595474C6"/>
    <w:rsid w:val="59590F80"/>
    <w:rsid w:val="59592D2E"/>
    <w:rsid w:val="595B6AA6"/>
    <w:rsid w:val="595C45CC"/>
    <w:rsid w:val="595C637A"/>
    <w:rsid w:val="596077FA"/>
    <w:rsid w:val="59637709"/>
    <w:rsid w:val="59650A9B"/>
    <w:rsid w:val="5966544B"/>
    <w:rsid w:val="5967369D"/>
    <w:rsid w:val="596A0A97"/>
    <w:rsid w:val="596D4A2C"/>
    <w:rsid w:val="596F60AE"/>
    <w:rsid w:val="59741916"/>
    <w:rsid w:val="59771C60"/>
    <w:rsid w:val="597745F1"/>
    <w:rsid w:val="59784340"/>
    <w:rsid w:val="597A1831"/>
    <w:rsid w:val="597B0EF6"/>
    <w:rsid w:val="597C6A1D"/>
    <w:rsid w:val="597E2795"/>
    <w:rsid w:val="59800981"/>
    <w:rsid w:val="59822285"/>
    <w:rsid w:val="598558D1"/>
    <w:rsid w:val="598A738C"/>
    <w:rsid w:val="598D0C2A"/>
    <w:rsid w:val="598E5607"/>
    <w:rsid w:val="5991071A"/>
    <w:rsid w:val="59934492"/>
    <w:rsid w:val="59941FB8"/>
    <w:rsid w:val="59945B14"/>
    <w:rsid w:val="599B3347"/>
    <w:rsid w:val="599C0E6D"/>
    <w:rsid w:val="599E4BE5"/>
    <w:rsid w:val="59A044B9"/>
    <w:rsid w:val="59A321FB"/>
    <w:rsid w:val="59A55F73"/>
    <w:rsid w:val="59A65848"/>
    <w:rsid w:val="59A73A9A"/>
    <w:rsid w:val="59A85A64"/>
    <w:rsid w:val="59AD6BD6"/>
    <w:rsid w:val="59AD6EAE"/>
    <w:rsid w:val="59AE650F"/>
    <w:rsid w:val="59AF294E"/>
    <w:rsid w:val="59B60181"/>
    <w:rsid w:val="59B61EBB"/>
    <w:rsid w:val="59B9557B"/>
    <w:rsid w:val="59BD5424"/>
    <w:rsid w:val="59C01D4E"/>
    <w:rsid w:val="59C0439F"/>
    <w:rsid w:val="59C12681"/>
    <w:rsid w:val="59C3464B"/>
    <w:rsid w:val="59C52172"/>
    <w:rsid w:val="59CD3CAA"/>
    <w:rsid w:val="59CD6511"/>
    <w:rsid w:val="59D52B06"/>
    <w:rsid w:val="59D61317"/>
    <w:rsid w:val="59D81EA5"/>
    <w:rsid w:val="59DB1995"/>
    <w:rsid w:val="59DC483D"/>
    <w:rsid w:val="59DC597E"/>
    <w:rsid w:val="59DE3233"/>
    <w:rsid w:val="59E31446"/>
    <w:rsid w:val="59E36A9C"/>
    <w:rsid w:val="59E44CEE"/>
    <w:rsid w:val="59E7033A"/>
    <w:rsid w:val="59E720E8"/>
    <w:rsid w:val="59EA31D2"/>
    <w:rsid w:val="59EC3BB9"/>
    <w:rsid w:val="59EE791A"/>
    <w:rsid w:val="59F20A8D"/>
    <w:rsid w:val="59F76596"/>
    <w:rsid w:val="59F842F5"/>
    <w:rsid w:val="59FD190B"/>
    <w:rsid w:val="5A027EB7"/>
    <w:rsid w:val="5A0377E1"/>
    <w:rsid w:val="5A054C64"/>
    <w:rsid w:val="5A0709DC"/>
    <w:rsid w:val="5A096502"/>
    <w:rsid w:val="5A0A5DD6"/>
    <w:rsid w:val="5A0C5FF2"/>
    <w:rsid w:val="5A0F7891"/>
    <w:rsid w:val="5A105AE3"/>
    <w:rsid w:val="5A1153B7"/>
    <w:rsid w:val="5A1E05E5"/>
    <w:rsid w:val="5A1E534A"/>
    <w:rsid w:val="5A20384C"/>
    <w:rsid w:val="5A221372"/>
    <w:rsid w:val="5A233363"/>
    <w:rsid w:val="5A2450EA"/>
    <w:rsid w:val="5A274BDA"/>
    <w:rsid w:val="5A290952"/>
    <w:rsid w:val="5A292701"/>
    <w:rsid w:val="5A2A46CB"/>
    <w:rsid w:val="5A2C3F9F"/>
    <w:rsid w:val="5A2E41BB"/>
    <w:rsid w:val="5A2E5F69"/>
    <w:rsid w:val="5A2F1CE1"/>
    <w:rsid w:val="5A315A59"/>
    <w:rsid w:val="5A33532D"/>
    <w:rsid w:val="5A3410A5"/>
    <w:rsid w:val="5A3D43FE"/>
    <w:rsid w:val="5A3D7F5A"/>
    <w:rsid w:val="5A3E3CD2"/>
    <w:rsid w:val="5A3F0176"/>
    <w:rsid w:val="5A43120C"/>
    <w:rsid w:val="5A4532B2"/>
    <w:rsid w:val="5A47409B"/>
    <w:rsid w:val="5A4C2893"/>
    <w:rsid w:val="5A4C4641"/>
    <w:rsid w:val="5A5359CF"/>
    <w:rsid w:val="5A53777D"/>
    <w:rsid w:val="5A5438D2"/>
    <w:rsid w:val="5A551748"/>
    <w:rsid w:val="5A56101C"/>
    <w:rsid w:val="5A570B12"/>
    <w:rsid w:val="5A5A6D5E"/>
    <w:rsid w:val="5A5B2AD6"/>
    <w:rsid w:val="5A5D23AA"/>
    <w:rsid w:val="5A5D684E"/>
    <w:rsid w:val="5A5F6122"/>
    <w:rsid w:val="5A6000EC"/>
    <w:rsid w:val="5A601E9A"/>
    <w:rsid w:val="5A604A46"/>
    <w:rsid w:val="5A625C12"/>
    <w:rsid w:val="5A647BDD"/>
    <w:rsid w:val="5A67147B"/>
    <w:rsid w:val="5A6951F3"/>
    <w:rsid w:val="5A6B2D19"/>
    <w:rsid w:val="5A6C4CE3"/>
    <w:rsid w:val="5A6E0A5B"/>
    <w:rsid w:val="5A6F20DD"/>
    <w:rsid w:val="5A706581"/>
    <w:rsid w:val="5A751DEA"/>
    <w:rsid w:val="5A7C4F26"/>
    <w:rsid w:val="5A7D2A4C"/>
    <w:rsid w:val="5A7F0572"/>
    <w:rsid w:val="5A7F4A16"/>
    <w:rsid w:val="5A802C08"/>
    <w:rsid w:val="5A8042EB"/>
    <w:rsid w:val="5A843DDB"/>
    <w:rsid w:val="5A871B1D"/>
    <w:rsid w:val="5A874791"/>
    <w:rsid w:val="5A882A18"/>
    <w:rsid w:val="5A8E07B6"/>
    <w:rsid w:val="5A8E2EAB"/>
    <w:rsid w:val="5A960341"/>
    <w:rsid w:val="5A985AD8"/>
    <w:rsid w:val="5A9A7C44"/>
    <w:rsid w:val="5A9B2ED2"/>
    <w:rsid w:val="5A9D6C4B"/>
    <w:rsid w:val="5A9F6E67"/>
    <w:rsid w:val="5AA71877"/>
    <w:rsid w:val="5AB0028C"/>
    <w:rsid w:val="5AB056BB"/>
    <w:rsid w:val="5AB3646E"/>
    <w:rsid w:val="5AB521E6"/>
    <w:rsid w:val="5AB741B0"/>
    <w:rsid w:val="5AB864BE"/>
    <w:rsid w:val="5AB87F28"/>
    <w:rsid w:val="5ABB05D6"/>
    <w:rsid w:val="5ABC17C7"/>
    <w:rsid w:val="5ABE2233"/>
    <w:rsid w:val="5ABF3065"/>
    <w:rsid w:val="5AC468CD"/>
    <w:rsid w:val="5AC71F19"/>
    <w:rsid w:val="5AC95C92"/>
    <w:rsid w:val="5ACB7C5C"/>
    <w:rsid w:val="5ACC7530"/>
    <w:rsid w:val="5AD16791"/>
    <w:rsid w:val="5AD30FA0"/>
    <w:rsid w:val="5AD3266C"/>
    <w:rsid w:val="5AD52312"/>
    <w:rsid w:val="5AD52888"/>
    <w:rsid w:val="5AD563E4"/>
    <w:rsid w:val="5AD67D94"/>
    <w:rsid w:val="5ADA39FB"/>
    <w:rsid w:val="5ADB3CBD"/>
    <w:rsid w:val="5ADC59C5"/>
    <w:rsid w:val="5ADC6E9E"/>
    <w:rsid w:val="5ADD2FA2"/>
    <w:rsid w:val="5AE34FA5"/>
    <w:rsid w:val="5AE66844"/>
    <w:rsid w:val="5AE96334"/>
    <w:rsid w:val="5AE96B3B"/>
    <w:rsid w:val="5AEB4E62"/>
    <w:rsid w:val="5AEB5C08"/>
    <w:rsid w:val="5AEE394A"/>
    <w:rsid w:val="5AEE56F8"/>
    <w:rsid w:val="5AF251E8"/>
    <w:rsid w:val="5AF30F60"/>
    <w:rsid w:val="5AF34ABD"/>
    <w:rsid w:val="5AF50835"/>
    <w:rsid w:val="5AF727FF"/>
    <w:rsid w:val="5AFB7D2F"/>
    <w:rsid w:val="5AFD5A55"/>
    <w:rsid w:val="5AFE7D23"/>
    <w:rsid w:val="5AFF3461"/>
    <w:rsid w:val="5AFF7905"/>
    <w:rsid w:val="5B01542B"/>
    <w:rsid w:val="5B0171D9"/>
    <w:rsid w:val="5B06742A"/>
    <w:rsid w:val="5B070568"/>
    <w:rsid w:val="5B072A13"/>
    <w:rsid w:val="5B0867BA"/>
    <w:rsid w:val="5B0D2022"/>
    <w:rsid w:val="5B0F56DC"/>
    <w:rsid w:val="5B10566E"/>
    <w:rsid w:val="5B123195"/>
    <w:rsid w:val="5B13515F"/>
    <w:rsid w:val="5B152C85"/>
    <w:rsid w:val="5B172EA1"/>
    <w:rsid w:val="5B174C4F"/>
    <w:rsid w:val="5B1769FD"/>
    <w:rsid w:val="5B184523"/>
    <w:rsid w:val="5B1A64ED"/>
    <w:rsid w:val="5B1C2265"/>
    <w:rsid w:val="5B1E2376"/>
    <w:rsid w:val="5B2253FE"/>
    <w:rsid w:val="5B2335F4"/>
    <w:rsid w:val="5B2630E4"/>
    <w:rsid w:val="5B266C19"/>
    <w:rsid w:val="5B294982"/>
    <w:rsid w:val="5B2A2BD4"/>
    <w:rsid w:val="5B2D4472"/>
    <w:rsid w:val="5B2D7FCE"/>
    <w:rsid w:val="5B2E56C1"/>
    <w:rsid w:val="5B363630"/>
    <w:rsid w:val="5B3A26EB"/>
    <w:rsid w:val="5B3C6463"/>
    <w:rsid w:val="5B3E042E"/>
    <w:rsid w:val="5B3E21DC"/>
    <w:rsid w:val="5B4377F2"/>
    <w:rsid w:val="5B44356A"/>
    <w:rsid w:val="5B484E08"/>
    <w:rsid w:val="5B4D0671"/>
    <w:rsid w:val="5B501F0F"/>
    <w:rsid w:val="5B5163B3"/>
    <w:rsid w:val="5B547C51"/>
    <w:rsid w:val="5B5639C9"/>
    <w:rsid w:val="5B5714EF"/>
    <w:rsid w:val="5B595267"/>
    <w:rsid w:val="5B5C4D58"/>
    <w:rsid w:val="5B5C6E99"/>
    <w:rsid w:val="5B5C727B"/>
    <w:rsid w:val="5B5E287E"/>
    <w:rsid w:val="5B6360E6"/>
    <w:rsid w:val="5B653C0C"/>
    <w:rsid w:val="5B675852"/>
    <w:rsid w:val="5B6836FC"/>
    <w:rsid w:val="5B6B0AF7"/>
    <w:rsid w:val="5B6B39AF"/>
    <w:rsid w:val="5B6D2AC1"/>
    <w:rsid w:val="5B735536"/>
    <w:rsid w:val="5B737973"/>
    <w:rsid w:val="5B755624"/>
    <w:rsid w:val="5B765E19"/>
    <w:rsid w:val="5B7B562E"/>
    <w:rsid w:val="5B7C4AB2"/>
    <w:rsid w:val="5B7E082A"/>
    <w:rsid w:val="5B7F45A2"/>
    <w:rsid w:val="5B835E40"/>
    <w:rsid w:val="5B8816A9"/>
    <w:rsid w:val="5B8878FB"/>
    <w:rsid w:val="5B8B2F47"/>
    <w:rsid w:val="5B8D4F11"/>
    <w:rsid w:val="5B8F0C89"/>
    <w:rsid w:val="5B90055D"/>
    <w:rsid w:val="5B922527"/>
    <w:rsid w:val="5B9444F1"/>
    <w:rsid w:val="5B9718EC"/>
    <w:rsid w:val="5B98435F"/>
    <w:rsid w:val="5B9C3001"/>
    <w:rsid w:val="5B9E2C7A"/>
    <w:rsid w:val="5BAA7871"/>
    <w:rsid w:val="5BAD7361"/>
    <w:rsid w:val="5BAF1477"/>
    <w:rsid w:val="5BAF7D3C"/>
    <w:rsid w:val="5BB16E51"/>
    <w:rsid w:val="5BB26726"/>
    <w:rsid w:val="5BB31D00"/>
    <w:rsid w:val="5BBB7CD0"/>
    <w:rsid w:val="5BBE156E"/>
    <w:rsid w:val="5BC052E6"/>
    <w:rsid w:val="5BC16969"/>
    <w:rsid w:val="5BC24D1C"/>
    <w:rsid w:val="5BC70423"/>
    <w:rsid w:val="5BC8419B"/>
    <w:rsid w:val="5BCD4831"/>
    <w:rsid w:val="5BCF552A"/>
    <w:rsid w:val="5BD668B8"/>
    <w:rsid w:val="5BD80D74"/>
    <w:rsid w:val="5BD82630"/>
    <w:rsid w:val="5BD91F04"/>
    <w:rsid w:val="5BDC37A3"/>
    <w:rsid w:val="5BDE576D"/>
    <w:rsid w:val="5BDF5D95"/>
    <w:rsid w:val="5BE14599"/>
    <w:rsid w:val="5BE24954"/>
    <w:rsid w:val="5BE2700B"/>
    <w:rsid w:val="5BE70AC5"/>
    <w:rsid w:val="5BE86A37"/>
    <w:rsid w:val="5BEA4111"/>
    <w:rsid w:val="5BEC60DC"/>
    <w:rsid w:val="5BED775E"/>
    <w:rsid w:val="5BEF34D6"/>
    <w:rsid w:val="5BF136F2"/>
    <w:rsid w:val="5BF154A0"/>
    <w:rsid w:val="5BF3746A"/>
    <w:rsid w:val="5BFB1E7B"/>
    <w:rsid w:val="5BFD239E"/>
    <w:rsid w:val="5BFE7528"/>
    <w:rsid w:val="5C007491"/>
    <w:rsid w:val="5C02145B"/>
    <w:rsid w:val="5C050F4B"/>
    <w:rsid w:val="5C0F1DCA"/>
    <w:rsid w:val="5C11169E"/>
    <w:rsid w:val="5C1178F0"/>
    <w:rsid w:val="5C1271C4"/>
    <w:rsid w:val="5C1949F7"/>
    <w:rsid w:val="5C1B305D"/>
    <w:rsid w:val="5C1F025F"/>
    <w:rsid w:val="5C1F11BE"/>
    <w:rsid w:val="5C2313D1"/>
    <w:rsid w:val="5C237623"/>
    <w:rsid w:val="5C25514A"/>
    <w:rsid w:val="5C292E8C"/>
    <w:rsid w:val="5C2A6C04"/>
    <w:rsid w:val="5C2C0286"/>
    <w:rsid w:val="5C2C64D8"/>
    <w:rsid w:val="5C2E163D"/>
    <w:rsid w:val="5C2F11CB"/>
    <w:rsid w:val="5C335AB8"/>
    <w:rsid w:val="5C381321"/>
    <w:rsid w:val="5C3830CF"/>
    <w:rsid w:val="5C3931AC"/>
    <w:rsid w:val="5C3B496D"/>
    <w:rsid w:val="5C3D2493"/>
    <w:rsid w:val="5C3D4C5F"/>
    <w:rsid w:val="5C3E620B"/>
    <w:rsid w:val="5C3E7830"/>
    <w:rsid w:val="5C3E7FB9"/>
    <w:rsid w:val="5C401F83"/>
    <w:rsid w:val="5C4750C0"/>
    <w:rsid w:val="5C4A4BB0"/>
    <w:rsid w:val="5C4B6B03"/>
    <w:rsid w:val="5C4C048C"/>
    <w:rsid w:val="5C4C0928"/>
    <w:rsid w:val="5C5477DD"/>
    <w:rsid w:val="5C5679F9"/>
    <w:rsid w:val="5C6739B4"/>
    <w:rsid w:val="5C675762"/>
    <w:rsid w:val="5C6A5542"/>
    <w:rsid w:val="5C6A7000"/>
    <w:rsid w:val="5C6B34A4"/>
    <w:rsid w:val="5C6C6ABA"/>
    <w:rsid w:val="5C6E089F"/>
    <w:rsid w:val="5C6E4D42"/>
    <w:rsid w:val="5C7027C1"/>
    <w:rsid w:val="5C71213D"/>
    <w:rsid w:val="5C720E3A"/>
    <w:rsid w:val="5C723888"/>
    <w:rsid w:val="5C724FDF"/>
    <w:rsid w:val="5C7560D1"/>
    <w:rsid w:val="5C76637A"/>
    <w:rsid w:val="5C78171D"/>
    <w:rsid w:val="5C78796F"/>
    <w:rsid w:val="5C7A36E7"/>
    <w:rsid w:val="5C7B120D"/>
    <w:rsid w:val="5C80018A"/>
    <w:rsid w:val="5C800A73"/>
    <w:rsid w:val="5C8400C2"/>
    <w:rsid w:val="5C846314"/>
    <w:rsid w:val="5C853E3A"/>
    <w:rsid w:val="5C8A1451"/>
    <w:rsid w:val="5C8C341B"/>
    <w:rsid w:val="5C8C51C9"/>
    <w:rsid w:val="5C8E0F41"/>
    <w:rsid w:val="5C930305"/>
    <w:rsid w:val="5C9347A9"/>
    <w:rsid w:val="5C983B6D"/>
    <w:rsid w:val="5C9B567B"/>
    <w:rsid w:val="5CA15DB5"/>
    <w:rsid w:val="5CA40764"/>
    <w:rsid w:val="5CAB38A1"/>
    <w:rsid w:val="5CAC586B"/>
    <w:rsid w:val="5CB07109"/>
    <w:rsid w:val="5CB47963"/>
    <w:rsid w:val="5CB52971"/>
    <w:rsid w:val="5CBD1826"/>
    <w:rsid w:val="5CBF10FA"/>
    <w:rsid w:val="5CBF559E"/>
    <w:rsid w:val="5CC04E72"/>
    <w:rsid w:val="5CC130C4"/>
    <w:rsid w:val="5CC22998"/>
    <w:rsid w:val="5CC42BB4"/>
    <w:rsid w:val="5CC47E84"/>
    <w:rsid w:val="5CC606DB"/>
    <w:rsid w:val="5CC6692D"/>
    <w:rsid w:val="5CC93D27"/>
    <w:rsid w:val="5CCB5CF1"/>
    <w:rsid w:val="5CCC3817"/>
    <w:rsid w:val="5CCD7CBB"/>
    <w:rsid w:val="5CCE050A"/>
    <w:rsid w:val="5CCF2D77"/>
    <w:rsid w:val="5CD01559"/>
    <w:rsid w:val="5CD050B5"/>
    <w:rsid w:val="5CD059FB"/>
    <w:rsid w:val="5CD11697"/>
    <w:rsid w:val="5CD32DF8"/>
    <w:rsid w:val="5CD4437C"/>
    <w:rsid w:val="5CD526CC"/>
    <w:rsid w:val="5CD64696"/>
    <w:rsid w:val="5CD72CFD"/>
    <w:rsid w:val="5CD75A8B"/>
    <w:rsid w:val="5CD821BC"/>
    <w:rsid w:val="5CD858CE"/>
    <w:rsid w:val="5CD96E3F"/>
    <w:rsid w:val="5CDA4186"/>
    <w:rsid w:val="5CDD3C76"/>
    <w:rsid w:val="5CDF179C"/>
    <w:rsid w:val="5CDF79EE"/>
    <w:rsid w:val="5CE40B61"/>
    <w:rsid w:val="5CE648D9"/>
    <w:rsid w:val="5CE768A3"/>
    <w:rsid w:val="5CE84AF5"/>
    <w:rsid w:val="5CE943C9"/>
    <w:rsid w:val="5CF324D6"/>
    <w:rsid w:val="5CF60894"/>
    <w:rsid w:val="5CF6176C"/>
    <w:rsid w:val="5CF70BA6"/>
    <w:rsid w:val="5CF8285E"/>
    <w:rsid w:val="5CF8536B"/>
    <w:rsid w:val="5CFA65D6"/>
    <w:rsid w:val="5CFB5EAA"/>
    <w:rsid w:val="5D003399"/>
    <w:rsid w:val="5D027239"/>
    <w:rsid w:val="5D0B04AC"/>
    <w:rsid w:val="5D0B433F"/>
    <w:rsid w:val="5D0C49FD"/>
    <w:rsid w:val="5D107BA8"/>
    <w:rsid w:val="5D110DF0"/>
    <w:rsid w:val="5D153410"/>
    <w:rsid w:val="5D1551BE"/>
    <w:rsid w:val="5D16412F"/>
    <w:rsid w:val="5D170F36"/>
    <w:rsid w:val="5D172CE4"/>
    <w:rsid w:val="5D184CAE"/>
    <w:rsid w:val="5D1C1431"/>
    <w:rsid w:val="5D1C479E"/>
    <w:rsid w:val="5D1D4073"/>
    <w:rsid w:val="5D1E0517"/>
    <w:rsid w:val="5D2378DB"/>
    <w:rsid w:val="5D243653"/>
    <w:rsid w:val="5D247BC3"/>
    <w:rsid w:val="5D276C9F"/>
    <w:rsid w:val="5D28720A"/>
    <w:rsid w:val="5D292146"/>
    <w:rsid w:val="5D293AFC"/>
    <w:rsid w:val="5D2A2868"/>
    <w:rsid w:val="5D2D075A"/>
    <w:rsid w:val="5D2E44D2"/>
    <w:rsid w:val="5D301FF8"/>
    <w:rsid w:val="5D347D3A"/>
    <w:rsid w:val="5D355860"/>
    <w:rsid w:val="5D35760E"/>
    <w:rsid w:val="5D3970FE"/>
    <w:rsid w:val="5D3A2E77"/>
    <w:rsid w:val="5D3A4C25"/>
    <w:rsid w:val="5D3B49BA"/>
    <w:rsid w:val="5D3C099D"/>
    <w:rsid w:val="5D3C6BEF"/>
    <w:rsid w:val="5D3E7177"/>
    <w:rsid w:val="5D4635C9"/>
    <w:rsid w:val="5D465377"/>
    <w:rsid w:val="5D4810F0"/>
    <w:rsid w:val="5D4A130C"/>
    <w:rsid w:val="5D4A253D"/>
    <w:rsid w:val="5D4E247E"/>
    <w:rsid w:val="5D504448"/>
    <w:rsid w:val="5D5061F6"/>
    <w:rsid w:val="5D526412"/>
    <w:rsid w:val="5D543F38"/>
    <w:rsid w:val="5D5977A1"/>
    <w:rsid w:val="5D5A52C7"/>
    <w:rsid w:val="5D5A7075"/>
    <w:rsid w:val="5D5C2DED"/>
    <w:rsid w:val="5D5D0727"/>
    <w:rsid w:val="5D5E4DB7"/>
    <w:rsid w:val="5D647EF4"/>
    <w:rsid w:val="5D6567A1"/>
    <w:rsid w:val="5D662547"/>
    <w:rsid w:val="5D66733F"/>
    <w:rsid w:val="5D6677C8"/>
    <w:rsid w:val="5D6972B8"/>
    <w:rsid w:val="5D6B74D4"/>
    <w:rsid w:val="5D6D0B56"/>
    <w:rsid w:val="5D6F0D72"/>
    <w:rsid w:val="5D6F32DB"/>
    <w:rsid w:val="5D706225"/>
    <w:rsid w:val="5D731EE5"/>
    <w:rsid w:val="5D740137"/>
    <w:rsid w:val="5D7416F1"/>
    <w:rsid w:val="5D752454"/>
    <w:rsid w:val="5D755C5D"/>
    <w:rsid w:val="5D7A14C5"/>
    <w:rsid w:val="5D7A7717"/>
    <w:rsid w:val="5D7E5832"/>
    <w:rsid w:val="5D7F6ADB"/>
    <w:rsid w:val="5D8365CC"/>
    <w:rsid w:val="5D852344"/>
    <w:rsid w:val="5D8660BC"/>
    <w:rsid w:val="5D885990"/>
    <w:rsid w:val="5D8F4F70"/>
    <w:rsid w:val="5D902A97"/>
    <w:rsid w:val="5D9205BD"/>
    <w:rsid w:val="5D9407D9"/>
    <w:rsid w:val="5D942587"/>
    <w:rsid w:val="5D9500AD"/>
    <w:rsid w:val="5D9562FF"/>
    <w:rsid w:val="5D964551"/>
    <w:rsid w:val="5D972077"/>
    <w:rsid w:val="5D99194B"/>
    <w:rsid w:val="5D9A6865"/>
    <w:rsid w:val="5D9E3405"/>
    <w:rsid w:val="5D9F0F2C"/>
    <w:rsid w:val="5DA0717E"/>
    <w:rsid w:val="5DA16A52"/>
    <w:rsid w:val="5DA30A1C"/>
    <w:rsid w:val="5DA36C6E"/>
    <w:rsid w:val="5DA402F0"/>
    <w:rsid w:val="5DA56542"/>
    <w:rsid w:val="5DA675CB"/>
    <w:rsid w:val="5DAA13C6"/>
    <w:rsid w:val="5DAA7FFC"/>
    <w:rsid w:val="5DAB167E"/>
    <w:rsid w:val="5DAB5B22"/>
    <w:rsid w:val="5DAC0C7A"/>
    <w:rsid w:val="5DB06C95"/>
    <w:rsid w:val="5DB1138B"/>
    <w:rsid w:val="5DB1622D"/>
    <w:rsid w:val="5DB20C5F"/>
    <w:rsid w:val="5DB70023"/>
    <w:rsid w:val="5DB744C7"/>
    <w:rsid w:val="5DB76275"/>
    <w:rsid w:val="5DB91FED"/>
    <w:rsid w:val="5DBB3FB7"/>
    <w:rsid w:val="5DBD1BFF"/>
    <w:rsid w:val="5DBE13B2"/>
    <w:rsid w:val="5DBF0545"/>
    <w:rsid w:val="5DCA5FA9"/>
    <w:rsid w:val="5DCF7A63"/>
    <w:rsid w:val="5DD07337"/>
    <w:rsid w:val="5DD60701"/>
    <w:rsid w:val="5DD813D8"/>
    <w:rsid w:val="5DDB01B6"/>
    <w:rsid w:val="5DDB0D13"/>
    <w:rsid w:val="5DDC3F2E"/>
    <w:rsid w:val="5DDE68B8"/>
    <w:rsid w:val="5DE0757A"/>
    <w:rsid w:val="5DE13D96"/>
    <w:rsid w:val="5DEA664B"/>
    <w:rsid w:val="5DEF1EB3"/>
    <w:rsid w:val="5DF47470"/>
    <w:rsid w:val="5DF94AE0"/>
    <w:rsid w:val="5DF9688E"/>
    <w:rsid w:val="5DFC012C"/>
    <w:rsid w:val="5DFC1EDA"/>
    <w:rsid w:val="5E062D59"/>
    <w:rsid w:val="5E096AA5"/>
    <w:rsid w:val="5E0A0A9B"/>
    <w:rsid w:val="5E0A45F7"/>
    <w:rsid w:val="5E0C65C1"/>
    <w:rsid w:val="5E13627E"/>
    <w:rsid w:val="5E163F4B"/>
    <w:rsid w:val="5E192A8C"/>
    <w:rsid w:val="5E1A28CC"/>
    <w:rsid w:val="5E1B2CA8"/>
    <w:rsid w:val="5E1B6804"/>
    <w:rsid w:val="5E20206C"/>
    <w:rsid w:val="5E2467F1"/>
    <w:rsid w:val="5E273154"/>
    <w:rsid w:val="5E2751A9"/>
    <w:rsid w:val="5E2D6537"/>
    <w:rsid w:val="5E31427A"/>
    <w:rsid w:val="5E316028"/>
    <w:rsid w:val="5E331DA0"/>
    <w:rsid w:val="5E346E58"/>
    <w:rsid w:val="5E3641C2"/>
    <w:rsid w:val="5E3653EC"/>
    <w:rsid w:val="5E3B2A02"/>
    <w:rsid w:val="5E3B6EA6"/>
    <w:rsid w:val="5E3E0745"/>
    <w:rsid w:val="5E4443F8"/>
    <w:rsid w:val="5E451AD3"/>
    <w:rsid w:val="5E453881"/>
    <w:rsid w:val="5E457D25"/>
    <w:rsid w:val="5E483371"/>
    <w:rsid w:val="5E4C4C10"/>
    <w:rsid w:val="5E4D0988"/>
    <w:rsid w:val="5E510478"/>
    <w:rsid w:val="5E532442"/>
    <w:rsid w:val="5E543AC4"/>
    <w:rsid w:val="5E563CE0"/>
    <w:rsid w:val="5E580CDF"/>
    <w:rsid w:val="5E5835B4"/>
    <w:rsid w:val="5E587A58"/>
    <w:rsid w:val="5E5A37D0"/>
    <w:rsid w:val="5E5C21ED"/>
    <w:rsid w:val="5E5D506F"/>
    <w:rsid w:val="5E60690D"/>
    <w:rsid w:val="5E655CD1"/>
    <w:rsid w:val="5E6737F7"/>
    <w:rsid w:val="5E6A32E8"/>
    <w:rsid w:val="5E6A778C"/>
    <w:rsid w:val="5E6C3504"/>
    <w:rsid w:val="5E6C52B2"/>
    <w:rsid w:val="5E6E102A"/>
    <w:rsid w:val="5E6F4DA2"/>
    <w:rsid w:val="5E7303EE"/>
    <w:rsid w:val="5E7D301B"/>
    <w:rsid w:val="5E7E0E34"/>
    <w:rsid w:val="5E7F7645"/>
    <w:rsid w:val="5E824AD5"/>
    <w:rsid w:val="5E826883"/>
    <w:rsid w:val="5E84084D"/>
    <w:rsid w:val="5E856373"/>
    <w:rsid w:val="5E8720EC"/>
    <w:rsid w:val="5E8819C0"/>
    <w:rsid w:val="5E8A56FD"/>
    <w:rsid w:val="5E8C5954"/>
    <w:rsid w:val="5E8D2864"/>
    <w:rsid w:val="5E93283E"/>
    <w:rsid w:val="5E9465B6"/>
    <w:rsid w:val="5E9842F9"/>
    <w:rsid w:val="5E9860A7"/>
    <w:rsid w:val="5E9B7945"/>
    <w:rsid w:val="5E9F5687"/>
    <w:rsid w:val="5EA04F5B"/>
    <w:rsid w:val="5EA24952"/>
    <w:rsid w:val="5EA42C9D"/>
    <w:rsid w:val="5EA70098"/>
    <w:rsid w:val="5EAA7B89"/>
    <w:rsid w:val="5EAC56A4"/>
    <w:rsid w:val="5EAF519E"/>
    <w:rsid w:val="5EB033F0"/>
    <w:rsid w:val="5EB822A5"/>
    <w:rsid w:val="5EB86749"/>
    <w:rsid w:val="5EBE53E1"/>
    <w:rsid w:val="5EC0115A"/>
    <w:rsid w:val="5EC46E9C"/>
    <w:rsid w:val="5EC56770"/>
    <w:rsid w:val="5ECA1FD8"/>
    <w:rsid w:val="5ECA3D86"/>
    <w:rsid w:val="5ECC3FA2"/>
    <w:rsid w:val="5ECC5D50"/>
    <w:rsid w:val="5ED370DF"/>
    <w:rsid w:val="5ED66053"/>
    <w:rsid w:val="5ED66BCF"/>
    <w:rsid w:val="5EDA221B"/>
    <w:rsid w:val="5EDD2BC2"/>
    <w:rsid w:val="5EDF5A84"/>
    <w:rsid w:val="5EE017FC"/>
    <w:rsid w:val="5EE26529"/>
    <w:rsid w:val="5EE27322"/>
    <w:rsid w:val="5EE65064"/>
    <w:rsid w:val="5EEB267A"/>
    <w:rsid w:val="5EEB4428"/>
    <w:rsid w:val="5EEC3359"/>
    <w:rsid w:val="5EEE084A"/>
    <w:rsid w:val="5EF17565"/>
    <w:rsid w:val="5EF3152F"/>
    <w:rsid w:val="5EF7101F"/>
    <w:rsid w:val="5EF76247"/>
    <w:rsid w:val="5EF77271"/>
    <w:rsid w:val="5EFA466C"/>
    <w:rsid w:val="5EFD23AE"/>
    <w:rsid w:val="5EFD5F0A"/>
    <w:rsid w:val="5EFF1C82"/>
    <w:rsid w:val="5F011E9E"/>
    <w:rsid w:val="5F013C4C"/>
    <w:rsid w:val="5F047298"/>
    <w:rsid w:val="5F0B6879"/>
    <w:rsid w:val="5F0C25F1"/>
    <w:rsid w:val="5F1020E1"/>
    <w:rsid w:val="5F102A07"/>
    <w:rsid w:val="5F115F4D"/>
    <w:rsid w:val="5F125E59"/>
    <w:rsid w:val="5F130109"/>
    <w:rsid w:val="5F16521D"/>
    <w:rsid w:val="5F1871E8"/>
    <w:rsid w:val="5F1A2B43"/>
    <w:rsid w:val="5F1C2437"/>
    <w:rsid w:val="5F1D47FE"/>
    <w:rsid w:val="5F1F0576"/>
    <w:rsid w:val="5F1F2324"/>
    <w:rsid w:val="5F2142EE"/>
    <w:rsid w:val="5F217E4A"/>
    <w:rsid w:val="5F221E14"/>
    <w:rsid w:val="5F236821"/>
    <w:rsid w:val="5F24793A"/>
    <w:rsid w:val="5F265461"/>
    <w:rsid w:val="5F2A342A"/>
    <w:rsid w:val="5F2B0CC9"/>
    <w:rsid w:val="5F2B2A77"/>
    <w:rsid w:val="5F2D4A41"/>
    <w:rsid w:val="5F2F29E7"/>
    <w:rsid w:val="5F304531"/>
    <w:rsid w:val="5F3131CD"/>
    <w:rsid w:val="5F36141C"/>
    <w:rsid w:val="5F37764C"/>
    <w:rsid w:val="5F381638"/>
    <w:rsid w:val="5F3B723E"/>
    <w:rsid w:val="5F3D09FC"/>
    <w:rsid w:val="5F3E6C4E"/>
    <w:rsid w:val="5F424152"/>
    <w:rsid w:val="5F447FDD"/>
    <w:rsid w:val="5F48187B"/>
    <w:rsid w:val="5F4973A1"/>
    <w:rsid w:val="5F4B136B"/>
    <w:rsid w:val="5F4B79A1"/>
    <w:rsid w:val="5F5244A8"/>
    <w:rsid w:val="5F530220"/>
    <w:rsid w:val="5F540648"/>
    <w:rsid w:val="5F540D28"/>
    <w:rsid w:val="5F5521EA"/>
    <w:rsid w:val="5F555201"/>
    <w:rsid w:val="5F571ABE"/>
    <w:rsid w:val="5F577D10"/>
    <w:rsid w:val="5F583B22"/>
    <w:rsid w:val="5F585836"/>
    <w:rsid w:val="5F5875E4"/>
    <w:rsid w:val="5F587C84"/>
    <w:rsid w:val="5F5941A9"/>
    <w:rsid w:val="5F595AA3"/>
    <w:rsid w:val="5F5A15AE"/>
    <w:rsid w:val="5F5A7800"/>
    <w:rsid w:val="5F5D4BFA"/>
    <w:rsid w:val="5F5F6BC4"/>
    <w:rsid w:val="5F610B8F"/>
    <w:rsid w:val="5F61293D"/>
    <w:rsid w:val="5F613AD3"/>
    <w:rsid w:val="5F6146EB"/>
    <w:rsid w:val="5F64400A"/>
    <w:rsid w:val="5F645F89"/>
    <w:rsid w:val="5F6B5569"/>
    <w:rsid w:val="5F6B5FE9"/>
    <w:rsid w:val="5F6D12E1"/>
    <w:rsid w:val="5F700DD2"/>
    <w:rsid w:val="5F7408C2"/>
    <w:rsid w:val="5F7E2C64"/>
    <w:rsid w:val="5F7E34EF"/>
    <w:rsid w:val="5F814D8D"/>
    <w:rsid w:val="5F85487D"/>
    <w:rsid w:val="5F872886"/>
    <w:rsid w:val="5F881C77"/>
    <w:rsid w:val="5F887EC9"/>
    <w:rsid w:val="5F8959EF"/>
    <w:rsid w:val="5F8B6B35"/>
    <w:rsid w:val="5F8E5854"/>
    <w:rsid w:val="5F906D7E"/>
    <w:rsid w:val="5F916509"/>
    <w:rsid w:val="5F954394"/>
    <w:rsid w:val="5F9A5E4E"/>
    <w:rsid w:val="5F9C3975"/>
    <w:rsid w:val="5F9C5723"/>
    <w:rsid w:val="5FA55D24"/>
    <w:rsid w:val="5FA647F3"/>
    <w:rsid w:val="5FA82319"/>
    <w:rsid w:val="5FAD4AA2"/>
    <w:rsid w:val="5FB011CE"/>
    <w:rsid w:val="5FB05672"/>
    <w:rsid w:val="5FB23198"/>
    <w:rsid w:val="5FB32A6C"/>
    <w:rsid w:val="5FB837BB"/>
    <w:rsid w:val="5FB92779"/>
    <w:rsid w:val="5FB962D5"/>
    <w:rsid w:val="5FBC5DC5"/>
    <w:rsid w:val="5FBE7D8F"/>
    <w:rsid w:val="5FBF1587"/>
    <w:rsid w:val="5FBF7663"/>
    <w:rsid w:val="5FC627A0"/>
    <w:rsid w:val="5FCB6008"/>
    <w:rsid w:val="5FCF78A6"/>
    <w:rsid w:val="5FD01870"/>
    <w:rsid w:val="5FD27396"/>
    <w:rsid w:val="5FDA449D"/>
    <w:rsid w:val="5FDB0323"/>
    <w:rsid w:val="5FDC1FC3"/>
    <w:rsid w:val="5FE175D9"/>
    <w:rsid w:val="5FE1785D"/>
    <w:rsid w:val="5FE307E1"/>
    <w:rsid w:val="5FE532A2"/>
    <w:rsid w:val="5FE80968"/>
    <w:rsid w:val="5FE91459"/>
    <w:rsid w:val="5FEA0B84"/>
    <w:rsid w:val="5FEB0458"/>
    <w:rsid w:val="5FEB2206"/>
    <w:rsid w:val="5FEB4543"/>
    <w:rsid w:val="5FED41D0"/>
    <w:rsid w:val="5FED72CE"/>
    <w:rsid w:val="5FF160F1"/>
    <w:rsid w:val="5FF23595"/>
    <w:rsid w:val="5FF25578"/>
    <w:rsid w:val="5FF67529"/>
    <w:rsid w:val="5FF92B75"/>
    <w:rsid w:val="5FFC654F"/>
    <w:rsid w:val="5FFE018B"/>
    <w:rsid w:val="5FFE63DD"/>
    <w:rsid w:val="5FFF2F54"/>
    <w:rsid w:val="6005151A"/>
    <w:rsid w:val="600532C8"/>
    <w:rsid w:val="60067040"/>
    <w:rsid w:val="600734E4"/>
    <w:rsid w:val="600A2C1F"/>
    <w:rsid w:val="600A2FD4"/>
    <w:rsid w:val="600C644D"/>
    <w:rsid w:val="600D03CE"/>
    <w:rsid w:val="60114363"/>
    <w:rsid w:val="601249DE"/>
    <w:rsid w:val="6014175D"/>
    <w:rsid w:val="601479AF"/>
    <w:rsid w:val="60194FC5"/>
    <w:rsid w:val="601C6864"/>
    <w:rsid w:val="601E082E"/>
    <w:rsid w:val="601E438A"/>
    <w:rsid w:val="60213E7A"/>
    <w:rsid w:val="60261490"/>
    <w:rsid w:val="60266618"/>
    <w:rsid w:val="602816AC"/>
    <w:rsid w:val="602D64AE"/>
    <w:rsid w:val="60360D16"/>
    <w:rsid w:val="603718EF"/>
    <w:rsid w:val="60371E60"/>
    <w:rsid w:val="6037544B"/>
    <w:rsid w:val="603C0CB4"/>
    <w:rsid w:val="603E67DA"/>
    <w:rsid w:val="604069F6"/>
    <w:rsid w:val="6042276E"/>
    <w:rsid w:val="6043407E"/>
    <w:rsid w:val="60471B32"/>
    <w:rsid w:val="604A517F"/>
    <w:rsid w:val="604F4E8B"/>
    <w:rsid w:val="60536729"/>
    <w:rsid w:val="60567FC7"/>
    <w:rsid w:val="60575AEE"/>
    <w:rsid w:val="605D3104"/>
    <w:rsid w:val="605E0C2A"/>
    <w:rsid w:val="606049A2"/>
    <w:rsid w:val="60617F3F"/>
    <w:rsid w:val="60630DE6"/>
    <w:rsid w:val="60634492"/>
    <w:rsid w:val="606B19BF"/>
    <w:rsid w:val="606C2ECA"/>
    <w:rsid w:val="606C77EB"/>
    <w:rsid w:val="606E3563"/>
    <w:rsid w:val="606E6033"/>
    <w:rsid w:val="606F2E37"/>
    <w:rsid w:val="607033A8"/>
    <w:rsid w:val="607034DD"/>
    <w:rsid w:val="60724C1A"/>
    <w:rsid w:val="60732927"/>
    <w:rsid w:val="60762418"/>
    <w:rsid w:val="60777FDD"/>
    <w:rsid w:val="607E735B"/>
    <w:rsid w:val="60805044"/>
    <w:rsid w:val="60806DF2"/>
    <w:rsid w:val="60822B6A"/>
    <w:rsid w:val="608A1A1F"/>
    <w:rsid w:val="608C1C3B"/>
    <w:rsid w:val="60911000"/>
    <w:rsid w:val="60934D78"/>
    <w:rsid w:val="6094289E"/>
    <w:rsid w:val="609805E0"/>
    <w:rsid w:val="609D7126"/>
    <w:rsid w:val="609F1BC5"/>
    <w:rsid w:val="60A056E7"/>
    <w:rsid w:val="60A07495"/>
    <w:rsid w:val="60A10678"/>
    <w:rsid w:val="60A24FBB"/>
    <w:rsid w:val="60A26D69"/>
    <w:rsid w:val="60A46F85"/>
    <w:rsid w:val="60A54AAB"/>
    <w:rsid w:val="60A70F0A"/>
    <w:rsid w:val="60A725D1"/>
    <w:rsid w:val="60A800F7"/>
    <w:rsid w:val="60B30F76"/>
    <w:rsid w:val="60B371C8"/>
    <w:rsid w:val="60BF5B6D"/>
    <w:rsid w:val="60C2565D"/>
    <w:rsid w:val="60C44627"/>
    <w:rsid w:val="60C74A21"/>
    <w:rsid w:val="60CC405A"/>
    <w:rsid w:val="60CD4AC4"/>
    <w:rsid w:val="60D158A0"/>
    <w:rsid w:val="60D1764E"/>
    <w:rsid w:val="60D44997"/>
    <w:rsid w:val="60D71997"/>
    <w:rsid w:val="60D96503"/>
    <w:rsid w:val="60DF1D6B"/>
    <w:rsid w:val="60DF620F"/>
    <w:rsid w:val="60DF7FBD"/>
    <w:rsid w:val="60E02B13"/>
    <w:rsid w:val="60E8429D"/>
    <w:rsid w:val="60E92BEA"/>
    <w:rsid w:val="60EB4BB4"/>
    <w:rsid w:val="60EC2EEB"/>
    <w:rsid w:val="60F021CA"/>
    <w:rsid w:val="60F35816"/>
    <w:rsid w:val="60F63558"/>
    <w:rsid w:val="60F8107F"/>
    <w:rsid w:val="60F82E2D"/>
    <w:rsid w:val="60F90953"/>
    <w:rsid w:val="60FD3BA3"/>
    <w:rsid w:val="60FF065F"/>
    <w:rsid w:val="61001CE1"/>
    <w:rsid w:val="61025A59"/>
    <w:rsid w:val="6102706E"/>
    <w:rsid w:val="6105554A"/>
    <w:rsid w:val="610619ED"/>
    <w:rsid w:val="61096DE8"/>
    <w:rsid w:val="610B3AC7"/>
    <w:rsid w:val="610C6769"/>
    <w:rsid w:val="61137C66"/>
    <w:rsid w:val="61181721"/>
    <w:rsid w:val="611A7247"/>
    <w:rsid w:val="611B4D6D"/>
    <w:rsid w:val="611D7264"/>
    <w:rsid w:val="611E2EDC"/>
    <w:rsid w:val="612003CD"/>
    <w:rsid w:val="612754C0"/>
    <w:rsid w:val="61290528"/>
    <w:rsid w:val="61291238"/>
    <w:rsid w:val="612B1454"/>
    <w:rsid w:val="612B4FB0"/>
    <w:rsid w:val="612C6D8A"/>
    <w:rsid w:val="61354081"/>
    <w:rsid w:val="61363955"/>
    <w:rsid w:val="61371BA7"/>
    <w:rsid w:val="6138446C"/>
    <w:rsid w:val="6139771D"/>
    <w:rsid w:val="613A00F7"/>
    <w:rsid w:val="613D4CE3"/>
    <w:rsid w:val="614044EB"/>
    <w:rsid w:val="614147D4"/>
    <w:rsid w:val="61433E39"/>
    <w:rsid w:val="61453B98"/>
    <w:rsid w:val="61461DEA"/>
    <w:rsid w:val="61477910"/>
    <w:rsid w:val="614B38A4"/>
    <w:rsid w:val="614E6EF1"/>
    <w:rsid w:val="6151078F"/>
    <w:rsid w:val="6151253D"/>
    <w:rsid w:val="61521F2D"/>
    <w:rsid w:val="61534507"/>
    <w:rsid w:val="61566BEF"/>
    <w:rsid w:val="615838CB"/>
    <w:rsid w:val="615A5895"/>
    <w:rsid w:val="615D19B1"/>
    <w:rsid w:val="61606FA1"/>
    <w:rsid w:val="61620180"/>
    <w:rsid w:val="6162299C"/>
    <w:rsid w:val="61630BEE"/>
    <w:rsid w:val="61653A35"/>
    <w:rsid w:val="6166423A"/>
    <w:rsid w:val="6166544F"/>
    <w:rsid w:val="61695AD8"/>
    <w:rsid w:val="616C7377"/>
    <w:rsid w:val="616D381B"/>
    <w:rsid w:val="616D55C9"/>
    <w:rsid w:val="617044FB"/>
    <w:rsid w:val="61706E67"/>
    <w:rsid w:val="61722BDF"/>
    <w:rsid w:val="61750921"/>
    <w:rsid w:val="6175447D"/>
    <w:rsid w:val="61761FA3"/>
    <w:rsid w:val="61783F6D"/>
    <w:rsid w:val="61785739"/>
    <w:rsid w:val="617A1A94"/>
    <w:rsid w:val="617A5F38"/>
    <w:rsid w:val="617C3A5E"/>
    <w:rsid w:val="617E77D6"/>
    <w:rsid w:val="61826B9A"/>
    <w:rsid w:val="61831D33"/>
    <w:rsid w:val="618648DC"/>
    <w:rsid w:val="618741B1"/>
    <w:rsid w:val="61891CD7"/>
    <w:rsid w:val="618A6593"/>
    <w:rsid w:val="618A738C"/>
    <w:rsid w:val="618B1EF3"/>
    <w:rsid w:val="618B3CA1"/>
    <w:rsid w:val="618C17C7"/>
    <w:rsid w:val="618D5C6B"/>
    <w:rsid w:val="619031FE"/>
    <w:rsid w:val="6190493F"/>
    <w:rsid w:val="61932B55"/>
    <w:rsid w:val="61946FF9"/>
    <w:rsid w:val="61994610"/>
    <w:rsid w:val="619A3EE4"/>
    <w:rsid w:val="619E03D3"/>
    <w:rsid w:val="619F774C"/>
    <w:rsid w:val="61A466ED"/>
    <w:rsid w:val="61A53F94"/>
    <w:rsid w:val="61A82AA5"/>
    <w:rsid w:val="61A84056"/>
    <w:rsid w:val="61A86601"/>
    <w:rsid w:val="61AB1547"/>
    <w:rsid w:val="61AD3C17"/>
    <w:rsid w:val="61B234D4"/>
    <w:rsid w:val="61B2747F"/>
    <w:rsid w:val="61B9080E"/>
    <w:rsid w:val="61B970E2"/>
    <w:rsid w:val="61BF1B9C"/>
    <w:rsid w:val="61C30C5E"/>
    <w:rsid w:val="61C471B3"/>
    <w:rsid w:val="61C775DF"/>
    <w:rsid w:val="61C80A51"/>
    <w:rsid w:val="61C91EFF"/>
    <w:rsid w:val="61CA2A1B"/>
    <w:rsid w:val="61CB6793"/>
    <w:rsid w:val="61CD250B"/>
    <w:rsid w:val="61CD6067"/>
    <w:rsid w:val="61CE1DDF"/>
    <w:rsid w:val="61CF0031"/>
    <w:rsid w:val="61D03DA9"/>
    <w:rsid w:val="61D503B6"/>
    <w:rsid w:val="61D64494"/>
    <w:rsid w:val="61DF1A53"/>
    <w:rsid w:val="61DF5D9B"/>
    <w:rsid w:val="61E138C1"/>
    <w:rsid w:val="61E17D65"/>
    <w:rsid w:val="61E215D8"/>
    <w:rsid w:val="61E3588B"/>
    <w:rsid w:val="61E47F27"/>
    <w:rsid w:val="61E63194"/>
    <w:rsid w:val="61EA1238"/>
    <w:rsid w:val="61EE4F39"/>
    <w:rsid w:val="61EF4230"/>
    <w:rsid w:val="61F0503E"/>
    <w:rsid w:val="61F21F72"/>
    <w:rsid w:val="61F96E5C"/>
    <w:rsid w:val="61FC06FB"/>
    <w:rsid w:val="62007857"/>
    <w:rsid w:val="62065A1D"/>
    <w:rsid w:val="62083927"/>
    <w:rsid w:val="620852F1"/>
    <w:rsid w:val="62092E18"/>
    <w:rsid w:val="620A0821"/>
    <w:rsid w:val="620F4796"/>
    <w:rsid w:val="620F48D2"/>
    <w:rsid w:val="62122F41"/>
    <w:rsid w:val="62127610"/>
    <w:rsid w:val="62137E26"/>
    <w:rsid w:val="62141753"/>
    <w:rsid w:val="62194EE4"/>
    <w:rsid w:val="62195750"/>
    <w:rsid w:val="621B3775"/>
    <w:rsid w:val="6220088D"/>
    <w:rsid w:val="62210161"/>
    <w:rsid w:val="6223037D"/>
    <w:rsid w:val="62255EA3"/>
    <w:rsid w:val="622639C9"/>
    <w:rsid w:val="622814F0"/>
    <w:rsid w:val="62285994"/>
    <w:rsid w:val="622B7232"/>
    <w:rsid w:val="622D3399"/>
    <w:rsid w:val="622D6B06"/>
    <w:rsid w:val="622F287E"/>
    <w:rsid w:val="622F6D22"/>
    <w:rsid w:val="62314848"/>
    <w:rsid w:val="62316557"/>
    <w:rsid w:val="623205C0"/>
    <w:rsid w:val="6232236E"/>
    <w:rsid w:val="62326812"/>
    <w:rsid w:val="62347E94"/>
    <w:rsid w:val="623600B0"/>
    <w:rsid w:val="623616DF"/>
    <w:rsid w:val="62364782"/>
    <w:rsid w:val="62402CDD"/>
    <w:rsid w:val="624520A2"/>
    <w:rsid w:val="62485641"/>
    <w:rsid w:val="624A590A"/>
    <w:rsid w:val="624B3430"/>
    <w:rsid w:val="624F4CCE"/>
    <w:rsid w:val="625048C9"/>
    <w:rsid w:val="62522A10"/>
    <w:rsid w:val="62546789"/>
    <w:rsid w:val="6256605D"/>
    <w:rsid w:val="62593D9F"/>
    <w:rsid w:val="62595B4D"/>
    <w:rsid w:val="625C5701"/>
    <w:rsid w:val="625E3163"/>
    <w:rsid w:val="62600C89"/>
    <w:rsid w:val="6260512D"/>
    <w:rsid w:val="626253CB"/>
    <w:rsid w:val="62650996"/>
    <w:rsid w:val="626544F2"/>
    <w:rsid w:val="62654FFD"/>
    <w:rsid w:val="6265548D"/>
    <w:rsid w:val="62683FE2"/>
    <w:rsid w:val="626A5FAC"/>
    <w:rsid w:val="626C3AD2"/>
    <w:rsid w:val="626F5370"/>
    <w:rsid w:val="626F711E"/>
    <w:rsid w:val="627110E9"/>
    <w:rsid w:val="62736B5C"/>
    <w:rsid w:val="62775FD3"/>
    <w:rsid w:val="62782028"/>
    <w:rsid w:val="62783A56"/>
    <w:rsid w:val="627843C1"/>
    <w:rsid w:val="628030DA"/>
    <w:rsid w:val="6280757E"/>
    <w:rsid w:val="62832BCA"/>
    <w:rsid w:val="62864468"/>
    <w:rsid w:val="6287090C"/>
    <w:rsid w:val="62894684"/>
    <w:rsid w:val="628D3A49"/>
    <w:rsid w:val="628D57F7"/>
    <w:rsid w:val="62943029"/>
    <w:rsid w:val="6299063F"/>
    <w:rsid w:val="629B40F7"/>
    <w:rsid w:val="629C012D"/>
    <w:rsid w:val="629E5C56"/>
    <w:rsid w:val="629F6FB6"/>
    <w:rsid w:val="62A0552A"/>
    <w:rsid w:val="62A269BD"/>
    <w:rsid w:val="62A274F4"/>
    <w:rsid w:val="62A414BE"/>
    <w:rsid w:val="62AD0C74"/>
    <w:rsid w:val="62AE2542"/>
    <w:rsid w:val="62AE40EB"/>
    <w:rsid w:val="62AF1C11"/>
    <w:rsid w:val="62AF7E63"/>
    <w:rsid w:val="62B03276"/>
    <w:rsid w:val="62B114E5"/>
    <w:rsid w:val="62B66AFB"/>
    <w:rsid w:val="62C204A2"/>
    <w:rsid w:val="62C21944"/>
    <w:rsid w:val="62C256EB"/>
    <w:rsid w:val="62C3746A"/>
    <w:rsid w:val="62C531E2"/>
    <w:rsid w:val="62C751AC"/>
    <w:rsid w:val="62CA25A7"/>
    <w:rsid w:val="62CA67CA"/>
    <w:rsid w:val="62CD0900"/>
    <w:rsid w:val="62D022B3"/>
    <w:rsid w:val="62D02D0B"/>
    <w:rsid w:val="62D11957"/>
    <w:rsid w:val="62D16D6C"/>
    <w:rsid w:val="62D17487"/>
    <w:rsid w:val="62D33B51"/>
    <w:rsid w:val="62D60F4C"/>
    <w:rsid w:val="62DB47B4"/>
    <w:rsid w:val="62DC64F9"/>
    <w:rsid w:val="62DE30E7"/>
    <w:rsid w:val="62DF24F6"/>
    <w:rsid w:val="62DF3642"/>
    <w:rsid w:val="62E418BB"/>
    <w:rsid w:val="62E53885"/>
    <w:rsid w:val="62E713AB"/>
    <w:rsid w:val="62E80C7F"/>
    <w:rsid w:val="62E95123"/>
    <w:rsid w:val="62EA0E9B"/>
    <w:rsid w:val="62EA2C49"/>
    <w:rsid w:val="62EC4C13"/>
    <w:rsid w:val="62EE1292"/>
    <w:rsid w:val="62F45876"/>
    <w:rsid w:val="62F6339C"/>
    <w:rsid w:val="62F835B8"/>
    <w:rsid w:val="6302470A"/>
    <w:rsid w:val="630261E5"/>
    <w:rsid w:val="630755A9"/>
    <w:rsid w:val="63091321"/>
    <w:rsid w:val="63092E9C"/>
    <w:rsid w:val="63097573"/>
    <w:rsid w:val="630C2BBF"/>
    <w:rsid w:val="631101D6"/>
    <w:rsid w:val="631139E3"/>
    <w:rsid w:val="63155F18"/>
    <w:rsid w:val="631877B6"/>
    <w:rsid w:val="631940F9"/>
    <w:rsid w:val="631D27A2"/>
    <w:rsid w:val="63212B0F"/>
    <w:rsid w:val="632443AD"/>
    <w:rsid w:val="63251ED3"/>
    <w:rsid w:val="63253C81"/>
    <w:rsid w:val="63275C4B"/>
    <w:rsid w:val="6329551F"/>
    <w:rsid w:val="63344891"/>
    <w:rsid w:val="63367C3C"/>
    <w:rsid w:val="633A772C"/>
    <w:rsid w:val="633B5253"/>
    <w:rsid w:val="633F4D43"/>
    <w:rsid w:val="63402869"/>
    <w:rsid w:val="634265E1"/>
    <w:rsid w:val="63435BFE"/>
    <w:rsid w:val="634405AB"/>
    <w:rsid w:val="63461EEC"/>
    <w:rsid w:val="634832D6"/>
    <w:rsid w:val="63495BC1"/>
    <w:rsid w:val="634B7B8C"/>
    <w:rsid w:val="634E4F86"/>
    <w:rsid w:val="635051A2"/>
    <w:rsid w:val="63536A40"/>
    <w:rsid w:val="635527B8"/>
    <w:rsid w:val="63576530"/>
    <w:rsid w:val="635D166D"/>
    <w:rsid w:val="635E372E"/>
    <w:rsid w:val="63660521"/>
    <w:rsid w:val="636C7B02"/>
    <w:rsid w:val="637349EC"/>
    <w:rsid w:val="63754C08"/>
    <w:rsid w:val="637C7D45"/>
    <w:rsid w:val="637F7835"/>
    <w:rsid w:val="6381445E"/>
    <w:rsid w:val="63862972"/>
    <w:rsid w:val="638702B8"/>
    <w:rsid w:val="63894210"/>
    <w:rsid w:val="63901A42"/>
    <w:rsid w:val="639037F0"/>
    <w:rsid w:val="639221EC"/>
    <w:rsid w:val="639332E1"/>
    <w:rsid w:val="639343EA"/>
    <w:rsid w:val="6394356A"/>
    <w:rsid w:val="6397692D"/>
    <w:rsid w:val="63985EF5"/>
    <w:rsid w:val="639962F3"/>
    <w:rsid w:val="639A466F"/>
    <w:rsid w:val="639F3A33"/>
    <w:rsid w:val="639F57E1"/>
    <w:rsid w:val="63A159FD"/>
    <w:rsid w:val="63A36518"/>
    <w:rsid w:val="63A4729C"/>
    <w:rsid w:val="63A55989"/>
    <w:rsid w:val="63A778BA"/>
    <w:rsid w:val="63A96660"/>
    <w:rsid w:val="63AB4186"/>
    <w:rsid w:val="63AD1FEB"/>
    <w:rsid w:val="63AD6150"/>
    <w:rsid w:val="63AE1EC8"/>
    <w:rsid w:val="63B05C41"/>
    <w:rsid w:val="63B15515"/>
    <w:rsid w:val="63B5334E"/>
    <w:rsid w:val="63B647DE"/>
    <w:rsid w:val="63B76FCF"/>
    <w:rsid w:val="63B82D47"/>
    <w:rsid w:val="63BA261B"/>
    <w:rsid w:val="63C01BA2"/>
    <w:rsid w:val="63C139AA"/>
    <w:rsid w:val="63C60FC0"/>
    <w:rsid w:val="63C61B2C"/>
    <w:rsid w:val="63C642D3"/>
    <w:rsid w:val="63C67212"/>
    <w:rsid w:val="63C761C6"/>
    <w:rsid w:val="63C811DC"/>
    <w:rsid w:val="63C92C54"/>
    <w:rsid w:val="63CA40E4"/>
    <w:rsid w:val="63CE7752"/>
    <w:rsid w:val="63D00091"/>
    <w:rsid w:val="63D07F56"/>
    <w:rsid w:val="63D40BE9"/>
    <w:rsid w:val="63D47D67"/>
    <w:rsid w:val="63D74F7B"/>
    <w:rsid w:val="63D86F45"/>
    <w:rsid w:val="63D95197"/>
    <w:rsid w:val="63D96028"/>
    <w:rsid w:val="63D970DD"/>
    <w:rsid w:val="63DA0F0F"/>
    <w:rsid w:val="63DF6526"/>
    <w:rsid w:val="63E1229E"/>
    <w:rsid w:val="63E50CEC"/>
    <w:rsid w:val="63E87188"/>
    <w:rsid w:val="63EA73A4"/>
    <w:rsid w:val="63EC6ACE"/>
    <w:rsid w:val="63EE6769"/>
    <w:rsid w:val="63F26259"/>
    <w:rsid w:val="63F35B2D"/>
    <w:rsid w:val="63F80099"/>
    <w:rsid w:val="63F975E8"/>
    <w:rsid w:val="63FA4B47"/>
    <w:rsid w:val="63FB3B19"/>
    <w:rsid w:val="63FB4636"/>
    <w:rsid w:val="63FB6468"/>
    <w:rsid w:val="63FC2C34"/>
    <w:rsid w:val="63FE4BFE"/>
    <w:rsid w:val="63FF2724"/>
    <w:rsid w:val="6401024A"/>
    <w:rsid w:val="640146EE"/>
    <w:rsid w:val="6402249F"/>
    <w:rsid w:val="64030466"/>
    <w:rsid w:val="640B10C9"/>
    <w:rsid w:val="640D4E41"/>
    <w:rsid w:val="640D502B"/>
    <w:rsid w:val="640D6BEF"/>
    <w:rsid w:val="64102431"/>
    <w:rsid w:val="64124205"/>
    <w:rsid w:val="641937E6"/>
    <w:rsid w:val="64195594"/>
    <w:rsid w:val="641C32D6"/>
    <w:rsid w:val="641F4B74"/>
    <w:rsid w:val="642108EC"/>
    <w:rsid w:val="64234664"/>
    <w:rsid w:val="64243CD9"/>
    <w:rsid w:val="642503DD"/>
    <w:rsid w:val="64271C6E"/>
    <w:rsid w:val="64283A29"/>
    <w:rsid w:val="64287ECD"/>
    <w:rsid w:val="642D3D62"/>
    <w:rsid w:val="642E6B65"/>
    <w:rsid w:val="642F4DB7"/>
    <w:rsid w:val="64300B2F"/>
    <w:rsid w:val="643407A7"/>
    <w:rsid w:val="643979E4"/>
    <w:rsid w:val="643A375C"/>
    <w:rsid w:val="643B2EEC"/>
    <w:rsid w:val="643B7C00"/>
    <w:rsid w:val="64436AB5"/>
    <w:rsid w:val="64460353"/>
    <w:rsid w:val="644A1BF1"/>
    <w:rsid w:val="644D348F"/>
    <w:rsid w:val="645111D2"/>
    <w:rsid w:val="64524F45"/>
    <w:rsid w:val="6454481E"/>
    <w:rsid w:val="64591E34"/>
    <w:rsid w:val="645C7B76"/>
    <w:rsid w:val="645E569D"/>
    <w:rsid w:val="646627A3"/>
    <w:rsid w:val="64682077"/>
    <w:rsid w:val="646B1B68"/>
    <w:rsid w:val="646B7DB9"/>
    <w:rsid w:val="646D1DA4"/>
    <w:rsid w:val="64722EF6"/>
    <w:rsid w:val="647805F8"/>
    <w:rsid w:val="647A1DAB"/>
    <w:rsid w:val="647B624F"/>
    <w:rsid w:val="64803865"/>
    <w:rsid w:val="64844FF7"/>
    <w:rsid w:val="64874BF3"/>
    <w:rsid w:val="64882719"/>
    <w:rsid w:val="648869AC"/>
    <w:rsid w:val="648A6492"/>
    <w:rsid w:val="648E32AE"/>
    <w:rsid w:val="64923598"/>
    <w:rsid w:val="64966BE4"/>
    <w:rsid w:val="64992B79"/>
    <w:rsid w:val="649966D5"/>
    <w:rsid w:val="649B244D"/>
    <w:rsid w:val="649D4417"/>
    <w:rsid w:val="64A130EA"/>
    <w:rsid w:val="64A5243A"/>
    <w:rsid w:val="64A62BA0"/>
    <w:rsid w:val="64A64AE3"/>
    <w:rsid w:val="64A70DF2"/>
    <w:rsid w:val="64A77044"/>
    <w:rsid w:val="64A82DBC"/>
    <w:rsid w:val="64A86918"/>
    <w:rsid w:val="64AE06C7"/>
    <w:rsid w:val="64B11C70"/>
    <w:rsid w:val="64B16DC0"/>
    <w:rsid w:val="64B90B25"/>
    <w:rsid w:val="64BB489D"/>
    <w:rsid w:val="64BC589C"/>
    <w:rsid w:val="64BE438D"/>
    <w:rsid w:val="64C00105"/>
    <w:rsid w:val="64C06395"/>
    <w:rsid w:val="64C729AF"/>
    <w:rsid w:val="64C85A75"/>
    <w:rsid w:val="64CA2D32"/>
    <w:rsid w:val="64CC0858"/>
    <w:rsid w:val="64CD45D0"/>
    <w:rsid w:val="64CF20F6"/>
    <w:rsid w:val="64CF659A"/>
    <w:rsid w:val="64D12312"/>
    <w:rsid w:val="64D66C36"/>
    <w:rsid w:val="64D70FAB"/>
    <w:rsid w:val="64D836A1"/>
    <w:rsid w:val="64DB6CED"/>
    <w:rsid w:val="64DD0CB7"/>
    <w:rsid w:val="64DE058B"/>
    <w:rsid w:val="64E77440"/>
    <w:rsid w:val="64E9765C"/>
    <w:rsid w:val="64EA33D4"/>
    <w:rsid w:val="64ED07CF"/>
    <w:rsid w:val="64EF09EB"/>
    <w:rsid w:val="64F14763"/>
    <w:rsid w:val="64F34037"/>
    <w:rsid w:val="64F46001"/>
    <w:rsid w:val="64F4708D"/>
    <w:rsid w:val="64F47DAF"/>
    <w:rsid w:val="64F531DE"/>
    <w:rsid w:val="64F64031"/>
    <w:rsid w:val="64F8164D"/>
    <w:rsid w:val="64FC15ED"/>
    <w:rsid w:val="64FD3107"/>
    <w:rsid w:val="64FE29DC"/>
    <w:rsid w:val="65017D92"/>
    <w:rsid w:val="65044496"/>
    <w:rsid w:val="65052D2D"/>
    <w:rsid w:val="65077AE2"/>
    <w:rsid w:val="65084E45"/>
    <w:rsid w:val="650914D3"/>
    <w:rsid w:val="650A2CD2"/>
    <w:rsid w:val="650C50F9"/>
    <w:rsid w:val="650E4F5B"/>
    <w:rsid w:val="650F29E7"/>
    <w:rsid w:val="651144BD"/>
    <w:rsid w:val="65150451"/>
    <w:rsid w:val="6518584B"/>
    <w:rsid w:val="65197815"/>
    <w:rsid w:val="651D10B4"/>
    <w:rsid w:val="651E4E2C"/>
    <w:rsid w:val="651F307E"/>
    <w:rsid w:val="65240694"/>
    <w:rsid w:val="65242442"/>
    <w:rsid w:val="6525440C"/>
    <w:rsid w:val="65257F68"/>
    <w:rsid w:val="652748AF"/>
    <w:rsid w:val="65297A59"/>
    <w:rsid w:val="652B3207"/>
    <w:rsid w:val="653308D7"/>
    <w:rsid w:val="65332685"/>
    <w:rsid w:val="653463FD"/>
    <w:rsid w:val="65363F24"/>
    <w:rsid w:val="65366619"/>
    <w:rsid w:val="65373578"/>
    <w:rsid w:val="65387F11"/>
    <w:rsid w:val="653908EB"/>
    <w:rsid w:val="653F1EA7"/>
    <w:rsid w:val="65415131"/>
    <w:rsid w:val="65420B1A"/>
    <w:rsid w:val="654228F2"/>
    <w:rsid w:val="65423CAE"/>
    <w:rsid w:val="654C7BEB"/>
    <w:rsid w:val="65510D5D"/>
    <w:rsid w:val="65521F0A"/>
    <w:rsid w:val="65532D27"/>
    <w:rsid w:val="65562818"/>
    <w:rsid w:val="655645C6"/>
    <w:rsid w:val="655A40B6"/>
    <w:rsid w:val="655B398A"/>
    <w:rsid w:val="655B7E2E"/>
    <w:rsid w:val="655D3BA6"/>
    <w:rsid w:val="655F791E"/>
    <w:rsid w:val="656211BC"/>
    <w:rsid w:val="65640EC5"/>
    <w:rsid w:val="65670581"/>
    <w:rsid w:val="656960A7"/>
    <w:rsid w:val="6578453C"/>
    <w:rsid w:val="65817895"/>
    <w:rsid w:val="65826D65"/>
    <w:rsid w:val="65876E75"/>
    <w:rsid w:val="65882F94"/>
    <w:rsid w:val="65890E41"/>
    <w:rsid w:val="65896749"/>
    <w:rsid w:val="658A426F"/>
    <w:rsid w:val="658C7FE7"/>
    <w:rsid w:val="659155FE"/>
    <w:rsid w:val="65931376"/>
    <w:rsid w:val="6593581A"/>
    <w:rsid w:val="65947DC3"/>
    <w:rsid w:val="65956E9C"/>
    <w:rsid w:val="659A15A4"/>
    <w:rsid w:val="65A11CE5"/>
    <w:rsid w:val="65A17F37"/>
    <w:rsid w:val="65A42ED0"/>
    <w:rsid w:val="65A75ABB"/>
    <w:rsid w:val="65AD4482"/>
    <w:rsid w:val="65AD68DC"/>
    <w:rsid w:val="65B03CD6"/>
    <w:rsid w:val="65B110CD"/>
    <w:rsid w:val="65B116C2"/>
    <w:rsid w:val="65B337C6"/>
    <w:rsid w:val="65B55790"/>
    <w:rsid w:val="65B55B98"/>
    <w:rsid w:val="65B65064"/>
    <w:rsid w:val="65BB6A86"/>
    <w:rsid w:val="65C43C25"/>
    <w:rsid w:val="65CA5934"/>
    <w:rsid w:val="65CD2ADA"/>
    <w:rsid w:val="65CE6593"/>
    <w:rsid w:val="65CF13C9"/>
    <w:rsid w:val="65D26342"/>
    <w:rsid w:val="65D379C4"/>
    <w:rsid w:val="65D61F4D"/>
    <w:rsid w:val="65D908CE"/>
    <w:rsid w:val="65D976D1"/>
    <w:rsid w:val="65DC0F6F"/>
    <w:rsid w:val="65DC2D1D"/>
    <w:rsid w:val="65DC4ACB"/>
    <w:rsid w:val="65DE3E90"/>
    <w:rsid w:val="65DF0A5F"/>
    <w:rsid w:val="65DF45BB"/>
    <w:rsid w:val="65DF6369"/>
    <w:rsid w:val="65E10333"/>
    <w:rsid w:val="65E72ED2"/>
    <w:rsid w:val="65E80EEF"/>
    <w:rsid w:val="65E816C2"/>
    <w:rsid w:val="65E87914"/>
    <w:rsid w:val="65E9368C"/>
    <w:rsid w:val="65EB2F60"/>
    <w:rsid w:val="65F10296"/>
    <w:rsid w:val="65F22540"/>
    <w:rsid w:val="65F242EE"/>
    <w:rsid w:val="65F53DDF"/>
    <w:rsid w:val="65FC33BF"/>
    <w:rsid w:val="65FC5ADD"/>
    <w:rsid w:val="65FD2C93"/>
    <w:rsid w:val="65FE0EE5"/>
    <w:rsid w:val="65FF07B9"/>
    <w:rsid w:val="6600182C"/>
    <w:rsid w:val="660202AA"/>
    <w:rsid w:val="660364FC"/>
    <w:rsid w:val="66081D64"/>
    <w:rsid w:val="660F30F2"/>
    <w:rsid w:val="66110D10"/>
    <w:rsid w:val="661324B7"/>
    <w:rsid w:val="66134265"/>
    <w:rsid w:val="66157FDD"/>
    <w:rsid w:val="66171FA7"/>
    <w:rsid w:val="6618187B"/>
    <w:rsid w:val="66187ACD"/>
    <w:rsid w:val="66195D1F"/>
    <w:rsid w:val="661A1A97"/>
    <w:rsid w:val="661C136B"/>
    <w:rsid w:val="661D5F5B"/>
    <w:rsid w:val="661E50E3"/>
    <w:rsid w:val="662326FA"/>
    <w:rsid w:val="66246472"/>
    <w:rsid w:val="6626043C"/>
    <w:rsid w:val="662841B4"/>
    <w:rsid w:val="66285F62"/>
    <w:rsid w:val="66293A88"/>
    <w:rsid w:val="662B0176"/>
    <w:rsid w:val="662B5A52"/>
    <w:rsid w:val="662D17CA"/>
    <w:rsid w:val="662D3578"/>
    <w:rsid w:val="662E109F"/>
    <w:rsid w:val="66326DE1"/>
    <w:rsid w:val="6635067F"/>
    <w:rsid w:val="663638D4"/>
    <w:rsid w:val="66376376"/>
    <w:rsid w:val="663C7C5F"/>
    <w:rsid w:val="663E0A2F"/>
    <w:rsid w:val="66417024"/>
    <w:rsid w:val="66434B4A"/>
    <w:rsid w:val="66467096"/>
    <w:rsid w:val="66467401"/>
    <w:rsid w:val="664726D9"/>
    <w:rsid w:val="66495ED8"/>
    <w:rsid w:val="664F0CB2"/>
    <w:rsid w:val="665054B9"/>
    <w:rsid w:val="66540B05"/>
    <w:rsid w:val="66551E8A"/>
    <w:rsid w:val="6655487D"/>
    <w:rsid w:val="665F56FC"/>
    <w:rsid w:val="6660394E"/>
    <w:rsid w:val="66650F64"/>
    <w:rsid w:val="66666A8A"/>
    <w:rsid w:val="66680690"/>
    <w:rsid w:val="66680A54"/>
    <w:rsid w:val="666845B1"/>
    <w:rsid w:val="66684A7D"/>
    <w:rsid w:val="666A657B"/>
    <w:rsid w:val="666B40A1"/>
    <w:rsid w:val="666F1DE3"/>
    <w:rsid w:val="66703465"/>
    <w:rsid w:val="667165ED"/>
    <w:rsid w:val="667473F9"/>
    <w:rsid w:val="66751F24"/>
    <w:rsid w:val="66770C98"/>
    <w:rsid w:val="66794A10"/>
    <w:rsid w:val="667967BE"/>
    <w:rsid w:val="667A42E4"/>
    <w:rsid w:val="667A63AC"/>
    <w:rsid w:val="667E25EE"/>
    <w:rsid w:val="66815672"/>
    <w:rsid w:val="66886A01"/>
    <w:rsid w:val="668A09CB"/>
    <w:rsid w:val="668A4527"/>
    <w:rsid w:val="668B029F"/>
    <w:rsid w:val="668D04BB"/>
    <w:rsid w:val="668D4017"/>
    <w:rsid w:val="668D7512"/>
    <w:rsid w:val="668F1B3D"/>
    <w:rsid w:val="668F4233"/>
    <w:rsid w:val="66925AD1"/>
    <w:rsid w:val="669265A4"/>
    <w:rsid w:val="6694184A"/>
    <w:rsid w:val="66952ECC"/>
    <w:rsid w:val="66961DF9"/>
    <w:rsid w:val="66974E96"/>
    <w:rsid w:val="66990C0E"/>
    <w:rsid w:val="669B6734"/>
    <w:rsid w:val="669C06FE"/>
    <w:rsid w:val="669E7FD2"/>
    <w:rsid w:val="66A04A4A"/>
    <w:rsid w:val="66A23F66"/>
    <w:rsid w:val="66A51361"/>
    <w:rsid w:val="66A575B3"/>
    <w:rsid w:val="66A717F9"/>
    <w:rsid w:val="66A870A3"/>
    <w:rsid w:val="66AA160B"/>
    <w:rsid w:val="66AB2A9B"/>
    <w:rsid w:val="66AE52A4"/>
    <w:rsid w:val="66B25085"/>
    <w:rsid w:val="66B63154"/>
    <w:rsid w:val="66B6356E"/>
    <w:rsid w:val="66BB5028"/>
    <w:rsid w:val="66C11F13"/>
    <w:rsid w:val="66C421B2"/>
    <w:rsid w:val="66C832A1"/>
    <w:rsid w:val="66D32372"/>
    <w:rsid w:val="66D460EA"/>
    <w:rsid w:val="66D47E98"/>
    <w:rsid w:val="66D71736"/>
    <w:rsid w:val="66D734E4"/>
    <w:rsid w:val="66D954AE"/>
    <w:rsid w:val="66DA64C5"/>
    <w:rsid w:val="66DC0AFB"/>
    <w:rsid w:val="66DC6D4D"/>
    <w:rsid w:val="66E005EB"/>
    <w:rsid w:val="66E300DB"/>
    <w:rsid w:val="66E83943"/>
    <w:rsid w:val="66EA76BB"/>
    <w:rsid w:val="66EC3434"/>
    <w:rsid w:val="66EF082E"/>
    <w:rsid w:val="66F75934"/>
    <w:rsid w:val="66F95B50"/>
    <w:rsid w:val="6703252B"/>
    <w:rsid w:val="67050051"/>
    <w:rsid w:val="67053426"/>
    <w:rsid w:val="67095D94"/>
    <w:rsid w:val="670A1B0C"/>
    <w:rsid w:val="670A3A9C"/>
    <w:rsid w:val="670C4A97"/>
    <w:rsid w:val="670E32C8"/>
    <w:rsid w:val="670E33AA"/>
    <w:rsid w:val="670F2C7E"/>
    <w:rsid w:val="671169F6"/>
    <w:rsid w:val="6712451C"/>
    <w:rsid w:val="6713087B"/>
    <w:rsid w:val="671309C0"/>
    <w:rsid w:val="67140294"/>
    <w:rsid w:val="6717075E"/>
    <w:rsid w:val="67184229"/>
    <w:rsid w:val="67193AFD"/>
    <w:rsid w:val="671D35ED"/>
    <w:rsid w:val="671E1113"/>
    <w:rsid w:val="671F124A"/>
    <w:rsid w:val="672524A2"/>
    <w:rsid w:val="67281F92"/>
    <w:rsid w:val="672A5D0A"/>
    <w:rsid w:val="672A7AB8"/>
    <w:rsid w:val="672F1572"/>
    <w:rsid w:val="6733460A"/>
    <w:rsid w:val="67334DA0"/>
    <w:rsid w:val="673646AF"/>
    <w:rsid w:val="67397CFB"/>
    <w:rsid w:val="673D2BE3"/>
    <w:rsid w:val="6740552D"/>
    <w:rsid w:val="6744501E"/>
    <w:rsid w:val="67446219"/>
    <w:rsid w:val="674768BC"/>
    <w:rsid w:val="674943E2"/>
    <w:rsid w:val="67497D0B"/>
    <w:rsid w:val="67503596"/>
    <w:rsid w:val="675039C2"/>
    <w:rsid w:val="67513297"/>
    <w:rsid w:val="6753313D"/>
    <w:rsid w:val="67534951"/>
    <w:rsid w:val="675608AD"/>
    <w:rsid w:val="675A65EF"/>
    <w:rsid w:val="675B2875"/>
    <w:rsid w:val="675D60DF"/>
    <w:rsid w:val="675D7E8D"/>
    <w:rsid w:val="675E7762"/>
    <w:rsid w:val="6760172C"/>
    <w:rsid w:val="676034DA"/>
    <w:rsid w:val="676035E0"/>
    <w:rsid w:val="67630CEF"/>
    <w:rsid w:val="6764121C"/>
    <w:rsid w:val="67642FCA"/>
    <w:rsid w:val="67650AF0"/>
    <w:rsid w:val="6765229D"/>
    <w:rsid w:val="67683671"/>
    <w:rsid w:val="67684070"/>
    <w:rsid w:val="67700102"/>
    <w:rsid w:val="677156E7"/>
    <w:rsid w:val="677178B2"/>
    <w:rsid w:val="67727B56"/>
    <w:rsid w:val="67731E47"/>
    <w:rsid w:val="67746C30"/>
    <w:rsid w:val="677A33C6"/>
    <w:rsid w:val="677A5CD6"/>
    <w:rsid w:val="677B0314"/>
    <w:rsid w:val="677B7778"/>
    <w:rsid w:val="677D408C"/>
    <w:rsid w:val="677E1BB2"/>
    <w:rsid w:val="677E60F9"/>
    <w:rsid w:val="677F7E04"/>
    <w:rsid w:val="67834AC4"/>
    <w:rsid w:val="678418BE"/>
    <w:rsid w:val="6784366C"/>
    <w:rsid w:val="678436AC"/>
    <w:rsid w:val="67871415"/>
    <w:rsid w:val="67874F0A"/>
    <w:rsid w:val="67892A30"/>
    <w:rsid w:val="67896ED4"/>
    <w:rsid w:val="678A67A9"/>
    <w:rsid w:val="678B726D"/>
    <w:rsid w:val="679118E5"/>
    <w:rsid w:val="6791606D"/>
    <w:rsid w:val="67931B01"/>
    <w:rsid w:val="67982C74"/>
    <w:rsid w:val="679A4C3E"/>
    <w:rsid w:val="679B01F2"/>
    <w:rsid w:val="679F4002"/>
    <w:rsid w:val="67A41618"/>
    <w:rsid w:val="67A61834"/>
    <w:rsid w:val="67A65B19"/>
    <w:rsid w:val="67A71109"/>
    <w:rsid w:val="67AC671F"/>
    <w:rsid w:val="67AE06E9"/>
    <w:rsid w:val="67B101D9"/>
    <w:rsid w:val="67B51A77"/>
    <w:rsid w:val="67B6134C"/>
    <w:rsid w:val="67B81568"/>
    <w:rsid w:val="67B87403"/>
    <w:rsid w:val="67BB4BB4"/>
    <w:rsid w:val="67BC1058"/>
    <w:rsid w:val="67BF46A4"/>
    <w:rsid w:val="67BF4A1C"/>
    <w:rsid w:val="67C25F42"/>
    <w:rsid w:val="67C577E1"/>
    <w:rsid w:val="67C779FD"/>
    <w:rsid w:val="67CB129B"/>
    <w:rsid w:val="67CC6DC1"/>
    <w:rsid w:val="67CD705D"/>
    <w:rsid w:val="67D0065F"/>
    <w:rsid w:val="67D0240D"/>
    <w:rsid w:val="67D50383"/>
    <w:rsid w:val="67D5211A"/>
    <w:rsid w:val="67DA14DE"/>
    <w:rsid w:val="67DB0DB2"/>
    <w:rsid w:val="67DE7AB7"/>
    <w:rsid w:val="67DF08A2"/>
    <w:rsid w:val="67E4410B"/>
    <w:rsid w:val="67E67E83"/>
    <w:rsid w:val="67E83794"/>
    <w:rsid w:val="67E91721"/>
    <w:rsid w:val="67EB5499"/>
    <w:rsid w:val="67EC080C"/>
    <w:rsid w:val="67ED11DA"/>
    <w:rsid w:val="67ED7463"/>
    <w:rsid w:val="67F10FEB"/>
    <w:rsid w:val="67F24A7A"/>
    <w:rsid w:val="67F307F2"/>
    <w:rsid w:val="67F56318"/>
    <w:rsid w:val="67F7371C"/>
    <w:rsid w:val="67F971AD"/>
    <w:rsid w:val="67FC3439"/>
    <w:rsid w:val="67FF0F45"/>
    <w:rsid w:val="68015F0F"/>
    <w:rsid w:val="6801691D"/>
    <w:rsid w:val="68016A6B"/>
    <w:rsid w:val="6802082F"/>
    <w:rsid w:val="68024591"/>
    <w:rsid w:val="68030A35"/>
    <w:rsid w:val="68060525"/>
    <w:rsid w:val="68064081"/>
    <w:rsid w:val="68091DC3"/>
    <w:rsid w:val="68093B71"/>
    <w:rsid w:val="680A2AEA"/>
    <w:rsid w:val="680B78E9"/>
    <w:rsid w:val="68103152"/>
    <w:rsid w:val="6813679E"/>
    <w:rsid w:val="68150768"/>
    <w:rsid w:val="681542C4"/>
    <w:rsid w:val="6817003C"/>
    <w:rsid w:val="68182006"/>
    <w:rsid w:val="681A7B2C"/>
    <w:rsid w:val="681B1687"/>
    <w:rsid w:val="681C38A5"/>
    <w:rsid w:val="681F6961"/>
    <w:rsid w:val="68212C69"/>
    <w:rsid w:val="68263B33"/>
    <w:rsid w:val="68282249"/>
    <w:rsid w:val="68295FC1"/>
    <w:rsid w:val="68297D70"/>
    <w:rsid w:val="682D3D04"/>
    <w:rsid w:val="682E590A"/>
    <w:rsid w:val="683055A2"/>
    <w:rsid w:val="68306862"/>
    <w:rsid w:val="68324E76"/>
    <w:rsid w:val="683536BE"/>
    <w:rsid w:val="68354966"/>
    <w:rsid w:val="68376930"/>
    <w:rsid w:val="683926A8"/>
    <w:rsid w:val="68394457"/>
    <w:rsid w:val="683A1F7D"/>
    <w:rsid w:val="683B7691"/>
    <w:rsid w:val="683C5CF5"/>
    <w:rsid w:val="683F57E5"/>
    <w:rsid w:val="68464DC5"/>
    <w:rsid w:val="68476448"/>
    <w:rsid w:val="684828EC"/>
    <w:rsid w:val="6848469A"/>
    <w:rsid w:val="684B418A"/>
    <w:rsid w:val="684D3A5E"/>
    <w:rsid w:val="684D7F02"/>
    <w:rsid w:val="684F6E36"/>
    <w:rsid w:val="685079F2"/>
    <w:rsid w:val="68520577"/>
    <w:rsid w:val="68550B65"/>
    <w:rsid w:val="685748DD"/>
    <w:rsid w:val="685968A7"/>
    <w:rsid w:val="685E5C6B"/>
    <w:rsid w:val="68610A2F"/>
    <w:rsid w:val="6864130D"/>
    <w:rsid w:val="68680898"/>
    <w:rsid w:val="686B65DA"/>
    <w:rsid w:val="686D4100"/>
    <w:rsid w:val="6874548F"/>
    <w:rsid w:val="68752FB5"/>
    <w:rsid w:val="687F5BE1"/>
    <w:rsid w:val="68805514"/>
    <w:rsid w:val="6882401D"/>
    <w:rsid w:val="68872F66"/>
    <w:rsid w:val="6888024C"/>
    <w:rsid w:val="688D4A3F"/>
    <w:rsid w:val="688F22C8"/>
    <w:rsid w:val="68906041"/>
    <w:rsid w:val="6893483C"/>
    <w:rsid w:val="68955405"/>
    <w:rsid w:val="689B6EBF"/>
    <w:rsid w:val="689E69AF"/>
    <w:rsid w:val="689F0032"/>
    <w:rsid w:val="68A1024E"/>
    <w:rsid w:val="68A11FFC"/>
    <w:rsid w:val="68A90A0A"/>
    <w:rsid w:val="68AA5354"/>
    <w:rsid w:val="68AB4C36"/>
    <w:rsid w:val="68AB69D7"/>
    <w:rsid w:val="68B22234"/>
    <w:rsid w:val="68B24209"/>
    <w:rsid w:val="68B44968"/>
    <w:rsid w:val="68B57855"/>
    <w:rsid w:val="68B63CF9"/>
    <w:rsid w:val="68B65AA7"/>
    <w:rsid w:val="68B910F3"/>
    <w:rsid w:val="68B97536"/>
    <w:rsid w:val="68BC0BE4"/>
    <w:rsid w:val="68C331B9"/>
    <w:rsid w:val="68C33D20"/>
    <w:rsid w:val="68C41A78"/>
    <w:rsid w:val="68C53F3C"/>
    <w:rsid w:val="68CA50AF"/>
    <w:rsid w:val="68CB0E27"/>
    <w:rsid w:val="68CC52CB"/>
    <w:rsid w:val="68D26659"/>
    <w:rsid w:val="68D423D1"/>
    <w:rsid w:val="68D4417F"/>
    <w:rsid w:val="68D45F2D"/>
    <w:rsid w:val="68D73C6F"/>
    <w:rsid w:val="68D93544"/>
    <w:rsid w:val="68DB550E"/>
    <w:rsid w:val="68DD74D8"/>
    <w:rsid w:val="68DE0B5A"/>
    <w:rsid w:val="68DE4FFE"/>
    <w:rsid w:val="68DE51F0"/>
    <w:rsid w:val="68DE6DAC"/>
    <w:rsid w:val="68E1689C"/>
    <w:rsid w:val="68E5638C"/>
    <w:rsid w:val="68E65C61"/>
    <w:rsid w:val="68E67B57"/>
    <w:rsid w:val="68E85E7D"/>
    <w:rsid w:val="68EA5751"/>
    <w:rsid w:val="68EF2D67"/>
    <w:rsid w:val="68EF39C7"/>
    <w:rsid w:val="68F0088D"/>
    <w:rsid w:val="68F640F6"/>
    <w:rsid w:val="68F77E6E"/>
    <w:rsid w:val="6901315B"/>
    <w:rsid w:val="690305C1"/>
    <w:rsid w:val="6905258B"/>
    <w:rsid w:val="69061253"/>
    <w:rsid w:val="690A5DF3"/>
    <w:rsid w:val="690B56C7"/>
    <w:rsid w:val="69146C72"/>
    <w:rsid w:val="691602F4"/>
    <w:rsid w:val="691722BE"/>
    <w:rsid w:val="69173E83"/>
    <w:rsid w:val="6919323E"/>
    <w:rsid w:val="691B1DAE"/>
    <w:rsid w:val="691C4781"/>
    <w:rsid w:val="691C78D4"/>
    <w:rsid w:val="691D5B26"/>
    <w:rsid w:val="691E364C"/>
    <w:rsid w:val="691E53FA"/>
    <w:rsid w:val="691F7D1D"/>
    <w:rsid w:val="692073C4"/>
    <w:rsid w:val="6922138F"/>
    <w:rsid w:val="6922313D"/>
    <w:rsid w:val="69232A11"/>
    <w:rsid w:val="69252C2D"/>
    <w:rsid w:val="692559FE"/>
    <w:rsid w:val="69270753"/>
    <w:rsid w:val="692769A5"/>
    <w:rsid w:val="692C1198"/>
    <w:rsid w:val="692C3FBB"/>
    <w:rsid w:val="692C4A1B"/>
    <w:rsid w:val="692C7858"/>
    <w:rsid w:val="692D1AE1"/>
    <w:rsid w:val="692F13B6"/>
    <w:rsid w:val="693115D2"/>
    <w:rsid w:val="69313380"/>
    <w:rsid w:val="69316E2F"/>
    <w:rsid w:val="6933534A"/>
    <w:rsid w:val="693469CC"/>
    <w:rsid w:val="69356FC7"/>
    <w:rsid w:val="69362744"/>
    <w:rsid w:val="69366BE8"/>
    <w:rsid w:val="69382960"/>
    <w:rsid w:val="693904AE"/>
    <w:rsid w:val="693A5F2F"/>
    <w:rsid w:val="693B5FAC"/>
    <w:rsid w:val="693D7F76"/>
    <w:rsid w:val="693F23B7"/>
    <w:rsid w:val="69401815"/>
    <w:rsid w:val="694244E2"/>
    <w:rsid w:val="69470DF5"/>
    <w:rsid w:val="694841AF"/>
    <w:rsid w:val="6949691B"/>
    <w:rsid w:val="694A61EF"/>
    <w:rsid w:val="694C01BA"/>
    <w:rsid w:val="694E2071"/>
    <w:rsid w:val="694F2063"/>
    <w:rsid w:val="695232F6"/>
    <w:rsid w:val="6954706E"/>
    <w:rsid w:val="695928D6"/>
    <w:rsid w:val="69594684"/>
    <w:rsid w:val="695B21AB"/>
    <w:rsid w:val="695D5F23"/>
    <w:rsid w:val="695D6686"/>
    <w:rsid w:val="695E1C9B"/>
    <w:rsid w:val="69603C65"/>
    <w:rsid w:val="69635503"/>
    <w:rsid w:val="69670B4F"/>
    <w:rsid w:val="69670BC7"/>
    <w:rsid w:val="696848C8"/>
    <w:rsid w:val="69692B1A"/>
    <w:rsid w:val="696A0640"/>
    <w:rsid w:val="696B783B"/>
    <w:rsid w:val="696C260A"/>
    <w:rsid w:val="696F20FA"/>
    <w:rsid w:val="696F4C2B"/>
    <w:rsid w:val="697119CE"/>
    <w:rsid w:val="69717C20"/>
    <w:rsid w:val="697459BD"/>
    <w:rsid w:val="69764775"/>
    <w:rsid w:val="69766163"/>
    <w:rsid w:val="697A3B33"/>
    <w:rsid w:val="697D4817"/>
    <w:rsid w:val="69872FA0"/>
    <w:rsid w:val="698A0CE2"/>
    <w:rsid w:val="6990454A"/>
    <w:rsid w:val="69944010"/>
    <w:rsid w:val="699456BD"/>
    <w:rsid w:val="69966649"/>
    <w:rsid w:val="69987E99"/>
    <w:rsid w:val="699B2EEF"/>
    <w:rsid w:val="699D0A15"/>
    <w:rsid w:val="699D27C3"/>
    <w:rsid w:val="699E02E9"/>
    <w:rsid w:val="69A00505"/>
    <w:rsid w:val="69A200AE"/>
    <w:rsid w:val="69A41DA4"/>
    <w:rsid w:val="69A71894"/>
    <w:rsid w:val="69A73642"/>
    <w:rsid w:val="69A7779B"/>
    <w:rsid w:val="69AD360D"/>
    <w:rsid w:val="69AE2C22"/>
    <w:rsid w:val="69B55D5F"/>
    <w:rsid w:val="69B67D29"/>
    <w:rsid w:val="69B745FF"/>
    <w:rsid w:val="69B813AB"/>
    <w:rsid w:val="69BA02A2"/>
    <w:rsid w:val="69BA15C7"/>
    <w:rsid w:val="69BB0E9B"/>
    <w:rsid w:val="69BB70ED"/>
    <w:rsid w:val="69BD10B7"/>
    <w:rsid w:val="69BD2E65"/>
    <w:rsid w:val="69BE1D93"/>
    <w:rsid w:val="69BF098B"/>
    <w:rsid w:val="69C02956"/>
    <w:rsid w:val="69C266CE"/>
    <w:rsid w:val="69C40A40"/>
    <w:rsid w:val="69C53915"/>
    <w:rsid w:val="69C53A5B"/>
    <w:rsid w:val="69C53AC8"/>
    <w:rsid w:val="69CC30A8"/>
    <w:rsid w:val="69D02B99"/>
    <w:rsid w:val="69D41F5D"/>
    <w:rsid w:val="69D44760"/>
    <w:rsid w:val="69D87C9F"/>
    <w:rsid w:val="69DD52B6"/>
    <w:rsid w:val="69E06B54"/>
    <w:rsid w:val="69E161EB"/>
    <w:rsid w:val="69E46644"/>
    <w:rsid w:val="69E5416A"/>
    <w:rsid w:val="69E93C5A"/>
    <w:rsid w:val="69EF1796"/>
    <w:rsid w:val="69F34AD9"/>
    <w:rsid w:val="69F525FF"/>
    <w:rsid w:val="69FA7C16"/>
    <w:rsid w:val="69FE14F0"/>
    <w:rsid w:val="69FF1774"/>
    <w:rsid w:val="69FF6FDA"/>
    <w:rsid w:val="6A070584"/>
    <w:rsid w:val="6A072332"/>
    <w:rsid w:val="6A0E36C1"/>
    <w:rsid w:val="6A1011E7"/>
    <w:rsid w:val="6A184540"/>
    <w:rsid w:val="6A1D56B2"/>
    <w:rsid w:val="6A246A40"/>
    <w:rsid w:val="6A274783"/>
    <w:rsid w:val="6A2829D5"/>
    <w:rsid w:val="6A2904FB"/>
    <w:rsid w:val="6A2B4273"/>
    <w:rsid w:val="6A2C0791"/>
    <w:rsid w:val="6A2C3362"/>
    <w:rsid w:val="6A2E3D63"/>
    <w:rsid w:val="6A301889"/>
    <w:rsid w:val="6A327325"/>
    <w:rsid w:val="6A342EDC"/>
    <w:rsid w:val="6A356EA0"/>
    <w:rsid w:val="6A366FE5"/>
    <w:rsid w:val="6A3A44B6"/>
    <w:rsid w:val="6A3B3D8A"/>
    <w:rsid w:val="6A4415E9"/>
    <w:rsid w:val="6A445335"/>
    <w:rsid w:val="6A477F6A"/>
    <w:rsid w:val="6A49294B"/>
    <w:rsid w:val="6A4D3DDC"/>
    <w:rsid w:val="6A4E61B3"/>
    <w:rsid w:val="6A5103A2"/>
    <w:rsid w:val="6A520EC7"/>
    <w:rsid w:val="6A527A52"/>
    <w:rsid w:val="6A5410DE"/>
    <w:rsid w:val="6A5512F0"/>
    <w:rsid w:val="6A55256E"/>
    <w:rsid w:val="6A55309E"/>
    <w:rsid w:val="6A554E4C"/>
    <w:rsid w:val="6A570BC4"/>
    <w:rsid w:val="6A5C267E"/>
    <w:rsid w:val="6A5E57EF"/>
    <w:rsid w:val="6A600757"/>
    <w:rsid w:val="6A6200E9"/>
    <w:rsid w:val="6A661DB2"/>
    <w:rsid w:val="6A674B7F"/>
    <w:rsid w:val="6A687275"/>
    <w:rsid w:val="6A6908F7"/>
    <w:rsid w:val="6A6D03E7"/>
    <w:rsid w:val="6A6F45A5"/>
    <w:rsid w:val="6A7052DA"/>
    <w:rsid w:val="6A70612A"/>
    <w:rsid w:val="6A731776"/>
    <w:rsid w:val="6A752FE8"/>
    <w:rsid w:val="6A75729C"/>
    <w:rsid w:val="6A7A213F"/>
    <w:rsid w:val="6A7B3353"/>
    <w:rsid w:val="6A7B46F3"/>
    <w:rsid w:val="6A7B723E"/>
    <w:rsid w:val="6A7C4ACE"/>
    <w:rsid w:val="6A815C41"/>
    <w:rsid w:val="6A837C0B"/>
    <w:rsid w:val="6A8676FB"/>
    <w:rsid w:val="6A870077"/>
    <w:rsid w:val="6A920310"/>
    <w:rsid w:val="6A94006A"/>
    <w:rsid w:val="6A9516EC"/>
    <w:rsid w:val="6A955B90"/>
    <w:rsid w:val="6A984C41"/>
    <w:rsid w:val="6A995680"/>
    <w:rsid w:val="6A9C2A7B"/>
    <w:rsid w:val="6A9E4A45"/>
    <w:rsid w:val="6AA162E3"/>
    <w:rsid w:val="6AA47B81"/>
    <w:rsid w:val="6AA60986"/>
    <w:rsid w:val="6AA61E16"/>
    <w:rsid w:val="6AA81420"/>
    <w:rsid w:val="6AA933EA"/>
    <w:rsid w:val="6AA95198"/>
    <w:rsid w:val="6AAA2146"/>
    <w:rsid w:val="6AAD4C88"/>
    <w:rsid w:val="6AAF0A00"/>
    <w:rsid w:val="6AAF6C52"/>
    <w:rsid w:val="6AB06526"/>
    <w:rsid w:val="6AB846BB"/>
    <w:rsid w:val="6AB9362D"/>
    <w:rsid w:val="6ABB660F"/>
    <w:rsid w:val="6ABC577D"/>
    <w:rsid w:val="6ABE0C43"/>
    <w:rsid w:val="6ABF6769"/>
    <w:rsid w:val="6AC02C0D"/>
    <w:rsid w:val="6AC87CC0"/>
    <w:rsid w:val="6AC975E8"/>
    <w:rsid w:val="6ACB3360"/>
    <w:rsid w:val="6ACD0E86"/>
    <w:rsid w:val="6ACD532A"/>
    <w:rsid w:val="6ACE4BFE"/>
    <w:rsid w:val="6AD541DF"/>
    <w:rsid w:val="6AD62431"/>
    <w:rsid w:val="6AD761A9"/>
    <w:rsid w:val="6AD820D3"/>
    <w:rsid w:val="6AD95A7D"/>
    <w:rsid w:val="6ADA17F5"/>
    <w:rsid w:val="6ADC37BF"/>
    <w:rsid w:val="6ADE7537"/>
    <w:rsid w:val="6ADF0BB9"/>
    <w:rsid w:val="6AE02197"/>
    <w:rsid w:val="6AE12B83"/>
    <w:rsid w:val="6AE16007"/>
    <w:rsid w:val="6AE461D0"/>
    <w:rsid w:val="6AE85CC0"/>
    <w:rsid w:val="6AEA5EDC"/>
    <w:rsid w:val="6AEA7C8A"/>
    <w:rsid w:val="6AEC2279"/>
    <w:rsid w:val="6AEF52A0"/>
    <w:rsid w:val="6AF208ED"/>
    <w:rsid w:val="6AF403FB"/>
    <w:rsid w:val="6AF503DD"/>
    <w:rsid w:val="6AF830B1"/>
    <w:rsid w:val="6AF87E20"/>
    <w:rsid w:val="6AF94B87"/>
    <w:rsid w:val="6AFE1987"/>
    <w:rsid w:val="6AFF61FD"/>
    <w:rsid w:val="6B013226"/>
    <w:rsid w:val="6B016D82"/>
    <w:rsid w:val="6B040620"/>
    <w:rsid w:val="6B064398"/>
    <w:rsid w:val="6B07083C"/>
    <w:rsid w:val="6B0845B4"/>
    <w:rsid w:val="6B0A3E88"/>
    <w:rsid w:val="6B0B2A54"/>
    <w:rsid w:val="6B0C5E52"/>
    <w:rsid w:val="6B1139A5"/>
    <w:rsid w:val="6B142F59"/>
    <w:rsid w:val="6B146AB5"/>
    <w:rsid w:val="6B170353"/>
    <w:rsid w:val="6B1D005F"/>
    <w:rsid w:val="6B1E5B86"/>
    <w:rsid w:val="6B1F7E37"/>
    <w:rsid w:val="6B2111D2"/>
    <w:rsid w:val="6B21130D"/>
    <w:rsid w:val="6B217424"/>
    <w:rsid w:val="6B261B6A"/>
    <w:rsid w:val="6B282560"/>
    <w:rsid w:val="6B285452"/>
    <w:rsid w:val="6B2A277C"/>
    <w:rsid w:val="6B2B3DFF"/>
    <w:rsid w:val="6B2C02A3"/>
    <w:rsid w:val="6B2C2051"/>
    <w:rsid w:val="6B2E02FC"/>
    <w:rsid w:val="6B2F1B41"/>
    <w:rsid w:val="6B2F7D93"/>
    <w:rsid w:val="6B316C7D"/>
    <w:rsid w:val="6B322639"/>
    <w:rsid w:val="6B39476E"/>
    <w:rsid w:val="6B3B04E6"/>
    <w:rsid w:val="6B3E1D84"/>
    <w:rsid w:val="6B403D4E"/>
    <w:rsid w:val="6B4078AA"/>
    <w:rsid w:val="6B413622"/>
    <w:rsid w:val="6B460BBB"/>
    <w:rsid w:val="6B460C38"/>
    <w:rsid w:val="6B494F04"/>
    <w:rsid w:val="6B4C26F3"/>
    <w:rsid w:val="6B4C44A1"/>
    <w:rsid w:val="6B4D0219"/>
    <w:rsid w:val="6B4D1FC7"/>
    <w:rsid w:val="6B4E599A"/>
    <w:rsid w:val="6B4F21E3"/>
    <w:rsid w:val="6B511AB7"/>
    <w:rsid w:val="6B517D09"/>
    <w:rsid w:val="6B5275DD"/>
    <w:rsid w:val="6B560E7C"/>
    <w:rsid w:val="6B574BF4"/>
    <w:rsid w:val="6B581098"/>
    <w:rsid w:val="6B5F343C"/>
    <w:rsid w:val="6B680BAF"/>
    <w:rsid w:val="6B6A6E0E"/>
    <w:rsid w:val="6B6C069F"/>
    <w:rsid w:val="6B6C4B43"/>
    <w:rsid w:val="6B6D4417"/>
    <w:rsid w:val="6B715CB5"/>
    <w:rsid w:val="6B730158"/>
    <w:rsid w:val="6B7403D7"/>
    <w:rsid w:val="6B785296"/>
    <w:rsid w:val="6B79100E"/>
    <w:rsid w:val="6B7B6B34"/>
    <w:rsid w:val="6B7E6624"/>
    <w:rsid w:val="6B823960"/>
    <w:rsid w:val="6B8277FF"/>
    <w:rsid w:val="6B833C3B"/>
    <w:rsid w:val="6B87197D"/>
    <w:rsid w:val="6B8974A3"/>
    <w:rsid w:val="6B8D2F01"/>
    <w:rsid w:val="6B8E4AB9"/>
    <w:rsid w:val="6B8F0831"/>
    <w:rsid w:val="6B8F17BE"/>
    <w:rsid w:val="6B8F25DF"/>
    <w:rsid w:val="6B924B8A"/>
    <w:rsid w:val="6B924C11"/>
    <w:rsid w:val="6B92775B"/>
    <w:rsid w:val="6B947BF6"/>
    <w:rsid w:val="6B96571C"/>
    <w:rsid w:val="6B981494"/>
    <w:rsid w:val="6B985938"/>
    <w:rsid w:val="6B9D2F4E"/>
    <w:rsid w:val="6B9D6AAA"/>
    <w:rsid w:val="6BA77929"/>
    <w:rsid w:val="6BAA7E5B"/>
    <w:rsid w:val="6BAE6F0A"/>
    <w:rsid w:val="6BB34F40"/>
    <w:rsid w:val="6BB40298"/>
    <w:rsid w:val="6BB43DF4"/>
    <w:rsid w:val="6BB9765C"/>
    <w:rsid w:val="6BBB5183"/>
    <w:rsid w:val="6BBD714D"/>
    <w:rsid w:val="6BBF6F53"/>
    <w:rsid w:val="6BC31087"/>
    <w:rsid w:val="6BC73B27"/>
    <w:rsid w:val="6BCA74BB"/>
    <w:rsid w:val="6BCE2E4D"/>
    <w:rsid w:val="6BCF6E80"/>
    <w:rsid w:val="6BD46244"/>
    <w:rsid w:val="6BD5497A"/>
    <w:rsid w:val="6BD66460"/>
    <w:rsid w:val="6BD9385B"/>
    <w:rsid w:val="6BDD7E78"/>
    <w:rsid w:val="6BE26BB3"/>
    <w:rsid w:val="6BE446D9"/>
    <w:rsid w:val="6BE50451"/>
    <w:rsid w:val="6BE648F5"/>
    <w:rsid w:val="6BEB1F0C"/>
    <w:rsid w:val="6BF15048"/>
    <w:rsid w:val="6BF84629"/>
    <w:rsid w:val="6BFE44B9"/>
    <w:rsid w:val="6C027255"/>
    <w:rsid w:val="6C0321DC"/>
    <w:rsid w:val="6C04283C"/>
    <w:rsid w:val="6C063BC5"/>
    <w:rsid w:val="6C066D46"/>
    <w:rsid w:val="6C0B435C"/>
    <w:rsid w:val="6C0E5BFA"/>
    <w:rsid w:val="6C117498"/>
    <w:rsid w:val="6C1449A1"/>
    <w:rsid w:val="6C180827"/>
    <w:rsid w:val="6C1825D5"/>
    <w:rsid w:val="6C1C3FFB"/>
    <w:rsid w:val="6C1D408F"/>
    <w:rsid w:val="6C1D4A1F"/>
    <w:rsid w:val="6C1F6EE3"/>
    <w:rsid w:val="6C2076DB"/>
    <w:rsid w:val="6C270A6A"/>
    <w:rsid w:val="6C276CBC"/>
    <w:rsid w:val="6C2947E2"/>
    <w:rsid w:val="6C2C42D2"/>
    <w:rsid w:val="6C2C7E2E"/>
    <w:rsid w:val="6C2E004A"/>
    <w:rsid w:val="6C2F0BC6"/>
    <w:rsid w:val="6C313EC9"/>
    <w:rsid w:val="6C315445"/>
    <w:rsid w:val="6C36371A"/>
    <w:rsid w:val="6C3867D3"/>
    <w:rsid w:val="6C3A079D"/>
    <w:rsid w:val="6C3D64DF"/>
    <w:rsid w:val="6C3F7B62"/>
    <w:rsid w:val="6C411B2C"/>
    <w:rsid w:val="6C4369B9"/>
    <w:rsid w:val="6C44161C"/>
    <w:rsid w:val="6C4433CA"/>
    <w:rsid w:val="6C445178"/>
    <w:rsid w:val="6C4C227F"/>
    <w:rsid w:val="6C4D6722"/>
    <w:rsid w:val="6C4E4249"/>
    <w:rsid w:val="6C500A40"/>
    <w:rsid w:val="6C535DD2"/>
    <w:rsid w:val="6C537AB1"/>
    <w:rsid w:val="6C564753"/>
    <w:rsid w:val="6C570CD4"/>
    <w:rsid w:val="6C5775A1"/>
    <w:rsid w:val="6C585E4D"/>
    <w:rsid w:val="6C5A0E3F"/>
    <w:rsid w:val="6C5D448C"/>
    <w:rsid w:val="6C5F0204"/>
    <w:rsid w:val="6C5F6456"/>
    <w:rsid w:val="6C636C38"/>
    <w:rsid w:val="6C64581A"/>
    <w:rsid w:val="6C661592"/>
    <w:rsid w:val="6C6973EC"/>
    <w:rsid w:val="6C6E48EB"/>
    <w:rsid w:val="6C7041BF"/>
    <w:rsid w:val="6C726189"/>
    <w:rsid w:val="6C755C79"/>
    <w:rsid w:val="6C786381"/>
    <w:rsid w:val="6C7C5CBA"/>
    <w:rsid w:val="6C7F2654"/>
    <w:rsid w:val="6C7F4402"/>
    <w:rsid w:val="6C81461E"/>
    <w:rsid w:val="6C8163CC"/>
    <w:rsid w:val="6C823EF2"/>
    <w:rsid w:val="6C845EBC"/>
    <w:rsid w:val="6C87570F"/>
    <w:rsid w:val="6C88775B"/>
    <w:rsid w:val="6C8934D3"/>
    <w:rsid w:val="6C8F1D13"/>
    <w:rsid w:val="6C97174C"/>
    <w:rsid w:val="6C983716"/>
    <w:rsid w:val="6C9A123C"/>
    <w:rsid w:val="6C9A56E0"/>
    <w:rsid w:val="6C9A748E"/>
    <w:rsid w:val="6C9C075E"/>
    <w:rsid w:val="6CA125CA"/>
    <w:rsid w:val="6CA34594"/>
    <w:rsid w:val="6CA5747E"/>
    <w:rsid w:val="6CA81BAB"/>
    <w:rsid w:val="6CAB169B"/>
    <w:rsid w:val="6CAD5413"/>
    <w:rsid w:val="6CAE2F39"/>
    <w:rsid w:val="6CB06D3E"/>
    <w:rsid w:val="6CB167EE"/>
    <w:rsid w:val="6CB467A2"/>
    <w:rsid w:val="6CB5251A"/>
    <w:rsid w:val="6CBA0FE1"/>
    <w:rsid w:val="6CBA18DE"/>
    <w:rsid w:val="6CBA7B30"/>
    <w:rsid w:val="6CBC7404"/>
    <w:rsid w:val="6CBF6EF4"/>
    <w:rsid w:val="6CC369E5"/>
    <w:rsid w:val="6CCB5899"/>
    <w:rsid w:val="6CCC5E0B"/>
    <w:rsid w:val="6CCD1611"/>
    <w:rsid w:val="6CCE0EE6"/>
    <w:rsid w:val="6CD32BA5"/>
    <w:rsid w:val="6CD35796"/>
    <w:rsid w:val="6CD429A0"/>
    <w:rsid w:val="6CD9456A"/>
    <w:rsid w:val="6CDB1F80"/>
    <w:rsid w:val="6CDC6F8F"/>
    <w:rsid w:val="6CDC7AA6"/>
    <w:rsid w:val="6CE150BD"/>
    <w:rsid w:val="6CE2561C"/>
    <w:rsid w:val="6CE34737"/>
    <w:rsid w:val="6CE54BAD"/>
    <w:rsid w:val="6CE7542D"/>
    <w:rsid w:val="6CE8261A"/>
    <w:rsid w:val="6CE93F71"/>
    <w:rsid w:val="6CEB1A97"/>
    <w:rsid w:val="6CEB7CE9"/>
    <w:rsid w:val="6CF07C20"/>
    <w:rsid w:val="6CFA1CDB"/>
    <w:rsid w:val="6CFB66E1"/>
    <w:rsid w:val="6D0019E7"/>
    <w:rsid w:val="6D0022E6"/>
    <w:rsid w:val="6D022035"/>
    <w:rsid w:val="6D03534A"/>
    <w:rsid w:val="6D042B59"/>
    <w:rsid w:val="6D056FFD"/>
    <w:rsid w:val="6D08089B"/>
    <w:rsid w:val="6D0A4613"/>
    <w:rsid w:val="6D0B3EE8"/>
    <w:rsid w:val="6D0D4104"/>
    <w:rsid w:val="6D0F39D8"/>
    <w:rsid w:val="6D0F4D11"/>
    <w:rsid w:val="6D122FBA"/>
    <w:rsid w:val="6D154D66"/>
    <w:rsid w:val="6D1A412B"/>
    <w:rsid w:val="6D1C4347"/>
    <w:rsid w:val="6D1C7EA3"/>
    <w:rsid w:val="6D1D4911"/>
    <w:rsid w:val="6D231231"/>
    <w:rsid w:val="6D262AD0"/>
    <w:rsid w:val="6D286848"/>
    <w:rsid w:val="6D2C27DC"/>
    <w:rsid w:val="6D323B6A"/>
    <w:rsid w:val="6D341690"/>
    <w:rsid w:val="6D3722AC"/>
    <w:rsid w:val="6D386416"/>
    <w:rsid w:val="6D394241"/>
    <w:rsid w:val="6D3B5B01"/>
    <w:rsid w:val="6D3E42BD"/>
    <w:rsid w:val="6D400035"/>
    <w:rsid w:val="6D415B5B"/>
    <w:rsid w:val="6D4C4C2C"/>
    <w:rsid w:val="6D4F320D"/>
    <w:rsid w:val="6D527D69"/>
    <w:rsid w:val="6D543AE1"/>
    <w:rsid w:val="6D561607"/>
    <w:rsid w:val="6D57025E"/>
    <w:rsid w:val="6D5910F7"/>
    <w:rsid w:val="6D594C53"/>
    <w:rsid w:val="6D596CF4"/>
    <w:rsid w:val="6D5A6BDF"/>
    <w:rsid w:val="6D5B09CB"/>
    <w:rsid w:val="6D5E2269"/>
    <w:rsid w:val="6D602A51"/>
    <w:rsid w:val="6D617FAC"/>
    <w:rsid w:val="6D65184A"/>
    <w:rsid w:val="6D68150D"/>
    <w:rsid w:val="6D6A6E60"/>
    <w:rsid w:val="6D7101EF"/>
    <w:rsid w:val="6D714693"/>
    <w:rsid w:val="6D7221B9"/>
    <w:rsid w:val="6D7917A7"/>
    <w:rsid w:val="6D7952F5"/>
    <w:rsid w:val="6D7B44F7"/>
    <w:rsid w:val="6D824A42"/>
    <w:rsid w:val="6D824B65"/>
    <w:rsid w:val="6D837514"/>
    <w:rsid w:val="6D8532DC"/>
    <w:rsid w:val="6D872583"/>
    <w:rsid w:val="6D8819DC"/>
    <w:rsid w:val="6D8A7502"/>
    <w:rsid w:val="6D8D7674"/>
    <w:rsid w:val="6D8E6FF3"/>
    <w:rsid w:val="6D920165"/>
    <w:rsid w:val="6D9263B7"/>
    <w:rsid w:val="6D9A2DB3"/>
    <w:rsid w:val="6D9B526C"/>
    <w:rsid w:val="6D9C0FE4"/>
    <w:rsid w:val="6D9E65C6"/>
    <w:rsid w:val="6DA02882"/>
    <w:rsid w:val="6DA06D26"/>
    <w:rsid w:val="6DA305C4"/>
    <w:rsid w:val="6DA34120"/>
    <w:rsid w:val="6DA51185"/>
    <w:rsid w:val="6DA71E62"/>
    <w:rsid w:val="6DA97B06"/>
    <w:rsid w:val="6DAA3701"/>
    <w:rsid w:val="6DB30807"/>
    <w:rsid w:val="6DB34098"/>
    <w:rsid w:val="6DB46109"/>
    <w:rsid w:val="6DB462E4"/>
    <w:rsid w:val="6DB545B6"/>
    <w:rsid w:val="6DB55CAD"/>
    <w:rsid w:val="6DB8406F"/>
    <w:rsid w:val="6DB91B96"/>
    <w:rsid w:val="6DB93944"/>
    <w:rsid w:val="6DB97DE8"/>
    <w:rsid w:val="6DC5678C"/>
    <w:rsid w:val="6DC81DD9"/>
    <w:rsid w:val="6DC9002B"/>
    <w:rsid w:val="6DC9627D"/>
    <w:rsid w:val="6DCC7B1B"/>
    <w:rsid w:val="6DD24D22"/>
    <w:rsid w:val="6DD32C57"/>
    <w:rsid w:val="6DD662A4"/>
    <w:rsid w:val="6DD8201C"/>
    <w:rsid w:val="6DD93FE6"/>
    <w:rsid w:val="6DDE33AA"/>
    <w:rsid w:val="6DE02FB4"/>
    <w:rsid w:val="6DE05374"/>
    <w:rsid w:val="6DE210EC"/>
    <w:rsid w:val="6DE54739"/>
    <w:rsid w:val="6DE704B1"/>
    <w:rsid w:val="6DEB2489"/>
    <w:rsid w:val="6DEB6B57"/>
    <w:rsid w:val="6DEE7A91"/>
    <w:rsid w:val="6DEF3809"/>
    <w:rsid w:val="6DF130DE"/>
    <w:rsid w:val="6DF42BCE"/>
    <w:rsid w:val="6DF57072"/>
    <w:rsid w:val="6DF8446C"/>
    <w:rsid w:val="6DFA6436"/>
    <w:rsid w:val="6DFB21AE"/>
    <w:rsid w:val="6DFB3F5C"/>
    <w:rsid w:val="6DFD5F26"/>
    <w:rsid w:val="6DFE5D2E"/>
    <w:rsid w:val="6E02353D"/>
    <w:rsid w:val="6E0819B1"/>
    <w:rsid w:val="6E0B0643"/>
    <w:rsid w:val="6E0B4599"/>
    <w:rsid w:val="6E0C2F03"/>
    <w:rsid w:val="6E0E0133"/>
    <w:rsid w:val="6E0E0C26"/>
    <w:rsid w:val="6E146DCC"/>
    <w:rsid w:val="6E162B44"/>
    <w:rsid w:val="6E166FE8"/>
    <w:rsid w:val="6E182D60"/>
    <w:rsid w:val="6E184B0E"/>
    <w:rsid w:val="6E1B45FE"/>
    <w:rsid w:val="6E201C15"/>
    <w:rsid w:val="6E272FA3"/>
    <w:rsid w:val="6E2A60E6"/>
    <w:rsid w:val="6E2D0E2F"/>
    <w:rsid w:val="6E2D169F"/>
    <w:rsid w:val="6E301E58"/>
    <w:rsid w:val="6E313E22"/>
    <w:rsid w:val="6E35746E"/>
    <w:rsid w:val="6E392BA7"/>
    <w:rsid w:val="6E3B07FD"/>
    <w:rsid w:val="6E3B25AB"/>
    <w:rsid w:val="6E3B6A4F"/>
    <w:rsid w:val="6E414065"/>
    <w:rsid w:val="6E423939"/>
    <w:rsid w:val="6E427DDD"/>
    <w:rsid w:val="6E4771A1"/>
    <w:rsid w:val="6E4B4EE4"/>
    <w:rsid w:val="6E4E6782"/>
    <w:rsid w:val="6E4F6D17"/>
    <w:rsid w:val="6E514CED"/>
    <w:rsid w:val="6E540CFB"/>
    <w:rsid w:val="6E573888"/>
    <w:rsid w:val="6E58064A"/>
    <w:rsid w:val="6E5A5127"/>
    <w:rsid w:val="6E5B49FB"/>
    <w:rsid w:val="6E5C256C"/>
    <w:rsid w:val="6E5D69C5"/>
    <w:rsid w:val="6E5F273D"/>
    <w:rsid w:val="6E61112C"/>
    <w:rsid w:val="6E645FA5"/>
    <w:rsid w:val="6E661D1D"/>
    <w:rsid w:val="6E66587A"/>
    <w:rsid w:val="6E6715F2"/>
    <w:rsid w:val="6E677844"/>
    <w:rsid w:val="6E6B10E2"/>
    <w:rsid w:val="6E700D11"/>
    <w:rsid w:val="6E7206C2"/>
    <w:rsid w:val="6E753D0F"/>
    <w:rsid w:val="6E777A87"/>
    <w:rsid w:val="6E7837FF"/>
    <w:rsid w:val="6E7A1325"/>
    <w:rsid w:val="6E7A30D3"/>
    <w:rsid w:val="6E7D7067"/>
    <w:rsid w:val="6E7F4B8D"/>
    <w:rsid w:val="6E7F693B"/>
    <w:rsid w:val="6E82642B"/>
    <w:rsid w:val="6E8421A4"/>
    <w:rsid w:val="6E855956"/>
    <w:rsid w:val="6E8757F0"/>
    <w:rsid w:val="6E896EA8"/>
    <w:rsid w:val="6E8B3532"/>
    <w:rsid w:val="6E8B52E0"/>
    <w:rsid w:val="6E8C2E06"/>
    <w:rsid w:val="6E8E4DD0"/>
    <w:rsid w:val="6E8E6B7E"/>
    <w:rsid w:val="6E91666F"/>
    <w:rsid w:val="6E922385"/>
    <w:rsid w:val="6E930639"/>
    <w:rsid w:val="6E940676"/>
    <w:rsid w:val="6E9879FD"/>
    <w:rsid w:val="6E9E14B7"/>
    <w:rsid w:val="6EA0512F"/>
    <w:rsid w:val="6EA168B2"/>
    <w:rsid w:val="6EA25B6B"/>
    <w:rsid w:val="6EA445F4"/>
    <w:rsid w:val="6EA6036C"/>
    <w:rsid w:val="6EAD16FA"/>
    <w:rsid w:val="6EB02F99"/>
    <w:rsid w:val="6EB563D5"/>
    <w:rsid w:val="6EB56801"/>
    <w:rsid w:val="6EB76C30"/>
    <w:rsid w:val="6EB8009F"/>
    <w:rsid w:val="6EB917AD"/>
    <w:rsid w:val="6EBC7B8F"/>
    <w:rsid w:val="6EBE0D6F"/>
    <w:rsid w:val="6EBF4F8A"/>
    <w:rsid w:val="6EC12E29"/>
    <w:rsid w:val="6EC24A7A"/>
    <w:rsid w:val="6EC265AC"/>
    <w:rsid w:val="6EC32CCC"/>
    <w:rsid w:val="6ECD58F9"/>
    <w:rsid w:val="6ECE68E2"/>
    <w:rsid w:val="6ECF78C3"/>
    <w:rsid w:val="6ED21161"/>
    <w:rsid w:val="6ED24CBD"/>
    <w:rsid w:val="6ED50C51"/>
    <w:rsid w:val="6ED70525"/>
    <w:rsid w:val="6ED76777"/>
    <w:rsid w:val="6ED8429D"/>
    <w:rsid w:val="6ED92677"/>
    <w:rsid w:val="6EDA1DC4"/>
    <w:rsid w:val="6EDF387E"/>
    <w:rsid w:val="6EDF562C"/>
    <w:rsid w:val="6EE36ECA"/>
    <w:rsid w:val="6EE60768"/>
    <w:rsid w:val="6EE80984"/>
    <w:rsid w:val="6EE82732"/>
    <w:rsid w:val="6EEA775A"/>
    <w:rsid w:val="6EEE3AC1"/>
    <w:rsid w:val="6EEE586F"/>
    <w:rsid w:val="6EEF1D13"/>
    <w:rsid w:val="6EF8049C"/>
    <w:rsid w:val="6EFC1923"/>
    <w:rsid w:val="6EFC4430"/>
    <w:rsid w:val="6EFC7F8C"/>
    <w:rsid w:val="6EFF7A7C"/>
    <w:rsid w:val="6F0357BE"/>
    <w:rsid w:val="6F0532E4"/>
    <w:rsid w:val="6F060E0B"/>
    <w:rsid w:val="6F062BB9"/>
    <w:rsid w:val="6F084B83"/>
    <w:rsid w:val="6F0B6421"/>
    <w:rsid w:val="6F0F6AD0"/>
    <w:rsid w:val="6F1057E5"/>
    <w:rsid w:val="6F1277AF"/>
    <w:rsid w:val="6F143527"/>
    <w:rsid w:val="6F1572A0"/>
    <w:rsid w:val="6F172914"/>
    <w:rsid w:val="6F1C062E"/>
    <w:rsid w:val="6F213E96"/>
    <w:rsid w:val="6F221C1D"/>
    <w:rsid w:val="6F225983"/>
    <w:rsid w:val="6F250CF6"/>
    <w:rsid w:val="6F262186"/>
    <w:rsid w:val="6F2861E7"/>
    <w:rsid w:val="6F2968A7"/>
    <w:rsid w:val="6F2C3427"/>
    <w:rsid w:val="6F2D6397"/>
    <w:rsid w:val="6F3516F0"/>
    <w:rsid w:val="6F385CDC"/>
    <w:rsid w:val="6F40431D"/>
    <w:rsid w:val="6F413BF1"/>
    <w:rsid w:val="6F437969"/>
    <w:rsid w:val="6F4B0F13"/>
    <w:rsid w:val="6F4B4A6F"/>
    <w:rsid w:val="6F4D5330"/>
    <w:rsid w:val="6F524050"/>
    <w:rsid w:val="6F54601A"/>
    <w:rsid w:val="6F5558EE"/>
    <w:rsid w:val="6F59718C"/>
    <w:rsid w:val="6F5B73A8"/>
    <w:rsid w:val="6F5C6C7D"/>
    <w:rsid w:val="6F5D32D7"/>
    <w:rsid w:val="6F5D4E25"/>
    <w:rsid w:val="6F5E0C47"/>
    <w:rsid w:val="6F60051B"/>
    <w:rsid w:val="6F60676D"/>
    <w:rsid w:val="6F614293"/>
    <w:rsid w:val="6F655B31"/>
    <w:rsid w:val="6F667618"/>
    <w:rsid w:val="6F683873"/>
    <w:rsid w:val="6F6A1399"/>
    <w:rsid w:val="6F6A3147"/>
    <w:rsid w:val="6F6C3363"/>
    <w:rsid w:val="6F6F69B0"/>
    <w:rsid w:val="6F745D74"/>
    <w:rsid w:val="6F775864"/>
    <w:rsid w:val="6F7A7103"/>
    <w:rsid w:val="6F7B35A7"/>
    <w:rsid w:val="6F7F4719"/>
    <w:rsid w:val="6F806E0F"/>
    <w:rsid w:val="6F814935"/>
    <w:rsid w:val="6F834209"/>
    <w:rsid w:val="6F853E06"/>
    <w:rsid w:val="6F870092"/>
    <w:rsid w:val="6F885CC3"/>
    <w:rsid w:val="6F8D1186"/>
    <w:rsid w:val="6F963F3C"/>
    <w:rsid w:val="6F9924A7"/>
    <w:rsid w:val="6F9B77A5"/>
    <w:rsid w:val="6F9C52CB"/>
    <w:rsid w:val="6FA06B69"/>
    <w:rsid w:val="6FA128E1"/>
    <w:rsid w:val="6FA568B9"/>
    <w:rsid w:val="6FA7439C"/>
    <w:rsid w:val="6FAC7C04"/>
    <w:rsid w:val="6FAF3250"/>
    <w:rsid w:val="6FB40D83"/>
    <w:rsid w:val="6FB46AB9"/>
    <w:rsid w:val="6FB6638D"/>
    <w:rsid w:val="6FB678FF"/>
    <w:rsid w:val="6FBB1BF5"/>
    <w:rsid w:val="6FBB7D0C"/>
    <w:rsid w:val="6FBC4E2F"/>
    <w:rsid w:val="6FBC771B"/>
    <w:rsid w:val="6FC10021"/>
    <w:rsid w:val="6FC14D32"/>
    <w:rsid w:val="6FC30AAA"/>
    <w:rsid w:val="6FC52A74"/>
    <w:rsid w:val="6FC565D0"/>
    <w:rsid w:val="6FC62348"/>
    <w:rsid w:val="6FC860C0"/>
    <w:rsid w:val="6FCA1E38"/>
    <w:rsid w:val="6FCE7B7A"/>
    <w:rsid w:val="6FD111A8"/>
    <w:rsid w:val="6FD66A2F"/>
    <w:rsid w:val="6FD74B0A"/>
    <w:rsid w:val="6FD9651F"/>
    <w:rsid w:val="6FDB2297"/>
    <w:rsid w:val="6FDD5985"/>
    <w:rsid w:val="6FDF37AC"/>
    <w:rsid w:val="6FE0165C"/>
    <w:rsid w:val="6FE0340A"/>
    <w:rsid w:val="6FE23626"/>
    <w:rsid w:val="6FE253D4"/>
    <w:rsid w:val="6FE620CD"/>
    <w:rsid w:val="6FE7486A"/>
    <w:rsid w:val="6FEC0A99"/>
    <w:rsid w:val="6FED5B27"/>
    <w:rsid w:val="6FEF189F"/>
    <w:rsid w:val="6FF3138F"/>
    <w:rsid w:val="6FF944CB"/>
    <w:rsid w:val="6FFC5590"/>
    <w:rsid w:val="6FFE7D34"/>
    <w:rsid w:val="6FFF1655"/>
    <w:rsid w:val="70003AAC"/>
    <w:rsid w:val="70052E70"/>
    <w:rsid w:val="70076BE8"/>
    <w:rsid w:val="700953A5"/>
    <w:rsid w:val="700A405F"/>
    <w:rsid w:val="700B74D8"/>
    <w:rsid w:val="700D5DEC"/>
    <w:rsid w:val="700D7F77"/>
    <w:rsid w:val="700E61C9"/>
    <w:rsid w:val="701778DC"/>
    <w:rsid w:val="70194B6E"/>
    <w:rsid w:val="701A152C"/>
    <w:rsid w:val="701B0935"/>
    <w:rsid w:val="701F74FE"/>
    <w:rsid w:val="7023779A"/>
    <w:rsid w:val="702459EC"/>
    <w:rsid w:val="70253512"/>
    <w:rsid w:val="7027728A"/>
    <w:rsid w:val="70293003"/>
    <w:rsid w:val="702A28D7"/>
    <w:rsid w:val="702C48A1"/>
    <w:rsid w:val="702E686B"/>
    <w:rsid w:val="702F613F"/>
    <w:rsid w:val="7036127C"/>
    <w:rsid w:val="7036571F"/>
    <w:rsid w:val="703B2D36"/>
    <w:rsid w:val="703E6382"/>
    <w:rsid w:val="703F2826"/>
    <w:rsid w:val="703F45D4"/>
    <w:rsid w:val="70441BEA"/>
    <w:rsid w:val="70455963"/>
    <w:rsid w:val="70473489"/>
    <w:rsid w:val="704A2F79"/>
    <w:rsid w:val="704B67CC"/>
    <w:rsid w:val="704D10EC"/>
    <w:rsid w:val="705067E1"/>
    <w:rsid w:val="70514307"/>
    <w:rsid w:val="70524453"/>
    <w:rsid w:val="7053007F"/>
    <w:rsid w:val="7055204A"/>
    <w:rsid w:val="705560D1"/>
    <w:rsid w:val="70585696"/>
    <w:rsid w:val="705A140E"/>
    <w:rsid w:val="705D0EFE"/>
    <w:rsid w:val="705D39B8"/>
    <w:rsid w:val="705D4A5A"/>
    <w:rsid w:val="705F4C76"/>
    <w:rsid w:val="70622071"/>
    <w:rsid w:val="70650EF5"/>
    <w:rsid w:val="70656252"/>
    <w:rsid w:val="70657DB3"/>
    <w:rsid w:val="706C7393"/>
    <w:rsid w:val="706D1DD0"/>
    <w:rsid w:val="70700C31"/>
    <w:rsid w:val="70730722"/>
    <w:rsid w:val="70741DA4"/>
    <w:rsid w:val="70781894"/>
    <w:rsid w:val="70787AE6"/>
    <w:rsid w:val="707A1AB0"/>
    <w:rsid w:val="707B3132"/>
    <w:rsid w:val="707B75D6"/>
    <w:rsid w:val="70803FD4"/>
    <w:rsid w:val="70856B87"/>
    <w:rsid w:val="70857DED"/>
    <w:rsid w:val="70893AA1"/>
    <w:rsid w:val="708C17E3"/>
    <w:rsid w:val="708C4608"/>
    <w:rsid w:val="708E2E66"/>
    <w:rsid w:val="70903082"/>
    <w:rsid w:val="709366CE"/>
    <w:rsid w:val="70952446"/>
    <w:rsid w:val="709541F4"/>
    <w:rsid w:val="70957394"/>
    <w:rsid w:val="709661BE"/>
    <w:rsid w:val="709D754D"/>
    <w:rsid w:val="709F1517"/>
    <w:rsid w:val="709F5073"/>
    <w:rsid w:val="70A1703D"/>
    <w:rsid w:val="70A26911"/>
    <w:rsid w:val="70A408DB"/>
    <w:rsid w:val="70A60867"/>
    <w:rsid w:val="70A64653"/>
    <w:rsid w:val="70A66401"/>
    <w:rsid w:val="70A703CB"/>
    <w:rsid w:val="70A72179"/>
    <w:rsid w:val="70A95EF1"/>
    <w:rsid w:val="70AB3A18"/>
    <w:rsid w:val="70AC7790"/>
    <w:rsid w:val="70B14DA6"/>
    <w:rsid w:val="70B34FC2"/>
    <w:rsid w:val="70B52AE8"/>
    <w:rsid w:val="70B623BC"/>
    <w:rsid w:val="70B756B4"/>
    <w:rsid w:val="70B825D8"/>
    <w:rsid w:val="70BB0F08"/>
    <w:rsid w:val="70BF3967"/>
    <w:rsid w:val="70C3664D"/>
    <w:rsid w:val="70C40F7D"/>
    <w:rsid w:val="70C4600C"/>
    <w:rsid w:val="70C76378"/>
    <w:rsid w:val="70C920F0"/>
    <w:rsid w:val="70D127A3"/>
    <w:rsid w:val="70D527EE"/>
    <w:rsid w:val="70D56CE6"/>
    <w:rsid w:val="70D6480D"/>
    <w:rsid w:val="70DD1DC5"/>
    <w:rsid w:val="70E17439"/>
    <w:rsid w:val="70E231B1"/>
    <w:rsid w:val="70E46F2A"/>
    <w:rsid w:val="70E470C7"/>
    <w:rsid w:val="70E94540"/>
    <w:rsid w:val="70EA43C9"/>
    <w:rsid w:val="70ED20D3"/>
    <w:rsid w:val="70ED2282"/>
    <w:rsid w:val="70EE2D4A"/>
    <w:rsid w:val="70EE5FFA"/>
    <w:rsid w:val="70EE7DA8"/>
    <w:rsid w:val="70F21646"/>
    <w:rsid w:val="70F437C7"/>
    <w:rsid w:val="70F57389"/>
    <w:rsid w:val="70F84783"/>
    <w:rsid w:val="70F91796"/>
    <w:rsid w:val="70FA04FB"/>
    <w:rsid w:val="70FE623D"/>
    <w:rsid w:val="71016B75"/>
    <w:rsid w:val="71035FB5"/>
    <w:rsid w:val="71066EA0"/>
    <w:rsid w:val="71072C18"/>
    <w:rsid w:val="710870BC"/>
    <w:rsid w:val="710B095A"/>
    <w:rsid w:val="710B44B6"/>
    <w:rsid w:val="710D0F8F"/>
    <w:rsid w:val="710D6480"/>
    <w:rsid w:val="710E5D1A"/>
    <w:rsid w:val="71137C89"/>
    <w:rsid w:val="711517D9"/>
    <w:rsid w:val="711772FF"/>
    <w:rsid w:val="7118679B"/>
    <w:rsid w:val="71192018"/>
    <w:rsid w:val="71213CDA"/>
    <w:rsid w:val="71267542"/>
    <w:rsid w:val="71272EDB"/>
    <w:rsid w:val="71282855"/>
    <w:rsid w:val="71285068"/>
    <w:rsid w:val="71290DE0"/>
    <w:rsid w:val="712D08D1"/>
    <w:rsid w:val="71325EE7"/>
    <w:rsid w:val="71341C5F"/>
    <w:rsid w:val="713752AB"/>
    <w:rsid w:val="713779A1"/>
    <w:rsid w:val="713B1D25"/>
    <w:rsid w:val="713D663A"/>
    <w:rsid w:val="713E0DE6"/>
    <w:rsid w:val="714125CE"/>
    <w:rsid w:val="7141612A"/>
    <w:rsid w:val="714300F4"/>
    <w:rsid w:val="71436346"/>
    <w:rsid w:val="714479C8"/>
    <w:rsid w:val="71463740"/>
    <w:rsid w:val="71465FE5"/>
    <w:rsid w:val="71493231"/>
    <w:rsid w:val="714D0BAD"/>
    <w:rsid w:val="714D0F73"/>
    <w:rsid w:val="71502811"/>
    <w:rsid w:val="715045BF"/>
    <w:rsid w:val="7150636D"/>
    <w:rsid w:val="71520337"/>
    <w:rsid w:val="71526589"/>
    <w:rsid w:val="715440AF"/>
    <w:rsid w:val="71551BD5"/>
    <w:rsid w:val="71566079"/>
    <w:rsid w:val="71573B9F"/>
    <w:rsid w:val="715776FB"/>
    <w:rsid w:val="715B5300"/>
    <w:rsid w:val="715E0A8A"/>
    <w:rsid w:val="715F2A54"/>
    <w:rsid w:val="71614A1E"/>
    <w:rsid w:val="7163055D"/>
    <w:rsid w:val="71632544"/>
    <w:rsid w:val="716A585F"/>
    <w:rsid w:val="716B13F9"/>
    <w:rsid w:val="716D5171"/>
    <w:rsid w:val="716D6F1F"/>
    <w:rsid w:val="717007BD"/>
    <w:rsid w:val="717474A2"/>
    <w:rsid w:val="71791D68"/>
    <w:rsid w:val="717C53B4"/>
    <w:rsid w:val="717E112C"/>
    <w:rsid w:val="71804EC5"/>
    <w:rsid w:val="71812492"/>
    <w:rsid w:val="71836742"/>
    <w:rsid w:val="7185070D"/>
    <w:rsid w:val="71864485"/>
    <w:rsid w:val="71881FAB"/>
    <w:rsid w:val="71883D59"/>
    <w:rsid w:val="71900E5F"/>
    <w:rsid w:val="71970440"/>
    <w:rsid w:val="719721EE"/>
    <w:rsid w:val="71997D14"/>
    <w:rsid w:val="719B178A"/>
    <w:rsid w:val="719C3171"/>
    <w:rsid w:val="719E357C"/>
    <w:rsid w:val="71A00492"/>
    <w:rsid w:val="71A32941"/>
    <w:rsid w:val="71A41A51"/>
    <w:rsid w:val="71A4709A"/>
    <w:rsid w:val="71A768D5"/>
    <w:rsid w:val="71A843FB"/>
    <w:rsid w:val="71AA3CCF"/>
    <w:rsid w:val="71AB5C99"/>
    <w:rsid w:val="71AF5789"/>
    <w:rsid w:val="71B17516"/>
    <w:rsid w:val="71B42DA0"/>
    <w:rsid w:val="71B92164"/>
    <w:rsid w:val="71BB2380"/>
    <w:rsid w:val="71BB412E"/>
    <w:rsid w:val="71BC3A02"/>
    <w:rsid w:val="71C05268"/>
    <w:rsid w:val="71C130F2"/>
    <w:rsid w:val="71C31235"/>
    <w:rsid w:val="71C468B3"/>
    <w:rsid w:val="71C54FAD"/>
    <w:rsid w:val="71C56D5B"/>
    <w:rsid w:val="71C72AD3"/>
    <w:rsid w:val="71C83831"/>
    <w:rsid w:val="71CA25C3"/>
    <w:rsid w:val="71CC1E85"/>
    <w:rsid w:val="71CD5C10"/>
    <w:rsid w:val="71CE09AC"/>
    <w:rsid w:val="71CE77F1"/>
    <w:rsid w:val="71CF1CEE"/>
    <w:rsid w:val="71D074AE"/>
    <w:rsid w:val="71D21EFE"/>
    <w:rsid w:val="71D23226"/>
    <w:rsid w:val="71D27F8A"/>
    <w:rsid w:val="71D451F0"/>
    <w:rsid w:val="71D84CE0"/>
    <w:rsid w:val="71D90A58"/>
    <w:rsid w:val="71D92806"/>
    <w:rsid w:val="71DB032D"/>
    <w:rsid w:val="71DB657E"/>
    <w:rsid w:val="71DF7820"/>
    <w:rsid w:val="71E03B95"/>
    <w:rsid w:val="71E371E1"/>
    <w:rsid w:val="71E73175"/>
    <w:rsid w:val="71E82A49"/>
    <w:rsid w:val="71EA0570"/>
    <w:rsid w:val="71F413EE"/>
    <w:rsid w:val="71F72C8D"/>
    <w:rsid w:val="71F80EDE"/>
    <w:rsid w:val="71F92EA9"/>
    <w:rsid w:val="71F94C57"/>
    <w:rsid w:val="71FB452B"/>
    <w:rsid w:val="72007D93"/>
    <w:rsid w:val="72084E9A"/>
    <w:rsid w:val="720974D8"/>
    <w:rsid w:val="720C498A"/>
    <w:rsid w:val="720C6738"/>
    <w:rsid w:val="720E0702"/>
    <w:rsid w:val="7214383E"/>
    <w:rsid w:val="721675B7"/>
    <w:rsid w:val="72192C03"/>
    <w:rsid w:val="721D6B97"/>
    <w:rsid w:val="721F290F"/>
    <w:rsid w:val="72201995"/>
    <w:rsid w:val="72227D09"/>
    <w:rsid w:val="72231CD3"/>
    <w:rsid w:val="72233A82"/>
    <w:rsid w:val="72253C9E"/>
    <w:rsid w:val="722640C6"/>
    <w:rsid w:val="72281098"/>
    <w:rsid w:val="722842FE"/>
    <w:rsid w:val="7229553C"/>
    <w:rsid w:val="72297C1A"/>
    <w:rsid w:val="722A3062"/>
    <w:rsid w:val="722C2936"/>
    <w:rsid w:val="722F68CA"/>
    <w:rsid w:val="72323CC5"/>
    <w:rsid w:val="72330902"/>
    <w:rsid w:val="72345C8F"/>
    <w:rsid w:val="72347A3D"/>
    <w:rsid w:val="7238577F"/>
    <w:rsid w:val="723A7F7C"/>
    <w:rsid w:val="723B0DCB"/>
    <w:rsid w:val="723B7A2C"/>
    <w:rsid w:val="723D0FE7"/>
    <w:rsid w:val="723F4FDA"/>
    <w:rsid w:val="723F6B0D"/>
    <w:rsid w:val="72402885"/>
    <w:rsid w:val="724179B2"/>
    <w:rsid w:val="724265FE"/>
    <w:rsid w:val="72430F2C"/>
    <w:rsid w:val="72434C03"/>
    <w:rsid w:val="72435ED2"/>
    <w:rsid w:val="72451C4A"/>
    <w:rsid w:val="72476E8D"/>
    <w:rsid w:val="72477770"/>
    <w:rsid w:val="724834E8"/>
    <w:rsid w:val="7249173A"/>
    <w:rsid w:val="7249798C"/>
    <w:rsid w:val="724C2FD8"/>
    <w:rsid w:val="724D0AFE"/>
    <w:rsid w:val="724F2AC9"/>
    <w:rsid w:val="72514A93"/>
    <w:rsid w:val="725325B9"/>
    <w:rsid w:val="72553024"/>
    <w:rsid w:val="725539CE"/>
    <w:rsid w:val="72556331"/>
    <w:rsid w:val="72655E48"/>
    <w:rsid w:val="72677E12"/>
    <w:rsid w:val="72697041"/>
    <w:rsid w:val="726A16B0"/>
    <w:rsid w:val="726B5B54"/>
    <w:rsid w:val="72723293"/>
    <w:rsid w:val="727367B7"/>
    <w:rsid w:val="727918F3"/>
    <w:rsid w:val="727A15DA"/>
    <w:rsid w:val="727A5D97"/>
    <w:rsid w:val="727B233D"/>
    <w:rsid w:val="727E6F0A"/>
    <w:rsid w:val="72800ED4"/>
    <w:rsid w:val="72822E9E"/>
    <w:rsid w:val="728269FA"/>
    <w:rsid w:val="72833651"/>
    <w:rsid w:val="72872262"/>
    <w:rsid w:val="72897D89"/>
    <w:rsid w:val="728A0953"/>
    <w:rsid w:val="728B1D53"/>
    <w:rsid w:val="728E35F1"/>
    <w:rsid w:val="728F3335"/>
    <w:rsid w:val="7294672D"/>
    <w:rsid w:val="72955527"/>
    <w:rsid w:val="729606F7"/>
    <w:rsid w:val="72964253"/>
    <w:rsid w:val="7298446F"/>
    <w:rsid w:val="729B5D0E"/>
    <w:rsid w:val="729D3834"/>
    <w:rsid w:val="72A050D2"/>
    <w:rsid w:val="72A11576"/>
    <w:rsid w:val="72A252EE"/>
    <w:rsid w:val="72A2709C"/>
    <w:rsid w:val="72A42E14"/>
    <w:rsid w:val="72A669EB"/>
    <w:rsid w:val="72A66B8C"/>
    <w:rsid w:val="72AB5F51"/>
    <w:rsid w:val="72AE77EF"/>
    <w:rsid w:val="72B017B9"/>
    <w:rsid w:val="72BA2638"/>
    <w:rsid w:val="72BA6194"/>
    <w:rsid w:val="72BB1F0C"/>
    <w:rsid w:val="72BD5C84"/>
    <w:rsid w:val="72C214EC"/>
    <w:rsid w:val="72C2329A"/>
    <w:rsid w:val="72C4042E"/>
    <w:rsid w:val="72C45265"/>
    <w:rsid w:val="72C46456"/>
    <w:rsid w:val="72C5775B"/>
    <w:rsid w:val="72C7009D"/>
    <w:rsid w:val="72C708B1"/>
    <w:rsid w:val="72C74D55"/>
    <w:rsid w:val="72C9287B"/>
    <w:rsid w:val="72CA3BE3"/>
    <w:rsid w:val="72D0142B"/>
    <w:rsid w:val="72D07765"/>
    <w:rsid w:val="72D27149"/>
    <w:rsid w:val="72D440E1"/>
    <w:rsid w:val="72D57472"/>
    <w:rsid w:val="72D8486C"/>
    <w:rsid w:val="72DB610A"/>
    <w:rsid w:val="72DD6326"/>
    <w:rsid w:val="72E27499"/>
    <w:rsid w:val="72E503E5"/>
    <w:rsid w:val="72E94CCB"/>
    <w:rsid w:val="72F01BB6"/>
    <w:rsid w:val="72F0605A"/>
    <w:rsid w:val="72F13724"/>
    <w:rsid w:val="72F21DD2"/>
    <w:rsid w:val="72F35B4A"/>
    <w:rsid w:val="72F5541E"/>
    <w:rsid w:val="72F773E8"/>
    <w:rsid w:val="72F955A3"/>
    <w:rsid w:val="72FC56B6"/>
    <w:rsid w:val="72FD2525"/>
    <w:rsid w:val="72FD42D3"/>
    <w:rsid w:val="72FE1DE6"/>
    <w:rsid w:val="730076A1"/>
    <w:rsid w:val="73012015"/>
    <w:rsid w:val="73041B05"/>
    <w:rsid w:val="730924B4"/>
    <w:rsid w:val="7309711B"/>
    <w:rsid w:val="730D6C0C"/>
    <w:rsid w:val="730F1DA7"/>
    <w:rsid w:val="73122968"/>
    <w:rsid w:val="73124222"/>
    <w:rsid w:val="7318735E"/>
    <w:rsid w:val="731955B0"/>
    <w:rsid w:val="731B41FE"/>
    <w:rsid w:val="731D4975"/>
    <w:rsid w:val="731D6723"/>
    <w:rsid w:val="731E7DE9"/>
    <w:rsid w:val="731F06ED"/>
    <w:rsid w:val="731F249B"/>
    <w:rsid w:val="731F5D5E"/>
    <w:rsid w:val="73216213"/>
    <w:rsid w:val="73221F8B"/>
    <w:rsid w:val="73233B0D"/>
    <w:rsid w:val="73267CCD"/>
    <w:rsid w:val="732857F3"/>
    <w:rsid w:val="732B52E4"/>
    <w:rsid w:val="73357F10"/>
    <w:rsid w:val="73373C88"/>
    <w:rsid w:val="733777E5"/>
    <w:rsid w:val="733A5527"/>
    <w:rsid w:val="73410663"/>
    <w:rsid w:val="734325A8"/>
    <w:rsid w:val="73492CDA"/>
    <w:rsid w:val="734A1D78"/>
    <w:rsid w:val="734A25E8"/>
    <w:rsid w:val="734B3290"/>
    <w:rsid w:val="734D525A"/>
    <w:rsid w:val="734E4B2E"/>
    <w:rsid w:val="73506AF8"/>
    <w:rsid w:val="73577E87"/>
    <w:rsid w:val="73584744"/>
    <w:rsid w:val="735C549D"/>
    <w:rsid w:val="736305DA"/>
    <w:rsid w:val="73681026"/>
    <w:rsid w:val="736A5E0C"/>
    <w:rsid w:val="736B1B84"/>
    <w:rsid w:val="736B56E0"/>
    <w:rsid w:val="736C2616"/>
    <w:rsid w:val="736D33EC"/>
    <w:rsid w:val="73700F48"/>
    <w:rsid w:val="73727918"/>
    <w:rsid w:val="737427E7"/>
    <w:rsid w:val="737547B1"/>
    <w:rsid w:val="73770529"/>
    <w:rsid w:val="73792049"/>
    <w:rsid w:val="737A3B75"/>
    <w:rsid w:val="737C169B"/>
    <w:rsid w:val="737D4C17"/>
    <w:rsid w:val="738642C8"/>
    <w:rsid w:val="7386708A"/>
    <w:rsid w:val="73905147"/>
    <w:rsid w:val="73922C6D"/>
    <w:rsid w:val="73927111"/>
    <w:rsid w:val="73942E89"/>
    <w:rsid w:val="73970283"/>
    <w:rsid w:val="739801A3"/>
    <w:rsid w:val="7399224D"/>
    <w:rsid w:val="73992AC3"/>
    <w:rsid w:val="739A7D73"/>
    <w:rsid w:val="739C3AEB"/>
    <w:rsid w:val="73A03DC2"/>
    <w:rsid w:val="73A17354"/>
    <w:rsid w:val="73A368C1"/>
    <w:rsid w:val="73A429A0"/>
    <w:rsid w:val="73A62BBC"/>
    <w:rsid w:val="73A64B37"/>
    <w:rsid w:val="73A806E2"/>
    <w:rsid w:val="73AB01D2"/>
    <w:rsid w:val="73AD5CF9"/>
    <w:rsid w:val="73AF2F63"/>
    <w:rsid w:val="73AF381F"/>
    <w:rsid w:val="73B250BD"/>
    <w:rsid w:val="73B44AF9"/>
    <w:rsid w:val="73B452D9"/>
    <w:rsid w:val="73B515B8"/>
    <w:rsid w:val="73B726D3"/>
    <w:rsid w:val="73B76B77"/>
    <w:rsid w:val="73B928EF"/>
    <w:rsid w:val="73B974DB"/>
    <w:rsid w:val="73BC5F3C"/>
    <w:rsid w:val="73BF55A1"/>
    <w:rsid w:val="73C51AD5"/>
    <w:rsid w:val="73C55A7E"/>
    <w:rsid w:val="73CE3DC7"/>
    <w:rsid w:val="73CF1701"/>
    <w:rsid w:val="73CF5C6F"/>
    <w:rsid w:val="73D01488"/>
    <w:rsid w:val="73D03795"/>
    <w:rsid w:val="73D239B1"/>
    <w:rsid w:val="73D2750D"/>
    <w:rsid w:val="73D62817"/>
    <w:rsid w:val="73D74B24"/>
    <w:rsid w:val="73D94D40"/>
    <w:rsid w:val="73D96AEE"/>
    <w:rsid w:val="73DB0AB8"/>
    <w:rsid w:val="73DC038C"/>
    <w:rsid w:val="73DC213A"/>
    <w:rsid w:val="73DC25AD"/>
    <w:rsid w:val="73E060CE"/>
    <w:rsid w:val="73E13BF4"/>
    <w:rsid w:val="73E159A2"/>
    <w:rsid w:val="73ED4347"/>
    <w:rsid w:val="73F92CEC"/>
    <w:rsid w:val="73FB4CB6"/>
    <w:rsid w:val="74026044"/>
    <w:rsid w:val="74035919"/>
    <w:rsid w:val="74065409"/>
    <w:rsid w:val="74066F72"/>
    <w:rsid w:val="740718AD"/>
    <w:rsid w:val="7407365B"/>
    <w:rsid w:val="74085625"/>
    <w:rsid w:val="740F0761"/>
    <w:rsid w:val="74123DAE"/>
    <w:rsid w:val="741531EB"/>
    <w:rsid w:val="7416389E"/>
    <w:rsid w:val="741B0EB4"/>
    <w:rsid w:val="741C69DA"/>
    <w:rsid w:val="741E2752"/>
    <w:rsid w:val="741E6BF6"/>
    <w:rsid w:val="741E793C"/>
    <w:rsid w:val="7420296E"/>
    <w:rsid w:val="7423420D"/>
    <w:rsid w:val="742D71FB"/>
    <w:rsid w:val="742E508B"/>
    <w:rsid w:val="74300A9E"/>
    <w:rsid w:val="7431692A"/>
    <w:rsid w:val="74327ACF"/>
    <w:rsid w:val="743326A2"/>
    <w:rsid w:val="743A5E62"/>
    <w:rsid w:val="743B50B2"/>
    <w:rsid w:val="743D52CE"/>
    <w:rsid w:val="743D707D"/>
    <w:rsid w:val="743E4BA3"/>
    <w:rsid w:val="74453847"/>
    <w:rsid w:val="744A3547"/>
    <w:rsid w:val="744C72C0"/>
    <w:rsid w:val="745030E5"/>
    <w:rsid w:val="74512B28"/>
    <w:rsid w:val="7452064E"/>
    <w:rsid w:val="74534AF2"/>
    <w:rsid w:val="74566390"/>
    <w:rsid w:val="745B7A81"/>
    <w:rsid w:val="745D771F"/>
    <w:rsid w:val="745E3944"/>
    <w:rsid w:val="745F3497"/>
    <w:rsid w:val="745F66ED"/>
    <w:rsid w:val="74604FAC"/>
    <w:rsid w:val="7460720F"/>
    <w:rsid w:val="74611C71"/>
    <w:rsid w:val="74640AAD"/>
    <w:rsid w:val="746B1DAF"/>
    <w:rsid w:val="746D0CF1"/>
    <w:rsid w:val="746E2181"/>
    <w:rsid w:val="746F2FAE"/>
    <w:rsid w:val="74714F78"/>
    <w:rsid w:val="74716D26"/>
    <w:rsid w:val="74736F42"/>
    <w:rsid w:val="74744A68"/>
    <w:rsid w:val="74745F38"/>
    <w:rsid w:val="747577BD"/>
    <w:rsid w:val="7476433D"/>
    <w:rsid w:val="747800B5"/>
    <w:rsid w:val="7479207F"/>
    <w:rsid w:val="747B36E0"/>
    <w:rsid w:val="747B7BA5"/>
    <w:rsid w:val="747D1B6F"/>
    <w:rsid w:val="7480340D"/>
    <w:rsid w:val="74806F69"/>
    <w:rsid w:val="74836A59"/>
    <w:rsid w:val="74850A24"/>
    <w:rsid w:val="74890514"/>
    <w:rsid w:val="748F53FE"/>
    <w:rsid w:val="74911176"/>
    <w:rsid w:val="749173C8"/>
    <w:rsid w:val="74923DD8"/>
    <w:rsid w:val="74933140"/>
    <w:rsid w:val="74934EEE"/>
    <w:rsid w:val="74936C9D"/>
    <w:rsid w:val="749B3DA3"/>
    <w:rsid w:val="749D3FBF"/>
    <w:rsid w:val="749D7B1B"/>
    <w:rsid w:val="749F50D7"/>
    <w:rsid w:val="74A30465"/>
    <w:rsid w:val="74A470FC"/>
    <w:rsid w:val="74A71AF3"/>
    <w:rsid w:val="74AA2238"/>
    <w:rsid w:val="74B44E65"/>
    <w:rsid w:val="74B530B7"/>
    <w:rsid w:val="74B66E2F"/>
    <w:rsid w:val="74B67236"/>
    <w:rsid w:val="74B706C6"/>
    <w:rsid w:val="74BE7A92"/>
    <w:rsid w:val="74C50E20"/>
    <w:rsid w:val="74C7103C"/>
    <w:rsid w:val="74C90910"/>
    <w:rsid w:val="74CC21AE"/>
    <w:rsid w:val="74CE23CA"/>
    <w:rsid w:val="74D07EF1"/>
    <w:rsid w:val="74D3178F"/>
    <w:rsid w:val="74D472B5"/>
    <w:rsid w:val="74D84FF7"/>
    <w:rsid w:val="74DB0643"/>
    <w:rsid w:val="74DF1EE2"/>
    <w:rsid w:val="74E25E76"/>
    <w:rsid w:val="74E27C24"/>
    <w:rsid w:val="74E63744"/>
    <w:rsid w:val="74E82EC6"/>
    <w:rsid w:val="74EC0AA3"/>
    <w:rsid w:val="74EC45FF"/>
    <w:rsid w:val="74EE481B"/>
    <w:rsid w:val="74EF47F6"/>
    <w:rsid w:val="74EF5F37"/>
    <w:rsid w:val="74F160B9"/>
    <w:rsid w:val="74F17E67"/>
    <w:rsid w:val="74F3598D"/>
    <w:rsid w:val="74F55BA9"/>
    <w:rsid w:val="74F57957"/>
    <w:rsid w:val="74F65277"/>
    <w:rsid w:val="74F6547D"/>
    <w:rsid w:val="74F65788"/>
    <w:rsid w:val="74F811F5"/>
    <w:rsid w:val="74FA4F6E"/>
    <w:rsid w:val="74FD19CB"/>
    <w:rsid w:val="74FF4332"/>
    <w:rsid w:val="75006EBC"/>
    <w:rsid w:val="75032A02"/>
    <w:rsid w:val="75047B9A"/>
    <w:rsid w:val="750B0F29"/>
    <w:rsid w:val="750B31FF"/>
    <w:rsid w:val="750B3FCF"/>
    <w:rsid w:val="750E0A19"/>
    <w:rsid w:val="750E27C7"/>
    <w:rsid w:val="75137DDD"/>
    <w:rsid w:val="751446BF"/>
    <w:rsid w:val="75153B55"/>
    <w:rsid w:val="7516167C"/>
    <w:rsid w:val="751A5610"/>
    <w:rsid w:val="751C37AC"/>
    <w:rsid w:val="751D6EAE"/>
    <w:rsid w:val="75232ABD"/>
    <w:rsid w:val="7524023C"/>
    <w:rsid w:val="752B15CB"/>
    <w:rsid w:val="752C70F1"/>
    <w:rsid w:val="752E10BB"/>
    <w:rsid w:val="75322959"/>
    <w:rsid w:val="75330480"/>
    <w:rsid w:val="753352D6"/>
    <w:rsid w:val="7535244A"/>
    <w:rsid w:val="75357D54"/>
    <w:rsid w:val="75377F70"/>
    <w:rsid w:val="753A35BC"/>
    <w:rsid w:val="753A7A60"/>
    <w:rsid w:val="753C7334"/>
    <w:rsid w:val="7544443B"/>
    <w:rsid w:val="754601B3"/>
    <w:rsid w:val="754B3A1B"/>
    <w:rsid w:val="754B57C9"/>
    <w:rsid w:val="755248CC"/>
    <w:rsid w:val="75556317"/>
    <w:rsid w:val="755A1EB0"/>
    <w:rsid w:val="755E374E"/>
    <w:rsid w:val="7561323F"/>
    <w:rsid w:val="75630D65"/>
    <w:rsid w:val="75656DAA"/>
    <w:rsid w:val="756845CD"/>
    <w:rsid w:val="75695C4F"/>
    <w:rsid w:val="757271FA"/>
    <w:rsid w:val="75734D20"/>
    <w:rsid w:val="75775FA1"/>
    <w:rsid w:val="757840E4"/>
    <w:rsid w:val="757A4300"/>
    <w:rsid w:val="75822AD7"/>
    <w:rsid w:val="758B206A"/>
    <w:rsid w:val="758B3E18"/>
    <w:rsid w:val="758D4BF5"/>
    <w:rsid w:val="758E3B34"/>
    <w:rsid w:val="758F6774"/>
    <w:rsid w:val="75986535"/>
    <w:rsid w:val="759F5B15"/>
    <w:rsid w:val="75A1188D"/>
    <w:rsid w:val="75A35605"/>
    <w:rsid w:val="75A44ED9"/>
    <w:rsid w:val="75A458F3"/>
    <w:rsid w:val="75A849CA"/>
    <w:rsid w:val="75A90742"/>
    <w:rsid w:val="75A924F0"/>
    <w:rsid w:val="75AB270C"/>
    <w:rsid w:val="75AB44BA"/>
    <w:rsid w:val="75AD0232"/>
    <w:rsid w:val="75B23A9A"/>
    <w:rsid w:val="75B46B29"/>
    <w:rsid w:val="75B72D40"/>
    <w:rsid w:val="75B90985"/>
    <w:rsid w:val="75B96BD7"/>
    <w:rsid w:val="75BA294F"/>
    <w:rsid w:val="75BF1D13"/>
    <w:rsid w:val="75BF3AC1"/>
    <w:rsid w:val="75C05533"/>
    <w:rsid w:val="75C17839"/>
    <w:rsid w:val="75C45043"/>
    <w:rsid w:val="75C857C9"/>
    <w:rsid w:val="75CD61DE"/>
    <w:rsid w:val="75CE1F56"/>
    <w:rsid w:val="75CF01A8"/>
    <w:rsid w:val="75D166E3"/>
    <w:rsid w:val="75D27C98"/>
    <w:rsid w:val="75D4756D"/>
    <w:rsid w:val="75D92DD5"/>
    <w:rsid w:val="75DA08FB"/>
    <w:rsid w:val="75DB4D9F"/>
    <w:rsid w:val="75DF4163"/>
    <w:rsid w:val="75E2743D"/>
    <w:rsid w:val="75E33C54"/>
    <w:rsid w:val="75E4177A"/>
    <w:rsid w:val="75E43528"/>
    <w:rsid w:val="75E63744"/>
    <w:rsid w:val="75E706DE"/>
    <w:rsid w:val="75E874BC"/>
    <w:rsid w:val="75EA4FE2"/>
    <w:rsid w:val="75EA6D90"/>
    <w:rsid w:val="75ED6880"/>
    <w:rsid w:val="75F06371"/>
    <w:rsid w:val="75F23E97"/>
    <w:rsid w:val="75F55735"/>
    <w:rsid w:val="75F66B70"/>
    <w:rsid w:val="75F96FD3"/>
    <w:rsid w:val="760C31AA"/>
    <w:rsid w:val="76100EE8"/>
    <w:rsid w:val="7610431D"/>
    <w:rsid w:val="76116EC2"/>
    <w:rsid w:val="76191423"/>
    <w:rsid w:val="761C0F14"/>
    <w:rsid w:val="761D53B8"/>
    <w:rsid w:val="762027B2"/>
    <w:rsid w:val="7625426C"/>
    <w:rsid w:val="7625601A"/>
    <w:rsid w:val="76257DC8"/>
    <w:rsid w:val="76283D5C"/>
    <w:rsid w:val="762A53DF"/>
    <w:rsid w:val="762F50EB"/>
    <w:rsid w:val="762F6E99"/>
    <w:rsid w:val="76320737"/>
    <w:rsid w:val="76326989"/>
    <w:rsid w:val="763444AF"/>
    <w:rsid w:val="7635099D"/>
    <w:rsid w:val="76361FD5"/>
    <w:rsid w:val="76366479"/>
    <w:rsid w:val="76377AFB"/>
    <w:rsid w:val="763823D0"/>
    <w:rsid w:val="763C2CC0"/>
    <w:rsid w:val="763C5112"/>
    <w:rsid w:val="763D7808"/>
    <w:rsid w:val="764010A6"/>
    <w:rsid w:val="76411BCB"/>
    <w:rsid w:val="76432944"/>
    <w:rsid w:val="76440D5C"/>
    <w:rsid w:val="76454210"/>
    <w:rsid w:val="7647727C"/>
    <w:rsid w:val="76487F5B"/>
    <w:rsid w:val="764A782F"/>
    <w:rsid w:val="764B043F"/>
    <w:rsid w:val="764D731F"/>
    <w:rsid w:val="764F12E9"/>
    <w:rsid w:val="764F593B"/>
    <w:rsid w:val="76516E0F"/>
    <w:rsid w:val="765406AD"/>
    <w:rsid w:val="76547160"/>
    <w:rsid w:val="765863F0"/>
    <w:rsid w:val="765B1A3C"/>
    <w:rsid w:val="765B7D5B"/>
    <w:rsid w:val="765C4B26"/>
    <w:rsid w:val="765D6045"/>
    <w:rsid w:val="765E32DA"/>
    <w:rsid w:val="76634D94"/>
    <w:rsid w:val="76650B0D"/>
    <w:rsid w:val="766528BB"/>
    <w:rsid w:val="766703E1"/>
    <w:rsid w:val="76685F07"/>
    <w:rsid w:val="766905FD"/>
    <w:rsid w:val="766A6123"/>
    <w:rsid w:val="766A7ED1"/>
    <w:rsid w:val="767174B1"/>
    <w:rsid w:val="76726D86"/>
    <w:rsid w:val="76742AFE"/>
    <w:rsid w:val="76783389"/>
    <w:rsid w:val="767945B8"/>
    <w:rsid w:val="767A147A"/>
    <w:rsid w:val="76816FC9"/>
    <w:rsid w:val="76832D41"/>
    <w:rsid w:val="76852F5D"/>
    <w:rsid w:val="76854D0B"/>
    <w:rsid w:val="76870A83"/>
    <w:rsid w:val="76870EAD"/>
    <w:rsid w:val="76876CD5"/>
    <w:rsid w:val="76880357"/>
    <w:rsid w:val="768A2321"/>
    <w:rsid w:val="768A40CF"/>
    <w:rsid w:val="768D3BBF"/>
    <w:rsid w:val="769136B0"/>
    <w:rsid w:val="76937428"/>
    <w:rsid w:val="76946CFC"/>
    <w:rsid w:val="76966F18"/>
    <w:rsid w:val="769767EC"/>
    <w:rsid w:val="76992564"/>
    <w:rsid w:val="769D2054"/>
    <w:rsid w:val="769E7B7B"/>
    <w:rsid w:val="76A038F3"/>
    <w:rsid w:val="76A07D97"/>
    <w:rsid w:val="76A10454"/>
    <w:rsid w:val="76A258BD"/>
    <w:rsid w:val="76A74C81"/>
    <w:rsid w:val="76A827A7"/>
    <w:rsid w:val="76AE0369"/>
    <w:rsid w:val="76AE10C8"/>
    <w:rsid w:val="76B13D52"/>
    <w:rsid w:val="76B31878"/>
    <w:rsid w:val="76B455F0"/>
    <w:rsid w:val="76B4739E"/>
    <w:rsid w:val="76B86E8E"/>
    <w:rsid w:val="76BD2DEF"/>
    <w:rsid w:val="76BF671D"/>
    <w:rsid w:val="76C23869"/>
    <w:rsid w:val="76C410FF"/>
    <w:rsid w:val="76C45833"/>
    <w:rsid w:val="76C53359"/>
    <w:rsid w:val="76C770D1"/>
    <w:rsid w:val="76C80318"/>
    <w:rsid w:val="76CB131B"/>
    <w:rsid w:val="76CE0460"/>
    <w:rsid w:val="76D33CC8"/>
    <w:rsid w:val="76D65566"/>
    <w:rsid w:val="76D67314"/>
    <w:rsid w:val="76D812DE"/>
    <w:rsid w:val="76D8308D"/>
    <w:rsid w:val="76DB0DCF"/>
    <w:rsid w:val="76DC3431"/>
    <w:rsid w:val="76DD06A3"/>
    <w:rsid w:val="76DD4B47"/>
    <w:rsid w:val="76DE441B"/>
    <w:rsid w:val="76DF08BF"/>
    <w:rsid w:val="76DF30D9"/>
    <w:rsid w:val="76E00193"/>
    <w:rsid w:val="76E01F41"/>
    <w:rsid w:val="76EE28B0"/>
    <w:rsid w:val="76EE465E"/>
    <w:rsid w:val="76F16235"/>
    <w:rsid w:val="76F31C74"/>
    <w:rsid w:val="76F36118"/>
    <w:rsid w:val="76F428ED"/>
    <w:rsid w:val="76F53C3E"/>
    <w:rsid w:val="76F61765"/>
    <w:rsid w:val="76F8372F"/>
    <w:rsid w:val="76FA11CE"/>
    <w:rsid w:val="76FC5BC6"/>
    <w:rsid w:val="76FF2D0F"/>
    <w:rsid w:val="76FF686B"/>
    <w:rsid w:val="77020109"/>
    <w:rsid w:val="770245AD"/>
    <w:rsid w:val="770518F3"/>
    <w:rsid w:val="77063A83"/>
    <w:rsid w:val="77075720"/>
    <w:rsid w:val="7709745B"/>
    <w:rsid w:val="770B4B5C"/>
    <w:rsid w:val="770E6AAE"/>
    <w:rsid w:val="770F2826"/>
    <w:rsid w:val="771340C5"/>
    <w:rsid w:val="77161E07"/>
    <w:rsid w:val="77170059"/>
    <w:rsid w:val="771B741D"/>
    <w:rsid w:val="771F2A69"/>
    <w:rsid w:val="77204A34"/>
    <w:rsid w:val="772207AC"/>
    <w:rsid w:val="77240332"/>
    <w:rsid w:val="7726029C"/>
    <w:rsid w:val="77274014"/>
    <w:rsid w:val="772B58B2"/>
    <w:rsid w:val="772E0EFE"/>
    <w:rsid w:val="772E53A2"/>
    <w:rsid w:val="7731279D"/>
    <w:rsid w:val="77377CE0"/>
    <w:rsid w:val="77387FCF"/>
    <w:rsid w:val="773D7394"/>
    <w:rsid w:val="773E6472"/>
    <w:rsid w:val="773F40BA"/>
    <w:rsid w:val="77416E84"/>
    <w:rsid w:val="774249AA"/>
    <w:rsid w:val="774442C4"/>
    <w:rsid w:val="77456248"/>
    <w:rsid w:val="77456E54"/>
    <w:rsid w:val="774626EC"/>
    <w:rsid w:val="77471FC0"/>
    <w:rsid w:val="77483836"/>
    <w:rsid w:val="774921DC"/>
    <w:rsid w:val="77493F8A"/>
    <w:rsid w:val="774A385E"/>
    <w:rsid w:val="774B1AB0"/>
    <w:rsid w:val="774C5829"/>
    <w:rsid w:val="77525D78"/>
    <w:rsid w:val="775274E2"/>
    <w:rsid w:val="77534E09"/>
    <w:rsid w:val="77535EA9"/>
    <w:rsid w:val="77547483"/>
    <w:rsid w:val="77550B81"/>
    <w:rsid w:val="77585F7B"/>
    <w:rsid w:val="775A1CF3"/>
    <w:rsid w:val="775C13BB"/>
    <w:rsid w:val="775F37AE"/>
    <w:rsid w:val="77640748"/>
    <w:rsid w:val="77663F71"/>
    <w:rsid w:val="7767181A"/>
    <w:rsid w:val="77672662"/>
    <w:rsid w:val="7769462C"/>
    <w:rsid w:val="776C7C79"/>
    <w:rsid w:val="776E579F"/>
    <w:rsid w:val="777032C5"/>
    <w:rsid w:val="777234E1"/>
    <w:rsid w:val="77762421"/>
    <w:rsid w:val="77770AF7"/>
    <w:rsid w:val="7779587C"/>
    <w:rsid w:val="777A05E8"/>
    <w:rsid w:val="777C4360"/>
    <w:rsid w:val="777D3C34"/>
    <w:rsid w:val="777E4E9B"/>
    <w:rsid w:val="77811976"/>
    <w:rsid w:val="77813724"/>
    <w:rsid w:val="77824E57"/>
    <w:rsid w:val="77860D3A"/>
    <w:rsid w:val="7789082B"/>
    <w:rsid w:val="778B42C3"/>
    <w:rsid w:val="778B672F"/>
    <w:rsid w:val="778C3E77"/>
    <w:rsid w:val="778D20C9"/>
    <w:rsid w:val="7791148D"/>
    <w:rsid w:val="779416A9"/>
    <w:rsid w:val="77955421"/>
    <w:rsid w:val="779A47E6"/>
    <w:rsid w:val="779A6594"/>
    <w:rsid w:val="779C1A04"/>
    <w:rsid w:val="779D6084"/>
    <w:rsid w:val="779F1DFC"/>
    <w:rsid w:val="77A103E0"/>
    <w:rsid w:val="77A6318B"/>
    <w:rsid w:val="77A67875"/>
    <w:rsid w:val="77AB07A1"/>
    <w:rsid w:val="77AB254F"/>
    <w:rsid w:val="77AD62C7"/>
    <w:rsid w:val="77B16794"/>
    <w:rsid w:val="77B56B1F"/>
    <w:rsid w:val="77B72606"/>
    <w:rsid w:val="77C11D73"/>
    <w:rsid w:val="77C16217"/>
    <w:rsid w:val="77C27719"/>
    <w:rsid w:val="77C43611"/>
    <w:rsid w:val="77C44C0A"/>
    <w:rsid w:val="77C6382D"/>
    <w:rsid w:val="77C83101"/>
    <w:rsid w:val="77CA303F"/>
    <w:rsid w:val="77CD4BBB"/>
    <w:rsid w:val="77CE5F40"/>
    <w:rsid w:val="77D00208"/>
    <w:rsid w:val="77D41B9E"/>
    <w:rsid w:val="77D53A70"/>
    <w:rsid w:val="77D84854"/>
    <w:rsid w:val="77D9530E"/>
    <w:rsid w:val="77DC095A"/>
    <w:rsid w:val="77DC4DFE"/>
    <w:rsid w:val="77DE0B76"/>
    <w:rsid w:val="77DE2925"/>
    <w:rsid w:val="77DF669D"/>
    <w:rsid w:val="77E048EF"/>
    <w:rsid w:val="77E20193"/>
    <w:rsid w:val="77E617D9"/>
    <w:rsid w:val="77E66CC7"/>
    <w:rsid w:val="77E837A3"/>
    <w:rsid w:val="77E912C9"/>
    <w:rsid w:val="77ED3E16"/>
    <w:rsid w:val="77ED700C"/>
    <w:rsid w:val="77EE068E"/>
    <w:rsid w:val="77F15CD9"/>
    <w:rsid w:val="77F43EF6"/>
    <w:rsid w:val="77F730CE"/>
    <w:rsid w:val="77F83AFA"/>
    <w:rsid w:val="77FA7033"/>
    <w:rsid w:val="77FC2DAB"/>
    <w:rsid w:val="77FE4D75"/>
    <w:rsid w:val="77FE796C"/>
    <w:rsid w:val="780103C1"/>
    <w:rsid w:val="7803238B"/>
    <w:rsid w:val="780600CD"/>
    <w:rsid w:val="7809333E"/>
    <w:rsid w:val="780B1240"/>
    <w:rsid w:val="780B1F70"/>
    <w:rsid w:val="780F09F4"/>
    <w:rsid w:val="781B5927"/>
    <w:rsid w:val="781C51FB"/>
    <w:rsid w:val="781E71C5"/>
    <w:rsid w:val="78202F3D"/>
    <w:rsid w:val="78210A63"/>
    <w:rsid w:val="7826607A"/>
    <w:rsid w:val="782A7918"/>
    <w:rsid w:val="782C7B34"/>
    <w:rsid w:val="782D565A"/>
    <w:rsid w:val="78306EF8"/>
    <w:rsid w:val="783267CC"/>
    <w:rsid w:val="783469E8"/>
    <w:rsid w:val="78362761"/>
    <w:rsid w:val="78363A9B"/>
    <w:rsid w:val="78366A34"/>
    <w:rsid w:val="78370287"/>
    <w:rsid w:val="78387B4C"/>
    <w:rsid w:val="78393FFF"/>
    <w:rsid w:val="78397B5B"/>
    <w:rsid w:val="78411105"/>
    <w:rsid w:val="78485FF0"/>
    <w:rsid w:val="78493FEE"/>
    <w:rsid w:val="784968FE"/>
    <w:rsid w:val="784E1387"/>
    <w:rsid w:val="7856695F"/>
    <w:rsid w:val="78570929"/>
    <w:rsid w:val="78574485"/>
    <w:rsid w:val="785B21C7"/>
    <w:rsid w:val="785B5D23"/>
    <w:rsid w:val="785D7F74"/>
    <w:rsid w:val="786077DD"/>
    <w:rsid w:val="7866291A"/>
    <w:rsid w:val="78670B6C"/>
    <w:rsid w:val="78686692"/>
    <w:rsid w:val="786D5A56"/>
    <w:rsid w:val="786F5C73"/>
    <w:rsid w:val="78727511"/>
    <w:rsid w:val="78746DE5"/>
    <w:rsid w:val="78762B5D"/>
    <w:rsid w:val="78782D79"/>
    <w:rsid w:val="7879264D"/>
    <w:rsid w:val="787943FB"/>
    <w:rsid w:val="787C3EEC"/>
    <w:rsid w:val="787E7C64"/>
    <w:rsid w:val="78801C2E"/>
    <w:rsid w:val="78811502"/>
    <w:rsid w:val="78850FF2"/>
    <w:rsid w:val="78865DD8"/>
    <w:rsid w:val="788C3154"/>
    <w:rsid w:val="788D434B"/>
    <w:rsid w:val="78911745"/>
    <w:rsid w:val="78925885"/>
    <w:rsid w:val="789456D9"/>
    <w:rsid w:val="78972AD3"/>
    <w:rsid w:val="78992CEF"/>
    <w:rsid w:val="7899684C"/>
    <w:rsid w:val="78997A19"/>
    <w:rsid w:val="789C1DEF"/>
    <w:rsid w:val="789D40D9"/>
    <w:rsid w:val="789E0306"/>
    <w:rsid w:val="78A07BDA"/>
    <w:rsid w:val="78A23952"/>
    <w:rsid w:val="78A26ABB"/>
    <w:rsid w:val="78A551F0"/>
    <w:rsid w:val="78A771BA"/>
    <w:rsid w:val="78A90480"/>
    <w:rsid w:val="78A91184"/>
    <w:rsid w:val="78AC2A23"/>
    <w:rsid w:val="78AD22F7"/>
    <w:rsid w:val="78AF2513"/>
    <w:rsid w:val="78B35B5F"/>
    <w:rsid w:val="78B96EEE"/>
    <w:rsid w:val="78BB2C66"/>
    <w:rsid w:val="78BC2324"/>
    <w:rsid w:val="78BC253A"/>
    <w:rsid w:val="78BD22C6"/>
    <w:rsid w:val="78BE2756"/>
    <w:rsid w:val="78BE62B2"/>
    <w:rsid w:val="78C0027C"/>
    <w:rsid w:val="78C0202A"/>
    <w:rsid w:val="78C23FF4"/>
    <w:rsid w:val="78C25DA2"/>
    <w:rsid w:val="78C31B1A"/>
    <w:rsid w:val="78C74E32"/>
    <w:rsid w:val="78CA2EA9"/>
    <w:rsid w:val="78CB7931"/>
    <w:rsid w:val="78CE0BEB"/>
    <w:rsid w:val="78D6184E"/>
    <w:rsid w:val="78D67D8F"/>
    <w:rsid w:val="78D855C6"/>
    <w:rsid w:val="78DB550B"/>
    <w:rsid w:val="78DB6E64"/>
    <w:rsid w:val="78DC157F"/>
    <w:rsid w:val="78E20BC8"/>
    <w:rsid w:val="78E26444"/>
    <w:rsid w:val="78E55F35"/>
    <w:rsid w:val="78E75809"/>
    <w:rsid w:val="78E8332F"/>
    <w:rsid w:val="78EA70A7"/>
    <w:rsid w:val="78EE0575"/>
    <w:rsid w:val="78F244F2"/>
    <w:rsid w:val="78F30652"/>
    <w:rsid w:val="78F45A6B"/>
    <w:rsid w:val="78F543CA"/>
    <w:rsid w:val="78F63854"/>
    <w:rsid w:val="78F65A4C"/>
    <w:rsid w:val="78F9553C"/>
    <w:rsid w:val="78FD327E"/>
    <w:rsid w:val="78FD502C"/>
    <w:rsid w:val="78FF0DA4"/>
    <w:rsid w:val="790068CB"/>
    <w:rsid w:val="790659EB"/>
    <w:rsid w:val="79091C23"/>
    <w:rsid w:val="790A599B"/>
    <w:rsid w:val="790F19B7"/>
    <w:rsid w:val="79112886"/>
    <w:rsid w:val="791365FE"/>
    <w:rsid w:val="791660EE"/>
    <w:rsid w:val="791B3704"/>
    <w:rsid w:val="792151BF"/>
    <w:rsid w:val="79226841"/>
    <w:rsid w:val="792425B9"/>
    <w:rsid w:val="792720A9"/>
    <w:rsid w:val="7927654D"/>
    <w:rsid w:val="79294073"/>
    <w:rsid w:val="79297BCF"/>
    <w:rsid w:val="792A1B99"/>
    <w:rsid w:val="792C3B64"/>
    <w:rsid w:val="792E51E6"/>
    <w:rsid w:val="7930196F"/>
    <w:rsid w:val="7930686C"/>
    <w:rsid w:val="7931434C"/>
    <w:rsid w:val="79336CA0"/>
    <w:rsid w:val="793547C6"/>
    <w:rsid w:val="793B3DA7"/>
    <w:rsid w:val="793B5B55"/>
    <w:rsid w:val="793F4A83"/>
    <w:rsid w:val="793F73F3"/>
    <w:rsid w:val="79442C5B"/>
    <w:rsid w:val="79444A09"/>
    <w:rsid w:val="7947274B"/>
    <w:rsid w:val="794744F9"/>
    <w:rsid w:val="794B3FEA"/>
    <w:rsid w:val="794C1B10"/>
    <w:rsid w:val="794C2F0D"/>
    <w:rsid w:val="794C5FB4"/>
    <w:rsid w:val="79532E9E"/>
    <w:rsid w:val="795A247F"/>
    <w:rsid w:val="795F5CE7"/>
    <w:rsid w:val="7961380D"/>
    <w:rsid w:val="796230E1"/>
    <w:rsid w:val="79660E24"/>
    <w:rsid w:val="796614B8"/>
    <w:rsid w:val="796706F8"/>
    <w:rsid w:val="796755D1"/>
    <w:rsid w:val="796C3F60"/>
    <w:rsid w:val="79733540"/>
    <w:rsid w:val="797572B9"/>
    <w:rsid w:val="797926D7"/>
    <w:rsid w:val="797B7098"/>
    <w:rsid w:val="797D43BF"/>
    <w:rsid w:val="797F1EE5"/>
    <w:rsid w:val="79825532"/>
    <w:rsid w:val="79856DD0"/>
    <w:rsid w:val="79863274"/>
    <w:rsid w:val="798968C0"/>
    <w:rsid w:val="798A40ED"/>
    <w:rsid w:val="798B088A"/>
    <w:rsid w:val="798F2860"/>
    <w:rsid w:val="79951709"/>
    <w:rsid w:val="79960FDD"/>
    <w:rsid w:val="79982FA7"/>
    <w:rsid w:val="799843BD"/>
    <w:rsid w:val="79986B03"/>
    <w:rsid w:val="799A287B"/>
    <w:rsid w:val="799F4335"/>
    <w:rsid w:val="79A11E5C"/>
    <w:rsid w:val="79A13C0A"/>
    <w:rsid w:val="79A25BD4"/>
    <w:rsid w:val="79A4194C"/>
    <w:rsid w:val="79A44EE5"/>
    <w:rsid w:val="79A47B9E"/>
    <w:rsid w:val="79A56375"/>
    <w:rsid w:val="79A67472"/>
    <w:rsid w:val="79A951B4"/>
    <w:rsid w:val="79B24069"/>
    <w:rsid w:val="79B3393D"/>
    <w:rsid w:val="79B55907"/>
    <w:rsid w:val="79B576B5"/>
    <w:rsid w:val="79B80F53"/>
    <w:rsid w:val="79B853F7"/>
    <w:rsid w:val="79B871A5"/>
    <w:rsid w:val="79BA116F"/>
    <w:rsid w:val="79BB3AEB"/>
    <w:rsid w:val="79BC0A44"/>
    <w:rsid w:val="79BD47BC"/>
    <w:rsid w:val="79C42BF2"/>
    <w:rsid w:val="79C67B14"/>
    <w:rsid w:val="79C84447"/>
    <w:rsid w:val="79C93160"/>
    <w:rsid w:val="79CA5D5B"/>
    <w:rsid w:val="79CD2C51"/>
    <w:rsid w:val="79D044EF"/>
    <w:rsid w:val="79D0629D"/>
    <w:rsid w:val="79D35D8D"/>
    <w:rsid w:val="79D55FA9"/>
    <w:rsid w:val="79D7762B"/>
    <w:rsid w:val="79D815F5"/>
    <w:rsid w:val="79DA711C"/>
    <w:rsid w:val="79DD09BA"/>
    <w:rsid w:val="79E41D48"/>
    <w:rsid w:val="79E955B1"/>
    <w:rsid w:val="79E9735F"/>
    <w:rsid w:val="79EA1A55"/>
    <w:rsid w:val="79ED1258"/>
    <w:rsid w:val="79EE2BC7"/>
    <w:rsid w:val="79EF62EF"/>
    <w:rsid w:val="79F0693F"/>
    <w:rsid w:val="79F3642F"/>
    <w:rsid w:val="79F521A7"/>
    <w:rsid w:val="79F71A7C"/>
    <w:rsid w:val="79F77CCE"/>
    <w:rsid w:val="79FB1D40"/>
    <w:rsid w:val="79FC7092"/>
    <w:rsid w:val="7A0128FA"/>
    <w:rsid w:val="7A024D1C"/>
    <w:rsid w:val="7A03546E"/>
    <w:rsid w:val="7A08012D"/>
    <w:rsid w:val="7A0B19CB"/>
    <w:rsid w:val="7A0D74F1"/>
    <w:rsid w:val="7A13262E"/>
    <w:rsid w:val="7A163075"/>
    <w:rsid w:val="7A177DD8"/>
    <w:rsid w:val="7A1A1600"/>
    <w:rsid w:val="7A1C5986"/>
    <w:rsid w:val="7A1E16FE"/>
    <w:rsid w:val="7A1F7224"/>
    <w:rsid w:val="7A24483B"/>
    <w:rsid w:val="7A252A8D"/>
    <w:rsid w:val="7A287E87"/>
    <w:rsid w:val="7A2912C6"/>
    <w:rsid w:val="7A2938BC"/>
    <w:rsid w:val="7A2A367D"/>
    <w:rsid w:val="7A2E1215"/>
    <w:rsid w:val="7A302AB0"/>
    <w:rsid w:val="7A342E0A"/>
    <w:rsid w:val="7A344A7E"/>
    <w:rsid w:val="7A364017"/>
    <w:rsid w:val="7A3902E6"/>
    <w:rsid w:val="7A396538"/>
    <w:rsid w:val="7A3A405E"/>
    <w:rsid w:val="7A3A5E0C"/>
    <w:rsid w:val="7A401675"/>
    <w:rsid w:val="7A456C8B"/>
    <w:rsid w:val="7A460C55"/>
    <w:rsid w:val="7A4647B1"/>
    <w:rsid w:val="7A4822D7"/>
    <w:rsid w:val="7A49604F"/>
    <w:rsid w:val="7A4B0019"/>
    <w:rsid w:val="7A5213A8"/>
    <w:rsid w:val="7A5450F8"/>
    <w:rsid w:val="7A560E98"/>
    <w:rsid w:val="7A5C3FD5"/>
    <w:rsid w:val="7A5F5873"/>
    <w:rsid w:val="7A602A92"/>
    <w:rsid w:val="7A611D04"/>
    <w:rsid w:val="7A637111"/>
    <w:rsid w:val="7A695F3F"/>
    <w:rsid w:val="7A6B4218"/>
    <w:rsid w:val="7A6D1D3E"/>
    <w:rsid w:val="7A6F3D08"/>
    <w:rsid w:val="7A70182E"/>
    <w:rsid w:val="7A7059B7"/>
    <w:rsid w:val="7A715CD2"/>
    <w:rsid w:val="7A735A72"/>
    <w:rsid w:val="7A747570"/>
    <w:rsid w:val="7A773114"/>
    <w:rsid w:val="7A78380A"/>
    <w:rsid w:val="7A7A0605"/>
    <w:rsid w:val="7A7A445B"/>
    <w:rsid w:val="7A7B26AD"/>
    <w:rsid w:val="7A7C01D3"/>
    <w:rsid w:val="7A7C4677"/>
    <w:rsid w:val="7A7E03EF"/>
    <w:rsid w:val="7A804167"/>
    <w:rsid w:val="7A810ADB"/>
    <w:rsid w:val="7A811C8D"/>
    <w:rsid w:val="7A8157E9"/>
    <w:rsid w:val="7A8265E1"/>
    <w:rsid w:val="7A862E00"/>
    <w:rsid w:val="7A8A0B42"/>
    <w:rsid w:val="7A8C48BA"/>
    <w:rsid w:val="7A8F3624"/>
    <w:rsid w:val="7A923E9A"/>
    <w:rsid w:val="7A925C48"/>
    <w:rsid w:val="7A951295"/>
    <w:rsid w:val="7A996FD7"/>
    <w:rsid w:val="7A9E45ED"/>
    <w:rsid w:val="7AA00365"/>
    <w:rsid w:val="7AA03EC1"/>
    <w:rsid w:val="7AA11240"/>
    <w:rsid w:val="7AA37E55"/>
    <w:rsid w:val="7AA5597C"/>
    <w:rsid w:val="7AA716F4"/>
    <w:rsid w:val="7AA7568D"/>
    <w:rsid w:val="7AAA2F92"/>
    <w:rsid w:val="7AAA4D40"/>
    <w:rsid w:val="7AAC0AB8"/>
    <w:rsid w:val="7AAD65DE"/>
    <w:rsid w:val="7AAF05A8"/>
    <w:rsid w:val="7AB14320"/>
    <w:rsid w:val="7AB23BF5"/>
    <w:rsid w:val="7AB35BC5"/>
    <w:rsid w:val="7AB83901"/>
    <w:rsid w:val="7ABA3647"/>
    <w:rsid w:val="7ABD0F17"/>
    <w:rsid w:val="7AC027B5"/>
    <w:rsid w:val="7AC1208A"/>
    <w:rsid w:val="7AC34054"/>
    <w:rsid w:val="7AC51B7A"/>
    <w:rsid w:val="7ACC115A"/>
    <w:rsid w:val="7AD24297"/>
    <w:rsid w:val="7AD4000F"/>
    <w:rsid w:val="7AD41DBD"/>
    <w:rsid w:val="7AD63D87"/>
    <w:rsid w:val="7AD85D51"/>
    <w:rsid w:val="7AD86450"/>
    <w:rsid w:val="7AD93877"/>
    <w:rsid w:val="7AD95625"/>
    <w:rsid w:val="7AD95EB0"/>
    <w:rsid w:val="7AD978E0"/>
    <w:rsid w:val="7ADA57DA"/>
    <w:rsid w:val="7ADC6EC3"/>
    <w:rsid w:val="7AE71AF0"/>
    <w:rsid w:val="7AE85868"/>
    <w:rsid w:val="7AE91D0C"/>
    <w:rsid w:val="7AED2E7F"/>
    <w:rsid w:val="7AEF4E49"/>
    <w:rsid w:val="7AF1471D"/>
    <w:rsid w:val="7AF20495"/>
    <w:rsid w:val="7AF470B9"/>
    <w:rsid w:val="7AF83CFD"/>
    <w:rsid w:val="7AFB37ED"/>
    <w:rsid w:val="7AFC60D6"/>
    <w:rsid w:val="7B0408F4"/>
    <w:rsid w:val="7B046B46"/>
    <w:rsid w:val="7B0501C8"/>
    <w:rsid w:val="7B054C06"/>
    <w:rsid w:val="7B072192"/>
    <w:rsid w:val="7B095F0A"/>
    <w:rsid w:val="7B0C1557"/>
    <w:rsid w:val="7B0C59FB"/>
    <w:rsid w:val="7B0D0E08"/>
    <w:rsid w:val="7B0D6374"/>
    <w:rsid w:val="7B116B6D"/>
    <w:rsid w:val="7B130B37"/>
    <w:rsid w:val="7B14665D"/>
    <w:rsid w:val="7B18439F"/>
    <w:rsid w:val="7B187EFC"/>
    <w:rsid w:val="7B1D19B6"/>
    <w:rsid w:val="7B1D3764"/>
    <w:rsid w:val="7B1F572E"/>
    <w:rsid w:val="7B2014A6"/>
    <w:rsid w:val="7B226FCC"/>
    <w:rsid w:val="7B227210"/>
    <w:rsid w:val="7B227565"/>
    <w:rsid w:val="7B24209E"/>
    <w:rsid w:val="7B252618"/>
    <w:rsid w:val="7B276391"/>
    <w:rsid w:val="7B2D132A"/>
    <w:rsid w:val="7B2E3BC3"/>
    <w:rsid w:val="7B2E5971"/>
    <w:rsid w:val="7B3307AF"/>
    <w:rsid w:val="7B346230"/>
    <w:rsid w:val="7B364826"/>
    <w:rsid w:val="7B3665D4"/>
    <w:rsid w:val="7B3B1E3C"/>
    <w:rsid w:val="7B3B2796"/>
    <w:rsid w:val="7B3D416D"/>
    <w:rsid w:val="7B3E48AE"/>
    <w:rsid w:val="7B452CBB"/>
    <w:rsid w:val="7B4927AB"/>
    <w:rsid w:val="7B4A207F"/>
    <w:rsid w:val="7B503B39"/>
    <w:rsid w:val="7B533629"/>
    <w:rsid w:val="7B5353D8"/>
    <w:rsid w:val="7B564EC8"/>
    <w:rsid w:val="7B5E4E76"/>
    <w:rsid w:val="7B5F1FCE"/>
    <w:rsid w:val="7B6018A2"/>
    <w:rsid w:val="7B607274"/>
    <w:rsid w:val="7B607AF4"/>
    <w:rsid w:val="7B62386D"/>
    <w:rsid w:val="7B66335D"/>
    <w:rsid w:val="7B664481"/>
    <w:rsid w:val="7B686D42"/>
    <w:rsid w:val="7B694BFB"/>
    <w:rsid w:val="7B6A44CF"/>
    <w:rsid w:val="7B6C6499"/>
    <w:rsid w:val="7B6E2211"/>
    <w:rsid w:val="7B70048C"/>
    <w:rsid w:val="7B705F89"/>
    <w:rsid w:val="7B707D38"/>
    <w:rsid w:val="7B737828"/>
    <w:rsid w:val="7B746E0D"/>
    <w:rsid w:val="7B752E6E"/>
    <w:rsid w:val="7B7A6E08"/>
    <w:rsid w:val="7B7A714B"/>
    <w:rsid w:val="7B7B492E"/>
    <w:rsid w:val="7B7B6CE0"/>
    <w:rsid w:val="7B7D2454"/>
    <w:rsid w:val="7B7D4202"/>
    <w:rsid w:val="7B80502B"/>
    <w:rsid w:val="7B8051F7"/>
    <w:rsid w:val="7B831833"/>
    <w:rsid w:val="7B841746"/>
    <w:rsid w:val="7B842D4C"/>
    <w:rsid w:val="7B845591"/>
    <w:rsid w:val="7B8657AD"/>
    <w:rsid w:val="7B87299F"/>
    <w:rsid w:val="7B875273"/>
    <w:rsid w:val="7B890DF9"/>
    <w:rsid w:val="7B89704B"/>
    <w:rsid w:val="7B8B4B71"/>
    <w:rsid w:val="7B8E6410"/>
    <w:rsid w:val="7B9003DA"/>
    <w:rsid w:val="7B947887"/>
    <w:rsid w:val="7B95154C"/>
    <w:rsid w:val="7B9559F0"/>
    <w:rsid w:val="7B98103C"/>
    <w:rsid w:val="7B98728E"/>
    <w:rsid w:val="7B9A3006"/>
    <w:rsid w:val="7B9D48A5"/>
    <w:rsid w:val="7BA348A0"/>
    <w:rsid w:val="7BA619AB"/>
    <w:rsid w:val="7BA6526A"/>
    <w:rsid w:val="7BA9149B"/>
    <w:rsid w:val="7BAB0D70"/>
    <w:rsid w:val="7BAB6FC2"/>
    <w:rsid w:val="7BAE260E"/>
    <w:rsid w:val="7BAE6AB2"/>
    <w:rsid w:val="7BAE7724"/>
    <w:rsid w:val="7BB5399C"/>
    <w:rsid w:val="7BB67714"/>
    <w:rsid w:val="7BB8348D"/>
    <w:rsid w:val="7BBB4173"/>
    <w:rsid w:val="7BBC11CF"/>
    <w:rsid w:val="7BBF0CBF"/>
    <w:rsid w:val="7BC02341"/>
    <w:rsid w:val="7BC10593"/>
    <w:rsid w:val="7BC2430B"/>
    <w:rsid w:val="7BC41E31"/>
    <w:rsid w:val="7BC57958"/>
    <w:rsid w:val="7BC71922"/>
    <w:rsid w:val="7BC938EC"/>
    <w:rsid w:val="7BC9569A"/>
    <w:rsid w:val="7BCC6F38"/>
    <w:rsid w:val="7BCD6327"/>
    <w:rsid w:val="7BD007D6"/>
    <w:rsid w:val="7BD302C6"/>
    <w:rsid w:val="7BD76009"/>
    <w:rsid w:val="7BD77DB7"/>
    <w:rsid w:val="7BDA1655"/>
    <w:rsid w:val="7BDC717B"/>
    <w:rsid w:val="7BDD2EF3"/>
    <w:rsid w:val="7BDE0BC1"/>
    <w:rsid w:val="7BE10C35"/>
    <w:rsid w:val="7BE6624C"/>
    <w:rsid w:val="7BE81FC4"/>
    <w:rsid w:val="7BEB1AB4"/>
    <w:rsid w:val="7BF02C26"/>
    <w:rsid w:val="7BF24BF0"/>
    <w:rsid w:val="7BF70459"/>
    <w:rsid w:val="7BF72207"/>
    <w:rsid w:val="7BFC4D26"/>
    <w:rsid w:val="7BFD3595"/>
    <w:rsid w:val="7BFE17E7"/>
    <w:rsid w:val="7BFE53B6"/>
    <w:rsid w:val="7C06244A"/>
    <w:rsid w:val="7C09018C"/>
    <w:rsid w:val="7C0D22DA"/>
    <w:rsid w:val="7C0E6296"/>
    <w:rsid w:val="7C183F2B"/>
    <w:rsid w:val="7C1A4147"/>
    <w:rsid w:val="7C1A7CA3"/>
    <w:rsid w:val="7C1C3A1B"/>
    <w:rsid w:val="7C224DAA"/>
    <w:rsid w:val="7C23124E"/>
    <w:rsid w:val="7C246D74"/>
    <w:rsid w:val="7C262AEC"/>
    <w:rsid w:val="7C286864"/>
    <w:rsid w:val="7C2D3E7B"/>
    <w:rsid w:val="7C3051CE"/>
    <w:rsid w:val="7C305719"/>
    <w:rsid w:val="7C32323F"/>
    <w:rsid w:val="7C336FB7"/>
    <w:rsid w:val="7C370855"/>
    <w:rsid w:val="7C38637B"/>
    <w:rsid w:val="7C3945CD"/>
    <w:rsid w:val="7C3A6597"/>
    <w:rsid w:val="7C3C2310"/>
    <w:rsid w:val="7C3D3992"/>
    <w:rsid w:val="7C432B6A"/>
    <w:rsid w:val="7C4371FA"/>
    <w:rsid w:val="7C4411C4"/>
    <w:rsid w:val="7C442F72"/>
    <w:rsid w:val="7C466CEA"/>
    <w:rsid w:val="7C46731F"/>
    <w:rsid w:val="7C4B2553"/>
    <w:rsid w:val="7C5036C5"/>
    <w:rsid w:val="7C513185"/>
    <w:rsid w:val="7C52568F"/>
    <w:rsid w:val="7C52743D"/>
    <w:rsid w:val="7C5331B5"/>
    <w:rsid w:val="7C541A59"/>
    <w:rsid w:val="7C547659"/>
    <w:rsid w:val="7C5807CC"/>
    <w:rsid w:val="7C596A1E"/>
    <w:rsid w:val="7C5E2286"/>
    <w:rsid w:val="7C5E4034"/>
    <w:rsid w:val="7C5F1CF3"/>
    <w:rsid w:val="7C63309F"/>
    <w:rsid w:val="7C653614"/>
    <w:rsid w:val="7C66738C"/>
    <w:rsid w:val="7C6C5AC7"/>
    <w:rsid w:val="7C6F4493"/>
    <w:rsid w:val="7C704248"/>
    <w:rsid w:val="7C705B15"/>
    <w:rsid w:val="7C7278F9"/>
    <w:rsid w:val="7C745605"/>
    <w:rsid w:val="7C765821"/>
    <w:rsid w:val="7C7F3FAA"/>
    <w:rsid w:val="7C815F74"/>
    <w:rsid w:val="7C887303"/>
    <w:rsid w:val="7C8A307B"/>
    <w:rsid w:val="7C8A4E29"/>
    <w:rsid w:val="7C8A6FC5"/>
    <w:rsid w:val="7C8B294F"/>
    <w:rsid w:val="7C8B6DF3"/>
    <w:rsid w:val="7C8D4919"/>
    <w:rsid w:val="7C8E336B"/>
    <w:rsid w:val="7C905063"/>
    <w:rsid w:val="7C935EA0"/>
    <w:rsid w:val="7C943EFA"/>
    <w:rsid w:val="7C9537CE"/>
    <w:rsid w:val="7C9A0DE4"/>
    <w:rsid w:val="7C9B7203"/>
    <w:rsid w:val="7C9C4B5C"/>
    <w:rsid w:val="7CA10985"/>
    <w:rsid w:val="7CA12173"/>
    <w:rsid w:val="7CA26617"/>
    <w:rsid w:val="7CA40690"/>
    <w:rsid w:val="7CA67789"/>
    <w:rsid w:val="7CAD0B17"/>
    <w:rsid w:val="7CB41EA6"/>
    <w:rsid w:val="7CB4634A"/>
    <w:rsid w:val="7CB7465C"/>
    <w:rsid w:val="7CB76DB1"/>
    <w:rsid w:val="7CB974BC"/>
    <w:rsid w:val="7CBC51FE"/>
    <w:rsid w:val="7CBE0F77"/>
    <w:rsid w:val="7CC13AEF"/>
    <w:rsid w:val="7CC540B3"/>
    <w:rsid w:val="7CC6544B"/>
    <w:rsid w:val="7CC876FF"/>
    <w:rsid w:val="7CCD2F68"/>
    <w:rsid w:val="7CCF60F3"/>
    <w:rsid w:val="7CD04806"/>
    <w:rsid w:val="7CD10CAA"/>
    <w:rsid w:val="7CD73DE6"/>
    <w:rsid w:val="7CD82038"/>
    <w:rsid w:val="7CD90635"/>
    <w:rsid w:val="7CD91D76"/>
    <w:rsid w:val="7CDB5685"/>
    <w:rsid w:val="7CDE6F23"/>
    <w:rsid w:val="7CDF7C7E"/>
    <w:rsid w:val="7CE85FF3"/>
    <w:rsid w:val="7CE94B84"/>
    <w:rsid w:val="7CEA75F4"/>
    <w:rsid w:val="7CED53B8"/>
    <w:rsid w:val="7CEF2EDE"/>
    <w:rsid w:val="7CF229CE"/>
    <w:rsid w:val="7CF44998"/>
    <w:rsid w:val="7CF46211"/>
    <w:rsid w:val="7CF76237"/>
    <w:rsid w:val="7CF93D5D"/>
    <w:rsid w:val="7CFC55FB"/>
    <w:rsid w:val="7CFE75C5"/>
    <w:rsid w:val="7D004222"/>
    <w:rsid w:val="7D010F82"/>
    <w:rsid w:val="7D011CA4"/>
    <w:rsid w:val="7D0239FF"/>
    <w:rsid w:val="7D052701"/>
    <w:rsid w:val="7D053E64"/>
    <w:rsid w:val="7D060228"/>
    <w:rsid w:val="7D092E74"/>
    <w:rsid w:val="7D0A7D18"/>
    <w:rsid w:val="7D0D7808"/>
    <w:rsid w:val="7D0F17D2"/>
    <w:rsid w:val="7D136216"/>
    <w:rsid w:val="7D140B97"/>
    <w:rsid w:val="7D172435"/>
    <w:rsid w:val="7D181680"/>
    <w:rsid w:val="7D1D701A"/>
    <w:rsid w:val="7D1E58D9"/>
    <w:rsid w:val="7D1E7AAE"/>
    <w:rsid w:val="7D1F7C67"/>
    <w:rsid w:val="7D2012E9"/>
    <w:rsid w:val="7D211C40"/>
    <w:rsid w:val="7D250FF6"/>
    <w:rsid w:val="7D252DA4"/>
    <w:rsid w:val="7D256900"/>
    <w:rsid w:val="7D275737"/>
    <w:rsid w:val="7D2A018E"/>
    <w:rsid w:val="7D2A03BA"/>
    <w:rsid w:val="7D2B3C9A"/>
    <w:rsid w:val="7D2C5EE0"/>
    <w:rsid w:val="7D2C6315"/>
    <w:rsid w:val="7D2E7EAA"/>
    <w:rsid w:val="7D2F3BDC"/>
    <w:rsid w:val="7D39684F"/>
    <w:rsid w:val="7D3B2F9B"/>
    <w:rsid w:val="7D3B4375"/>
    <w:rsid w:val="7D3C6F98"/>
    <w:rsid w:val="7D3D1E9B"/>
    <w:rsid w:val="7D3E3E65"/>
    <w:rsid w:val="7D3E79C1"/>
    <w:rsid w:val="7D4476CE"/>
    <w:rsid w:val="7D474AC8"/>
    <w:rsid w:val="7D496A92"/>
    <w:rsid w:val="7D4E22FA"/>
    <w:rsid w:val="7D5611AF"/>
    <w:rsid w:val="7D562F5D"/>
    <w:rsid w:val="7D573123"/>
    <w:rsid w:val="7D5947FB"/>
    <w:rsid w:val="7D5A43EB"/>
    <w:rsid w:val="7D5D42EC"/>
    <w:rsid w:val="7D5E0064"/>
    <w:rsid w:val="7D5E40CD"/>
    <w:rsid w:val="7D60025D"/>
    <w:rsid w:val="7D60202E"/>
    <w:rsid w:val="7D621902"/>
    <w:rsid w:val="7D6531A0"/>
    <w:rsid w:val="7D6733BC"/>
    <w:rsid w:val="7D673D8B"/>
    <w:rsid w:val="7D6D5CC1"/>
    <w:rsid w:val="7D6E02A7"/>
    <w:rsid w:val="7D6F2271"/>
    <w:rsid w:val="7D6F68C2"/>
    <w:rsid w:val="7D7358BD"/>
    <w:rsid w:val="7D7366D3"/>
    <w:rsid w:val="7D770681"/>
    <w:rsid w:val="7D781125"/>
    <w:rsid w:val="7D787377"/>
    <w:rsid w:val="7D796C4C"/>
    <w:rsid w:val="7D7A30EF"/>
    <w:rsid w:val="7D7D04EA"/>
    <w:rsid w:val="7D7D498E"/>
    <w:rsid w:val="7D7D6043"/>
    <w:rsid w:val="7D7E4262"/>
    <w:rsid w:val="7D7F0706"/>
    <w:rsid w:val="7D8201F6"/>
    <w:rsid w:val="7D821FA4"/>
    <w:rsid w:val="7D83098D"/>
    <w:rsid w:val="7D8555F0"/>
    <w:rsid w:val="7D87580C"/>
    <w:rsid w:val="7D8E0949"/>
    <w:rsid w:val="7D8F646F"/>
    <w:rsid w:val="7D902913"/>
    <w:rsid w:val="7D9121E7"/>
    <w:rsid w:val="7D9341B1"/>
    <w:rsid w:val="7D937D0D"/>
    <w:rsid w:val="7D944D3F"/>
    <w:rsid w:val="7D9817C8"/>
    <w:rsid w:val="7DA0242A"/>
    <w:rsid w:val="7DA22646"/>
    <w:rsid w:val="7DA261A2"/>
    <w:rsid w:val="7DA737B9"/>
    <w:rsid w:val="7DA77C5D"/>
    <w:rsid w:val="7DAA5057"/>
    <w:rsid w:val="7DAC7021"/>
    <w:rsid w:val="7DAE00ED"/>
    <w:rsid w:val="7DAE4B47"/>
    <w:rsid w:val="7DB12889"/>
    <w:rsid w:val="7DB163E5"/>
    <w:rsid w:val="7DB22425"/>
    <w:rsid w:val="7DB303AF"/>
    <w:rsid w:val="7DBA34EC"/>
    <w:rsid w:val="7DBB7264"/>
    <w:rsid w:val="7DC15B2F"/>
    <w:rsid w:val="7DC205F3"/>
    <w:rsid w:val="7DC30A8A"/>
    <w:rsid w:val="7DC46119"/>
    <w:rsid w:val="7DC477E3"/>
    <w:rsid w:val="7DCD56F2"/>
    <w:rsid w:val="7DCE51E9"/>
    <w:rsid w:val="7DCE6F97"/>
    <w:rsid w:val="7DD24CD9"/>
    <w:rsid w:val="7DDA033E"/>
    <w:rsid w:val="7DE02B83"/>
    <w:rsid w:val="7DE14F1D"/>
    <w:rsid w:val="7DE247F1"/>
    <w:rsid w:val="7DE42B56"/>
    <w:rsid w:val="7DE642E1"/>
    <w:rsid w:val="7DE669F5"/>
    <w:rsid w:val="7DE70059"/>
    <w:rsid w:val="7DE85681"/>
    <w:rsid w:val="7DED1B13"/>
    <w:rsid w:val="7DEE3196"/>
    <w:rsid w:val="7DF05160"/>
    <w:rsid w:val="7DF32EA2"/>
    <w:rsid w:val="7DF436EC"/>
    <w:rsid w:val="7DF804B8"/>
    <w:rsid w:val="7DFB58B2"/>
    <w:rsid w:val="7DFC1BF7"/>
    <w:rsid w:val="7DFD162B"/>
    <w:rsid w:val="7E01111B"/>
    <w:rsid w:val="7E0135FC"/>
    <w:rsid w:val="7E0155BF"/>
    <w:rsid w:val="7E024E93"/>
    <w:rsid w:val="7E0272C8"/>
    <w:rsid w:val="7E064983"/>
    <w:rsid w:val="7E0E55E6"/>
    <w:rsid w:val="7E1626EC"/>
    <w:rsid w:val="7E186464"/>
    <w:rsid w:val="7E192908"/>
    <w:rsid w:val="7E1E56F5"/>
    <w:rsid w:val="7E1F77F3"/>
    <w:rsid w:val="7E235535"/>
    <w:rsid w:val="7E292420"/>
    <w:rsid w:val="7E2A2A0B"/>
    <w:rsid w:val="7E2B43EA"/>
    <w:rsid w:val="7E2B6198"/>
    <w:rsid w:val="7E2C3CBE"/>
    <w:rsid w:val="7E2D63B4"/>
    <w:rsid w:val="7E2E5C88"/>
    <w:rsid w:val="7E2F2716"/>
    <w:rsid w:val="7E310B05"/>
    <w:rsid w:val="7E325778"/>
    <w:rsid w:val="7E3314F0"/>
    <w:rsid w:val="7E33329E"/>
    <w:rsid w:val="7E350DC4"/>
    <w:rsid w:val="7E370FE0"/>
    <w:rsid w:val="7E374B3D"/>
    <w:rsid w:val="7E3844C9"/>
    <w:rsid w:val="7E38629C"/>
    <w:rsid w:val="7E3E411D"/>
    <w:rsid w:val="7E410432"/>
    <w:rsid w:val="7E413AB9"/>
    <w:rsid w:val="7E417769"/>
    <w:rsid w:val="7E470AF8"/>
    <w:rsid w:val="7E4A56E3"/>
    <w:rsid w:val="7E4C610E"/>
    <w:rsid w:val="7E4E2321"/>
    <w:rsid w:val="7E4F632A"/>
    <w:rsid w:val="7E525E1A"/>
    <w:rsid w:val="7E53749D"/>
    <w:rsid w:val="7E544334"/>
    <w:rsid w:val="7E551467"/>
    <w:rsid w:val="7E5A082B"/>
    <w:rsid w:val="7E5C27F5"/>
    <w:rsid w:val="7E6054A8"/>
    <w:rsid w:val="7E663674"/>
    <w:rsid w:val="7E6B6EDC"/>
    <w:rsid w:val="7E6D4A02"/>
    <w:rsid w:val="7E6D67B0"/>
    <w:rsid w:val="7E7062A0"/>
    <w:rsid w:val="7E725B75"/>
    <w:rsid w:val="7E745D91"/>
    <w:rsid w:val="7E7713DD"/>
    <w:rsid w:val="7E775881"/>
    <w:rsid w:val="7E78372F"/>
    <w:rsid w:val="7E7933A7"/>
    <w:rsid w:val="7E7958A6"/>
    <w:rsid w:val="7E7E09BD"/>
    <w:rsid w:val="7E7F0A31"/>
    <w:rsid w:val="7E81304E"/>
    <w:rsid w:val="7E81400A"/>
    <w:rsid w:val="7E843AFA"/>
    <w:rsid w:val="7E846360"/>
    <w:rsid w:val="7E857F9E"/>
    <w:rsid w:val="7E88183C"/>
    <w:rsid w:val="7E885398"/>
    <w:rsid w:val="7E8B4E88"/>
    <w:rsid w:val="7E8B6C36"/>
    <w:rsid w:val="7E8E6727"/>
    <w:rsid w:val="7E9006F1"/>
    <w:rsid w:val="7E902E46"/>
    <w:rsid w:val="7E906943"/>
    <w:rsid w:val="7E971A7F"/>
    <w:rsid w:val="7E9A50CB"/>
    <w:rsid w:val="7E9D2E6E"/>
    <w:rsid w:val="7E9E4BBC"/>
    <w:rsid w:val="7EA06B86"/>
    <w:rsid w:val="7EA62E94"/>
    <w:rsid w:val="7EA85A3A"/>
    <w:rsid w:val="7EAA3560"/>
    <w:rsid w:val="7EAB72D9"/>
    <w:rsid w:val="7EAD3051"/>
    <w:rsid w:val="7EB10D93"/>
    <w:rsid w:val="7EB20667"/>
    <w:rsid w:val="7EB3166A"/>
    <w:rsid w:val="7EB77732"/>
    <w:rsid w:val="7EBB576E"/>
    <w:rsid w:val="7EBD1E50"/>
    <w:rsid w:val="7EBE0DBA"/>
    <w:rsid w:val="7EBF4B32"/>
    <w:rsid w:val="7EC02D84"/>
    <w:rsid w:val="7EC14203"/>
    <w:rsid w:val="7EC27582"/>
    <w:rsid w:val="7EC32874"/>
    <w:rsid w:val="7EC64112"/>
    <w:rsid w:val="7EC87E8B"/>
    <w:rsid w:val="7EC9775F"/>
    <w:rsid w:val="7ECF0F9A"/>
    <w:rsid w:val="7ECF59B9"/>
    <w:rsid w:val="7ED405DD"/>
    <w:rsid w:val="7ED45422"/>
    <w:rsid w:val="7ED4682F"/>
    <w:rsid w:val="7ED56104"/>
    <w:rsid w:val="7ED625A7"/>
    <w:rsid w:val="7ED95BF4"/>
    <w:rsid w:val="7EDF62AF"/>
    <w:rsid w:val="7EE10F4C"/>
    <w:rsid w:val="7EE1361A"/>
    <w:rsid w:val="7EE36A72"/>
    <w:rsid w:val="7EE60311"/>
    <w:rsid w:val="7EE614F9"/>
    <w:rsid w:val="7EE8052D"/>
    <w:rsid w:val="7EEA1BAF"/>
    <w:rsid w:val="7EEB3B79"/>
    <w:rsid w:val="7EED169F"/>
    <w:rsid w:val="7EF26CB5"/>
    <w:rsid w:val="7EF40C80"/>
    <w:rsid w:val="7EF86055"/>
    <w:rsid w:val="7EF90044"/>
    <w:rsid w:val="7EF97BE0"/>
    <w:rsid w:val="7EFC18E2"/>
    <w:rsid w:val="7EFC5E66"/>
    <w:rsid w:val="7EFE565A"/>
    <w:rsid w:val="7F001CE7"/>
    <w:rsid w:val="7F0047E7"/>
    <w:rsid w:val="7F01339C"/>
    <w:rsid w:val="7F054669"/>
    <w:rsid w:val="7F080287"/>
    <w:rsid w:val="7F08297D"/>
    <w:rsid w:val="7F0A2251"/>
    <w:rsid w:val="7F0C421B"/>
    <w:rsid w:val="7F0D6DEB"/>
    <w:rsid w:val="7F1255AA"/>
    <w:rsid w:val="7F141322"/>
    <w:rsid w:val="7F160BF6"/>
    <w:rsid w:val="7F1629A4"/>
    <w:rsid w:val="7F1771D1"/>
    <w:rsid w:val="7F1C3D32"/>
    <w:rsid w:val="7F1E5CFC"/>
    <w:rsid w:val="7F201A75"/>
    <w:rsid w:val="7F227B81"/>
    <w:rsid w:val="7F272E03"/>
    <w:rsid w:val="7F2F3A66"/>
    <w:rsid w:val="7F2F66C9"/>
    <w:rsid w:val="7F2F7F0A"/>
    <w:rsid w:val="7F323556"/>
    <w:rsid w:val="7F361298"/>
    <w:rsid w:val="7F392B36"/>
    <w:rsid w:val="7F403EC5"/>
    <w:rsid w:val="7F413799"/>
    <w:rsid w:val="7F452F1B"/>
    <w:rsid w:val="7F460DAF"/>
    <w:rsid w:val="7F480FCB"/>
    <w:rsid w:val="7F481C1B"/>
    <w:rsid w:val="7F4A6AF1"/>
    <w:rsid w:val="7F4A728E"/>
    <w:rsid w:val="7F4E570E"/>
    <w:rsid w:val="7F58120E"/>
    <w:rsid w:val="7F590AE3"/>
    <w:rsid w:val="7F594F87"/>
    <w:rsid w:val="7F5D6825"/>
    <w:rsid w:val="7F601E71"/>
    <w:rsid w:val="7F6556D9"/>
    <w:rsid w:val="7F6776A3"/>
    <w:rsid w:val="7F6C4CBA"/>
    <w:rsid w:val="7F6F47AA"/>
    <w:rsid w:val="7F6F6558"/>
    <w:rsid w:val="7F721BA4"/>
    <w:rsid w:val="7F741DC0"/>
    <w:rsid w:val="7F765B38"/>
    <w:rsid w:val="7F7939B1"/>
    <w:rsid w:val="7F7973D7"/>
    <w:rsid w:val="7F7A58CF"/>
    <w:rsid w:val="7F7D6EC7"/>
    <w:rsid w:val="7F8042C1"/>
    <w:rsid w:val="7F82628B"/>
    <w:rsid w:val="7F842003"/>
    <w:rsid w:val="7F857B2A"/>
    <w:rsid w:val="7F863192"/>
    <w:rsid w:val="7F8A3392"/>
    <w:rsid w:val="7F8A5140"/>
    <w:rsid w:val="7F8C2C66"/>
    <w:rsid w:val="7F8F2756"/>
    <w:rsid w:val="7F911521"/>
    <w:rsid w:val="7F9554E0"/>
    <w:rsid w:val="7F983D01"/>
    <w:rsid w:val="7F98785D"/>
    <w:rsid w:val="7FA2248A"/>
    <w:rsid w:val="7FA44454"/>
    <w:rsid w:val="7FA91A6A"/>
    <w:rsid w:val="7FAA7590"/>
    <w:rsid w:val="7FAB54CF"/>
    <w:rsid w:val="7FAC155A"/>
    <w:rsid w:val="7FAE0E2E"/>
    <w:rsid w:val="7FAE7080"/>
    <w:rsid w:val="7FB623D9"/>
    <w:rsid w:val="7FB65F35"/>
    <w:rsid w:val="7FB83A5B"/>
    <w:rsid w:val="7FBA5A25"/>
    <w:rsid w:val="7FBD3767"/>
    <w:rsid w:val="7FBD72C3"/>
    <w:rsid w:val="7FC00B62"/>
    <w:rsid w:val="7FC24598"/>
    <w:rsid w:val="7FC93EBA"/>
    <w:rsid w:val="7FC943E8"/>
    <w:rsid w:val="7FC95C68"/>
    <w:rsid w:val="7FCF6FF7"/>
    <w:rsid w:val="7FD14040"/>
    <w:rsid w:val="7FD34D39"/>
    <w:rsid w:val="7FD60385"/>
    <w:rsid w:val="7FD665D7"/>
    <w:rsid w:val="7FDA65D6"/>
    <w:rsid w:val="7FDD7966"/>
    <w:rsid w:val="7FDF50FB"/>
    <w:rsid w:val="7FE24F7C"/>
    <w:rsid w:val="7FE47E50"/>
    <w:rsid w:val="7FE9630A"/>
    <w:rsid w:val="7FEA7168"/>
    <w:rsid w:val="7FEB046D"/>
    <w:rsid w:val="7FEB2083"/>
    <w:rsid w:val="7FEE56CF"/>
    <w:rsid w:val="7FF01447"/>
    <w:rsid w:val="7FF07699"/>
    <w:rsid w:val="7FF151BF"/>
    <w:rsid w:val="7FF54CAF"/>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ocked="1"/>
    <w:lsdException w:qFormat="1" w:unhideWhenUsed="0" w:uiPriority="1"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99"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qFormat="1"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sdException w:unhideWhenUsed="0" w:uiPriority="0" w:semiHidden="0" w:name="Body Text Indent 3" w:locked="1"/>
    <w:lsdException w:qFormat="1" w:unhideWhenUsed="0" w:uiPriority="0" w:semiHidden="0" w:name="Block Text"/>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1"/>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1"/>
    <w:pPr>
      <w:keepNext/>
      <w:keepLines/>
      <w:spacing w:before="260" w:after="260" w:line="416" w:lineRule="auto"/>
      <w:jc w:val="center"/>
      <w:outlineLvl w:val="1"/>
    </w:pPr>
    <w:rPr>
      <w:rFonts w:ascii="Arial" w:hAnsi="Arial" w:eastAsia="黑体" w:cs="Arial"/>
      <w:sz w:val="32"/>
      <w:szCs w:val="32"/>
    </w:rPr>
  </w:style>
  <w:style w:type="paragraph" w:styleId="4">
    <w:name w:val="heading 3"/>
    <w:basedOn w:val="1"/>
    <w:next w:val="1"/>
    <w:qFormat/>
    <w:locked/>
    <w:uiPriority w:val="0"/>
    <w:pPr>
      <w:keepNext/>
      <w:keepLines/>
      <w:spacing w:before="260" w:after="260" w:line="416" w:lineRule="auto"/>
      <w:outlineLvl w:val="2"/>
    </w:pPr>
    <w:rPr>
      <w:b/>
      <w:bCs/>
      <w:kern w:val="0"/>
      <w:sz w:val="32"/>
      <w:szCs w:val="32"/>
    </w:rPr>
  </w:style>
  <w:style w:type="paragraph" w:styleId="5">
    <w:name w:val="heading 4"/>
    <w:basedOn w:val="1"/>
    <w:next w:val="1"/>
    <w:qFormat/>
    <w:locked/>
    <w:uiPriority w:val="9"/>
    <w:pPr>
      <w:keepNext/>
      <w:keepLines/>
      <w:outlineLvl w:val="3"/>
    </w:pPr>
    <w:rPr>
      <w:b/>
      <w:bCs/>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List 3"/>
    <w:basedOn w:val="1"/>
    <w:unhideWhenUsed/>
    <w:qFormat/>
    <w:locked/>
    <w:uiPriority w:val="99"/>
    <w:pPr>
      <w:spacing w:before="100" w:beforeAutospacing="1" w:after="100" w:afterAutospacing="1"/>
      <w:ind w:left="100" w:leftChars="400" w:hanging="200" w:hangingChars="200"/>
    </w:pPr>
    <w:rPr>
      <w:szCs w:val="21"/>
    </w:rPr>
  </w:style>
  <w:style w:type="paragraph" w:styleId="7">
    <w:name w:val="Note Heading"/>
    <w:basedOn w:val="1"/>
    <w:next w:val="1"/>
    <w:qFormat/>
    <w:locked/>
    <w:uiPriority w:val="0"/>
    <w:pPr>
      <w:jc w:val="center"/>
    </w:pPr>
  </w:style>
  <w:style w:type="paragraph" w:styleId="8">
    <w:name w:val="Normal Indent"/>
    <w:basedOn w:val="1"/>
    <w:next w:val="9"/>
    <w:qFormat/>
    <w:uiPriority w:val="0"/>
    <w:pPr>
      <w:ind w:firstLine="420"/>
    </w:pPr>
    <w:rPr>
      <w:szCs w:val="20"/>
    </w:rPr>
  </w:style>
  <w:style w:type="paragraph" w:customStyle="1" w:styleId="9">
    <w:name w:val="Default"/>
    <w:basedOn w:val="10"/>
    <w:next w:val="11"/>
    <w:link w:val="56"/>
    <w:qFormat/>
    <w:uiPriority w:val="0"/>
    <w:pPr>
      <w:autoSpaceDE w:val="0"/>
      <w:autoSpaceDN w:val="0"/>
    </w:pPr>
    <w:rPr>
      <w:rFonts w:ascii="方正仿宋_GB2312" w:eastAsia="方正仿宋_GB2312" w:cs="方正仿宋_GB2312"/>
      <w:color w:val="000000"/>
      <w:sz w:val="24"/>
      <w:szCs w:val="24"/>
    </w:rPr>
  </w:style>
  <w:style w:type="paragraph" w:customStyle="1" w:styleId="10">
    <w:name w:val="纯文本1"/>
    <w:basedOn w:val="1"/>
    <w:qFormat/>
    <w:uiPriority w:val="0"/>
    <w:pPr>
      <w:adjustRightInd w:val="0"/>
    </w:pPr>
    <w:rPr>
      <w:rFonts w:ascii="宋体" w:hAnsi="Courier New"/>
      <w:szCs w:val="20"/>
    </w:rPr>
  </w:style>
  <w:style w:type="paragraph" w:customStyle="1" w:styleId="11">
    <w:name w:val="表格文字"/>
    <w:basedOn w:val="8"/>
    <w:next w:val="1"/>
    <w:link w:val="62"/>
    <w:qFormat/>
    <w:uiPriority w:val="0"/>
    <w:pPr>
      <w:jc w:val="center"/>
    </w:pPr>
    <w:rPr>
      <w:kern w:val="44"/>
    </w:rPr>
  </w:style>
  <w:style w:type="paragraph" w:styleId="12">
    <w:name w:val="caption"/>
    <w:basedOn w:val="1"/>
    <w:next w:val="1"/>
    <w:qFormat/>
    <w:locked/>
    <w:uiPriority w:val="0"/>
    <w:rPr>
      <w:rFonts w:ascii="Cambria" w:hAnsi="Cambria" w:eastAsia="黑体"/>
      <w:sz w:val="20"/>
      <w:szCs w:val="20"/>
    </w:rPr>
  </w:style>
  <w:style w:type="paragraph" w:styleId="13">
    <w:name w:val="index 5"/>
    <w:basedOn w:val="1"/>
    <w:next w:val="1"/>
    <w:qFormat/>
    <w:locked/>
    <w:uiPriority w:val="0"/>
    <w:pPr>
      <w:ind w:left="800" w:leftChars="800"/>
    </w:pPr>
  </w:style>
  <w:style w:type="paragraph" w:styleId="14">
    <w:name w:val="annotation text"/>
    <w:basedOn w:val="1"/>
    <w:link w:val="44"/>
    <w:qFormat/>
    <w:uiPriority w:val="0"/>
    <w:pPr>
      <w:jc w:val="left"/>
    </w:pPr>
    <w:rPr>
      <w:kern w:val="0"/>
      <w:sz w:val="24"/>
      <w:szCs w:val="20"/>
    </w:rPr>
  </w:style>
  <w:style w:type="paragraph" w:styleId="15">
    <w:name w:val="Body Text"/>
    <w:basedOn w:val="1"/>
    <w:next w:val="1"/>
    <w:qFormat/>
    <w:uiPriority w:val="0"/>
    <w:pPr>
      <w:widowControl/>
      <w:snapToGrid w:val="0"/>
      <w:spacing w:before="60" w:after="160" w:line="259" w:lineRule="auto"/>
      <w:ind w:right="113"/>
    </w:pPr>
    <w:rPr>
      <w:kern w:val="0"/>
      <w:sz w:val="18"/>
      <w:szCs w:val="20"/>
    </w:rPr>
  </w:style>
  <w:style w:type="paragraph" w:styleId="16">
    <w:name w:val="Body Text Indent"/>
    <w:basedOn w:val="1"/>
    <w:qFormat/>
    <w:uiPriority w:val="0"/>
    <w:pPr>
      <w:spacing w:after="120"/>
      <w:ind w:left="420" w:leftChars="200"/>
    </w:pPr>
  </w:style>
  <w:style w:type="paragraph" w:styleId="17">
    <w:name w:val="Block Text"/>
    <w:basedOn w:val="1"/>
    <w:qFormat/>
    <w:uiPriority w:val="0"/>
    <w:pPr>
      <w:spacing w:line="360" w:lineRule="exact"/>
      <w:ind w:left="105" w:leftChars="50" w:right="105" w:rightChars="50"/>
    </w:pPr>
    <w:rPr>
      <w:sz w:val="24"/>
    </w:rPr>
  </w:style>
  <w:style w:type="paragraph" w:styleId="18">
    <w:name w:val="Plain Text"/>
    <w:basedOn w:val="1"/>
    <w:next w:val="1"/>
    <w:qFormat/>
    <w:locked/>
    <w:uiPriority w:val="0"/>
    <w:rPr>
      <w:rFonts w:ascii="宋体" w:hAnsi="Courier New"/>
      <w:szCs w:val="20"/>
    </w:rPr>
  </w:style>
  <w:style w:type="paragraph" w:styleId="19">
    <w:name w:val="toc 8"/>
    <w:next w:val="1"/>
    <w:qFormat/>
    <w:locked/>
    <w:uiPriority w:val="0"/>
    <w:pPr>
      <w:wordWrap w:val="0"/>
      <w:ind w:left="2550"/>
      <w:jc w:val="both"/>
    </w:pPr>
    <w:rPr>
      <w:rFonts w:ascii="Times New Roman" w:hAnsi="Times New Roman" w:eastAsia="宋体" w:cs="Times New Roman"/>
      <w:sz w:val="21"/>
      <w:lang w:val="en-US" w:eastAsia="zh-CN" w:bidi="ar-SA"/>
    </w:rPr>
  </w:style>
  <w:style w:type="paragraph" w:styleId="20">
    <w:name w:val="Date"/>
    <w:basedOn w:val="1"/>
    <w:next w:val="1"/>
    <w:link w:val="45"/>
    <w:qFormat/>
    <w:uiPriority w:val="0"/>
    <w:pPr>
      <w:ind w:left="100" w:leftChars="2500"/>
    </w:pPr>
    <w:rPr>
      <w:kern w:val="0"/>
      <w:sz w:val="24"/>
      <w:szCs w:val="20"/>
    </w:rPr>
  </w:style>
  <w:style w:type="paragraph" w:styleId="21">
    <w:name w:val="Body Text Indent 2"/>
    <w:basedOn w:val="1"/>
    <w:qFormat/>
    <w:uiPriority w:val="0"/>
    <w:pPr>
      <w:widowControl w:val="0"/>
      <w:autoSpaceDE/>
      <w:autoSpaceDN/>
      <w:spacing w:before="0" w:after="0" w:line="520" w:lineRule="exact"/>
      <w:ind w:left="0" w:firstLine="675"/>
      <w:jc w:val="both"/>
    </w:pPr>
    <w:rPr>
      <w:rFonts w:ascii="宋体" w:eastAsia="宋体"/>
      <w:color w:val="000000"/>
      <w:sz w:val="28"/>
    </w:rPr>
  </w:style>
  <w:style w:type="paragraph" w:styleId="22">
    <w:name w:val="Balloon Text"/>
    <w:basedOn w:val="1"/>
    <w:link w:val="46"/>
    <w:semiHidden/>
    <w:qFormat/>
    <w:uiPriority w:val="0"/>
    <w:rPr>
      <w:kern w:val="0"/>
      <w:sz w:val="18"/>
      <w:szCs w:val="20"/>
    </w:rPr>
  </w:style>
  <w:style w:type="paragraph" w:styleId="23">
    <w:name w:val="footer"/>
    <w:basedOn w:val="1"/>
    <w:qFormat/>
    <w:uiPriority w:val="0"/>
    <w:pPr>
      <w:tabs>
        <w:tab w:val="center" w:pos="4153"/>
        <w:tab w:val="right" w:pos="8306"/>
      </w:tabs>
      <w:snapToGrid w:val="0"/>
      <w:jc w:val="left"/>
    </w:pPr>
    <w:rPr>
      <w:sz w:val="18"/>
    </w:rPr>
  </w:style>
  <w:style w:type="paragraph" w:styleId="24">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25">
    <w:name w:val="toc 1"/>
    <w:basedOn w:val="1"/>
    <w:next w:val="1"/>
    <w:semiHidden/>
    <w:qFormat/>
    <w:locked/>
    <w:uiPriority w:val="99"/>
  </w:style>
  <w:style w:type="paragraph" w:styleId="26">
    <w:name w:val="index heading"/>
    <w:basedOn w:val="1"/>
    <w:next w:val="27"/>
    <w:semiHidden/>
    <w:qFormat/>
    <w:locked/>
    <w:uiPriority w:val="0"/>
    <w:rPr>
      <w:rFonts w:ascii="Arial" w:hAnsi="Arial" w:cs="Arial"/>
      <w:b/>
      <w:bCs/>
    </w:rPr>
  </w:style>
  <w:style w:type="paragraph" w:styleId="27">
    <w:name w:val="index 1"/>
    <w:basedOn w:val="1"/>
    <w:next w:val="1"/>
    <w:qFormat/>
    <w:locked/>
    <w:uiPriority w:val="0"/>
    <w:rPr>
      <w:b/>
      <w:spacing w:val="-6"/>
      <w:sz w:val="28"/>
      <w:szCs w:val="28"/>
    </w:rPr>
  </w:style>
  <w:style w:type="paragraph" w:styleId="28">
    <w:name w:val="toc 6"/>
    <w:basedOn w:val="1"/>
    <w:next w:val="1"/>
    <w:qFormat/>
    <w:locked/>
    <w:uiPriority w:val="0"/>
    <w:pPr>
      <w:ind w:left="1050"/>
      <w:jc w:val="left"/>
    </w:pPr>
    <w:rPr>
      <w:sz w:val="18"/>
      <w:szCs w:val="18"/>
    </w:rPr>
  </w:style>
  <w:style w:type="paragraph" w:styleId="29">
    <w:name w:val="table of figures"/>
    <w:basedOn w:val="1"/>
    <w:next w:val="1"/>
    <w:qFormat/>
    <w:locked/>
    <w:uiPriority w:val="0"/>
    <w:pPr>
      <w:ind w:left="200" w:leftChars="200" w:hanging="200" w:hangingChars="200"/>
    </w:pPr>
  </w:style>
  <w:style w:type="paragraph" w:styleId="30">
    <w:name w:val="Normal (Web)"/>
    <w:basedOn w:val="1"/>
    <w:next w:val="19"/>
    <w:link w:val="47"/>
    <w:qFormat/>
    <w:uiPriority w:val="99"/>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0"/>
    <w:pPr>
      <w:jc w:val="center"/>
    </w:pPr>
    <w:rPr>
      <w:bCs/>
      <w:kern w:val="0"/>
      <w:sz w:val="20"/>
      <w:szCs w:val="32"/>
    </w:rPr>
  </w:style>
  <w:style w:type="paragraph" w:styleId="32">
    <w:name w:val="annotation subject"/>
    <w:basedOn w:val="14"/>
    <w:next w:val="14"/>
    <w:link w:val="48"/>
    <w:semiHidden/>
    <w:qFormat/>
    <w:uiPriority w:val="0"/>
    <w:rPr>
      <w:b/>
    </w:rPr>
  </w:style>
  <w:style w:type="paragraph" w:styleId="33">
    <w:name w:val="Body Text First Indent"/>
    <w:basedOn w:val="15"/>
    <w:next w:val="29"/>
    <w:qFormat/>
    <w:uiPriority w:val="0"/>
    <w:pPr>
      <w:ind w:firstLine="420" w:firstLineChars="100"/>
    </w:pPr>
  </w:style>
  <w:style w:type="paragraph" w:styleId="34">
    <w:name w:val="Body Text First Indent 2"/>
    <w:basedOn w:val="1"/>
    <w:next w:val="1"/>
    <w:qFormat/>
    <w:uiPriority w:val="0"/>
    <w:pPr>
      <w:spacing w:after="0" w:line="360" w:lineRule="auto"/>
      <w:ind w:left="0" w:leftChars="0" w:firstLine="480"/>
    </w:pPr>
    <w:rPr>
      <w:kern w:val="0"/>
      <w:sz w:val="24"/>
      <w:szCs w:val="20"/>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qFormat/>
    <w:locked/>
    <w:uiPriority w:val="0"/>
  </w:style>
  <w:style w:type="character" w:styleId="39">
    <w:name w:val="Hyperlink"/>
    <w:unhideWhenUsed/>
    <w:qFormat/>
    <w:locked/>
    <w:uiPriority w:val="99"/>
    <w:rPr>
      <w:color w:val="136EC2"/>
      <w:u w:val="single"/>
    </w:rPr>
  </w:style>
  <w:style w:type="character" w:styleId="40">
    <w:name w:val="annotation reference"/>
    <w:qFormat/>
    <w:uiPriority w:val="0"/>
    <w:rPr>
      <w:sz w:val="21"/>
    </w:rPr>
  </w:style>
  <w:style w:type="paragraph" w:customStyle="1" w:styleId="4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3">
    <w:name w:val="Heading2"/>
    <w:basedOn w:val="1"/>
    <w:next w:val="1"/>
    <w:qFormat/>
    <w:uiPriority w:val="0"/>
    <w:pPr>
      <w:keepNext/>
      <w:keepLines/>
      <w:spacing w:before="260" w:after="260" w:line="413" w:lineRule="auto"/>
      <w:jc w:val="both"/>
      <w:textAlignment w:val="baseline"/>
    </w:pPr>
    <w:rPr>
      <w:rFonts w:ascii="Arial" w:hAnsi="Arial" w:eastAsia="黑体"/>
      <w:b/>
      <w:kern w:val="2"/>
      <w:sz w:val="32"/>
      <w:szCs w:val="24"/>
      <w:lang w:val="en-US" w:eastAsia="zh-CN" w:bidi="ar-SA"/>
    </w:rPr>
  </w:style>
  <w:style w:type="character" w:customStyle="1" w:styleId="44">
    <w:name w:val="批注文字 Char"/>
    <w:link w:val="14"/>
    <w:qFormat/>
    <w:locked/>
    <w:uiPriority w:val="0"/>
    <w:rPr>
      <w:rFonts w:ascii="Times New Roman" w:hAnsi="Times New Roman" w:eastAsia="宋体"/>
      <w:sz w:val="24"/>
    </w:rPr>
  </w:style>
  <w:style w:type="character" w:customStyle="1" w:styleId="45">
    <w:name w:val="日期 Char"/>
    <w:link w:val="20"/>
    <w:qFormat/>
    <w:locked/>
    <w:uiPriority w:val="0"/>
    <w:rPr>
      <w:rFonts w:ascii="Times New Roman" w:hAnsi="Times New Roman" w:eastAsia="宋体"/>
      <w:sz w:val="24"/>
    </w:rPr>
  </w:style>
  <w:style w:type="character" w:customStyle="1" w:styleId="46">
    <w:name w:val="批注框文本 Char"/>
    <w:link w:val="22"/>
    <w:semiHidden/>
    <w:qFormat/>
    <w:locked/>
    <w:uiPriority w:val="0"/>
    <w:rPr>
      <w:rFonts w:ascii="Times New Roman" w:hAnsi="Times New Roman" w:eastAsia="宋体"/>
      <w:sz w:val="18"/>
    </w:rPr>
  </w:style>
  <w:style w:type="character" w:customStyle="1" w:styleId="47">
    <w:name w:val="普通(网站) Char"/>
    <w:link w:val="30"/>
    <w:qFormat/>
    <w:locked/>
    <w:uiPriority w:val="99"/>
    <w:rPr>
      <w:rFonts w:ascii="宋体" w:hAnsi="宋体" w:eastAsia="宋体"/>
      <w:sz w:val="24"/>
    </w:rPr>
  </w:style>
  <w:style w:type="character" w:customStyle="1" w:styleId="48">
    <w:name w:val="批注主题 Char"/>
    <w:link w:val="32"/>
    <w:semiHidden/>
    <w:qFormat/>
    <w:locked/>
    <w:uiPriority w:val="0"/>
    <w:rPr>
      <w:rFonts w:ascii="Times New Roman" w:hAnsi="Times New Roman" w:eastAsia="宋体"/>
      <w:b/>
      <w:kern w:val="2"/>
      <w:sz w:val="24"/>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表格 Char"/>
    <w:link w:val="52"/>
    <w:qFormat/>
    <w:locked/>
    <w:uiPriority w:val="0"/>
    <w:rPr>
      <w:rFonts w:ascii="宋体"/>
      <w:sz w:val="21"/>
    </w:rPr>
  </w:style>
  <w:style w:type="paragraph" w:customStyle="1" w:styleId="52">
    <w:name w:val="表格"/>
    <w:basedOn w:val="1"/>
    <w:next w:val="1"/>
    <w:link w:val="51"/>
    <w:qFormat/>
    <w:uiPriority w:val="0"/>
    <w:pPr>
      <w:adjustRightInd w:val="0"/>
      <w:snapToGrid w:val="0"/>
      <w:spacing w:beforeLines="10" w:afterLines="10" w:line="259" w:lineRule="auto"/>
      <w:jc w:val="center"/>
    </w:pPr>
    <w:rPr>
      <w:rFonts w:ascii="宋体"/>
      <w:kern w:val="0"/>
      <w:szCs w:val="20"/>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paragraph" w:styleId="54">
    <w:name w:val="No Spacing"/>
    <w:qFormat/>
    <w:uiPriority w:val="1"/>
    <w:pPr>
      <w:widowControl w:val="0"/>
      <w:adjustRightInd w:val="0"/>
      <w:snapToGrid w:val="0"/>
      <w:jc w:val="center"/>
    </w:pPr>
    <w:rPr>
      <w:rFonts w:ascii="Times New Roman" w:hAnsi="Times New Roman" w:eastAsia="宋体" w:cs="Times New Roman"/>
      <w:b/>
      <w:kern w:val="2"/>
      <w:sz w:val="21"/>
      <w:szCs w:val="22"/>
      <w:lang w:val="en-US" w:eastAsia="zh-CN" w:bidi="ar-SA"/>
    </w:rPr>
  </w:style>
  <w:style w:type="paragraph" w:customStyle="1" w:styleId="55">
    <w:name w:val="样式1"/>
    <w:basedOn w:val="26"/>
    <w:next w:val="1"/>
    <w:qFormat/>
    <w:uiPriority w:val="0"/>
    <w:pPr>
      <w:ind w:firstLine="462" w:firstLineChars="200"/>
    </w:pPr>
    <w:rPr>
      <w:rFonts w:ascii="宋体" w:hAnsi="宋体"/>
      <w:color w:val="000000"/>
      <w:sz w:val="24"/>
      <w:szCs w:val="24"/>
    </w:rPr>
  </w:style>
  <w:style w:type="character" w:customStyle="1" w:styleId="56">
    <w:name w:val="Default Char Char"/>
    <w:link w:val="9"/>
    <w:qFormat/>
    <w:uiPriority w:val="0"/>
    <w:rPr>
      <w:rFonts w:ascii="方正仿宋_GB2312" w:eastAsia="方正仿宋_GB2312" w:cs="方正仿宋_GB2312"/>
      <w:color w:val="000000"/>
      <w:sz w:val="24"/>
      <w:szCs w:val="24"/>
    </w:rPr>
  </w:style>
  <w:style w:type="paragraph" w:customStyle="1" w:styleId="57">
    <w:name w:val="表格内文字"/>
    <w:basedOn w:val="1"/>
    <w:link w:val="58"/>
    <w:qFormat/>
    <w:uiPriority w:val="0"/>
    <w:pPr>
      <w:adjustRightInd w:val="0"/>
      <w:snapToGrid w:val="0"/>
      <w:jc w:val="center"/>
    </w:pPr>
    <w:rPr>
      <w:snapToGrid w:val="0"/>
      <w:kern w:val="0"/>
      <w:szCs w:val="21"/>
    </w:rPr>
  </w:style>
  <w:style w:type="character" w:customStyle="1" w:styleId="58">
    <w:name w:val="表格内文字 Char"/>
    <w:link w:val="57"/>
    <w:qFormat/>
    <w:uiPriority w:val="0"/>
    <w:rPr>
      <w:snapToGrid/>
      <w:sz w:val="21"/>
      <w:szCs w:val="21"/>
    </w:rPr>
  </w:style>
  <w:style w:type="paragraph" w:customStyle="1" w:styleId="59">
    <w:name w:val="表格内容"/>
    <w:basedOn w:val="60"/>
    <w:qFormat/>
    <w:uiPriority w:val="0"/>
    <w:pPr>
      <w:jc w:val="center"/>
    </w:pPr>
    <w:rPr>
      <w:kern w:val="0"/>
      <w:lang w:eastAsia="en-US"/>
    </w:rPr>
  </w:style>
  <w:style w:type="paragraph" w:customStyle="1" w:styleId="60">
    <w:name w:val="图标标题"/>
    <w:basedOn w:val="1"/>
    <w:qFormat/>
    <w:uiPriority w:val="0"/>
    <w:pPr>
      <w:spacing w:line="240" w:lineRule="auto"/>
      <w:ind w:firstLine="0" w:firstLineChars="0"/>
      <w:jc w:val="center"/>
    </w:pPr>
    <w:rPr>
      <w:rFonts w:cs="Times New Roman"/>
      <w:b/>
      <w:kern w:val="0"/>
      <w:sz w:val="21"/>
      <w:szCs w:val="20"/>
    </w:rPr>
  </w:style>
  <w:style w:type="paragraph" w:customStyle="1" w:styleId="61">
    <w:name w:val="表头1"/>
    <w:basedOn w:val="1"/>
    <w:qFormat/>
    <w:uiPriority w:val="0"/>
    <w:pPr>
      <w:jc w:val="center"/>
    </w:pPr>
    <w:rPr>
      <w:b/>
      <w:sz w:val="24"/>
      <w:szCs w:val="22"/>
    </w:rPr>
  </w:style>
  <w:style w:type="character" w:customStyle="1" w:styleId="62">
    <w:name w:val="表格文字 Char"/>
    <w:link w:val="11"/>
    <w:qFormat/>
    <w:locked/>
    <w:uiPriority w:val="0"/>
    <w:rPr>
      <w:kern w:val="44"/>
      <w:sz w:val="21"/>
      <w:szCs w:val="24"/>
    </w:rPr>
  </w:style>
  <w:style w:type="table" w:customStyle="1" w:styleId="63">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64">
    <w:name w:val="表格1"/>
    <w:basedOn w:val="1"/>
    <w:qFormat/>
    <w:uiPriority w:val="0"/>
    <w:pPr>
      <w:spacing w:line="240" w:lineRule="atLeast"/>
      <w:jc w:val="center"/>
    </w:pPr>
    <w:rPr>
      <w:color w:val="0D0D0D"/>
      <w:szCs w:val="21"/>
    </w:rPr>
  </w:style>
  <w:style w:type="paragraph" w:customStyle="1" w:styleId="65">
    <w:name w:val="表头"/>
    <w:basedOn w:val="1"/>
    <w:qFormat/>
    <w:uiPriority w:val="0"/>
    <w:pPr>
      <w:jc w:val="center"/>
    </w:pPr>
    <w:rPr>
      <w:rFonts w:eastAsia="Times New Roman"/>
      <w:b/>
    </w:rPr>
  </w:style>
  <w:style w:type="paragraph" w:customStyle="1" w:styleId="66">
    <w:name w:val="正文 New"/>
    <w:qFormat/>
    <w:uiPriority w:val="0"/>
    <w:pPr>
      <w:widowControl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67">
    <w:name w:val="样式 宋体 四号 行距: 固定值 25 磅"/>
    <w:basedOn w:val="1"/>
    <w:qFormat/>
    <w:uiPriority w:val="0"/>
    <w:pPr>
      <w:spacing w:line="500" w:lineRule="exact"/>
      <w:ind w:firstLine="560" w:firstLineChars="200"/>
    </w:pPr>
    <w:rPr>
      <w:rFonts w:ascii="宋体" w:hAnsi="宋体"/>
      <w:sz w:val="24"/>
      <w:szCs w:val="20"/>
    </w:rPr>
  </w:style>
  <w:style w:type="paragraph" w:customStyle="1" w:styleId="68">
    <w:name w:val="Table Paragraph"/>
    <w:basedOn w:val="1"/>
    <w:qFormat/>
    <w:uiPriority w:val="1"/>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69">
    <w:name w:val="Table Text"/>
    <w:basedOn w:val="1"/>
    <w:semiHidden/>
    <w:qFormat/>
    <w:uiPriority w:val="0"/>
    <w:rPr>
      <w:rFonts w:ascii="宋体" w:hAnsi="宋体" w:eastAsia="宋体" w:cs="宋体"/>
      <w:sz w:val="20"/>
      <w:szCs w:val="20"/>
      <w:lang w:val="en-US" w:eastAsia="en-US" w:bidi="ar-SA"/>
    </w:rPr>
  </w:style>
  <w:style w:type="paragraph" w:customStyle="1" w:styleId="70">
    <w:name w:val="样式6"/>
    <w:basedOn w:val="1"/>
    <w:qFormat/>
    <w:uiPriority w:val="0"/>
    <w:pPr>
      <w:ind w:firstLine="462" w:firstLineChars="200"/>
    </w:pPr>
    <w:rPr>
      <w:rFonts w:hAnsi="宋体"/>
      <w:color w:val="0000FF"/>
    </w:rPr>
  </w:style>
  <w:style w:type="paragraph" w:customStyle="1" w:styleId="71">
    <w:name w:val="正文首行缩进1"/>
    <w:basedOn w:val="1"/>
    <w:autoRedefine/>
    <w:qFormat/>
    <w:uiPriority w:val="0"/>
    <w:pPr>
      <w:adjustRightInd w:val="0"/>
      <w:snapToGrid w:val="0"/>
      <w:spacing w:line="360" w:lineRule="auto"/>
      <w:ind w:firstLine="482"/>
      <w:jc w:val="left"/>
    </w:pPr>
    <w:rPr>
      <w:snapToGrid w:val="0"/>
      <w:kern w:val="0"/>
      <w:sz w:val="24"/>
    </w:rPr>
  </w:style>
  <w:style w:type="paragraph" w:customStyle="1" w:styleId="72">
    <w:name w:val="a图表标题"/>
    <w:basedOn w:val="1"/>
    <w:qFormat/>
    <w:uiPriority w:val="0"/>
    <w:pPr>
      <w:spacing w:before="30" w:beforeLines="30"/>
      <w:ind w:firstLine="0" w:firstLineChars="0"/>
      <w:jc w:val="center"/>
    </w:pPr>
    <w:rPr>
      <w:rFonts w:ascii="Times New Roman" w:hAnsi="Times New Roman" w:eastAsia="黑体"/>
      <w:color w:val="000000" w:themeColor="text1"/>
      <w14:textFill>
        <w14:solidFill>
          <w14:schemeClr w14:val="tx1"/>
        </w14:solidFill>
      </w14:textFill>
    </w:rPr>
  </w:style>
  <w:style w:type="paragraph" w:customStyle="1" w:styleId="73">
    <w:name w:val="a表内文字"/>
    <w:basedOn w:val="1"/>
    <w:qFormat/>
    <w:uiPriority w:val="0"/>
    <w:pPr>
      <w:spacing w:line="240" w:lineRule="auto"/>
      <w:ind w:firstLine="0" w:firstLineChars="0"/>
      <w:jc w:val="center"/>
    </w:pPr>
    <w:rPr>
      <w:rFonts w:hint="eastAsia" w:ascii="Times New Roman" w:hAnsi="Times New Roman" w:eastAsia="宋体"/>
      <w:color w:val="000000" w:themeColor="text1"/>
      <w:sz w:val="21"/>
      <w:szCs w:val="21"/>
      <w14:textFill>
        <w14:solidFill>
          <w14:schemeClr w14:val="tx1"/>
        </w14:solidFill>
      </w14:textFill>
    </w:rPr>
  </w:style>
  <w:style w:type="paragraph" w:customStyle="1" w:styleId="74">
    <w:name w:val="环评正文样式"/>
    <w:basedOn w:val="1"/>
    <w:autoRedefine/>
    <w:qFormat/>
    <w:uiPriority w:val="0"/>
    <w:pPr>
      <w:adjustRightInd w:val="0"/>
      <w:snapToGrid w:val="0"/>
      <w:spacing w:line="360" w:lineRule="auto"/>
      <w:ind w:firstLine="480" w:firstLineChars="200"/>
      <w:jc w:val="left"/>
    </w:pPr>
    <w:rPr>
      <w:rFonts w:hint="eastAsia" w:ascii="宋体" w:hAnsi="宋体" w:cs="宋体"/>
      <w:kern w:val="0"/>
      <w:sz w:val="24"/>
    </w:rPr>
  </w:style>
  <w:style w:type="paragraph" w:customStyle="1" w:styleId="75">
    <w:name w:val="_Style 47"/>
    <w:basedOn w:val="15"/>
    <w:next w:val="33"/>
    <w:qFormat/>
    <w:uiPriority w:val="0"/>
    <w:pPr>
      <w:widowControl w:val="0"/>
      <w:snapToGrid/>
      <w:spacing w:before="0" w:after="120" w:line="240" w:lineRule="auto"/>
      <w:ind w:right="0" w:firstLine="420" w:firstLineChars="100"/>
    </w:pPr>
    <w:rPr>
      <w:kern w:val="2"/>
      <w:sz w:val="21"/>
      <w:szCs w:val="24"/>
    </w:rPr>
  </w:style>
  <w:style w:type="paragraph" w:customStyle="1" w:styleId="76">
    <w:name w:val="样式 正文缩进正文缩进2正文缩进 Char Char正文缩进 Char Char Char Char正文缩进 Char ..."/>
    <w:basedOn w:val="8"/>
    <w:qFormat/>
    <w:uiPriority w:val="0"/>
    <w:pPr>
      <w:spacing w:line="360" w:lineRule="auto"/>
      <w:ind w:firstLine="200"/>
    </w:pPr>
    <w:rPr>
      <w:rFonts w:cs="宋体"/>
      <w:sz w:val="24"/>
    </w:rPr>
  </w:style>
  <w:style w:type="paragraph" w:customStyle="1" w:styleId="77">
    <w:name w:val="表字体"/>
    <w:basedOn w:val="1"/>
    <w:next w:val="1"/>
    <w:qFormat/>
    <w:uiPriority w:val="0"/>
    <w:pPr>
      <w:jc w:val="center"/>
    </w:pPr>
    <w:rPr>
      <w:rFonts w:ascii="Times New Roman" w:hAnsi="Times New Roman"/>
    </w:rPr>
  </w:style>
  <w:style w:type="paragraph" w:customStyle="1" w:styleId="78">
    <w:name w:val="表标题"/>
    <w:basedOn w:val="1"/>
    <w:qFormat/>
    <w:uiPriority w:val="0"/>
    <w:pPr>
      <w:jc w:val="center"/>
    </w:pPr>
    <w:rPr>
      <w:rFonts w:ascii="Times New Roman" w:hAnsi="Times New Roman" w:eastAsia="宋体"/>
      <w:b/>
    </w:rPr>
  </w:style>
  <w:style w:type="character" w:customStyle="1" w:styleId="79">
    <w:name w:val="font11"/>
    <w:basedOn w:val="37"/>
    <w:qFormat/>
    <w:uiPriority w:val="0"/>
    <w:rPr>
      <w:rFonts w:hint="eastAsia" w:ascii="微软雅黑" w:hAnsi="微软雅黑" w:eastAsia="微软雅黑" w:cs="微软雅黑"/>
      <w:color w:val="000000"/>
      <w:sz w:val="20"/>
      <w:szCs w:val="20"/>
      <w:u w:val="none"/>
    </w:rPr>
  </w:style>
  <w:style w:type="character" w:customStyle="1" w:styleId="80">
    <w:name w:val="font21"/>
    <w:basedOn w:val="37"/>
    <w:qFormat/>
    <w:uiPriority w:val="0"/>
    <w:rPr>
      <w:rFonts w:hint="eastAsia" w:ascii="微软雅黑" w:hAnsi="微软雅黑" w:eastAsia="微软雅黑" w:cs="微软雅黑"/>
      <w:color w:val="FF0000"/>
      <w:sz w:val="20"/>
      <w:szCs w:val="20"/>
      <w:u w:val="none"/>
    </w:rPr>
  </w:style>
  <w:style w:type="paragraph" w:customStyle="1" w:styleId="81">
    <w:name w:val="v表格标题"/>
    <w:basedOn w:val="1"/>
    <w:qFormat/>
    <w:uiPriority w:val="0"/>
    <w:pPr>
      <w:spacing w:line="360" w:lineRule="auto"/>
      <w:jc w:val="center"/>
    </w:pPr>
    <w:rPr>
      <w:b/>
      <w:kern w:val="0"/>
    </w:rPr>
  </w:style>
  <w:style w:type="paragraph" w:customStyle="1" w:styleId="82">
    <w:name w:val="图表标题"/>
    <w:basedOn w:val="21"/>
    <w:qFormat/>
    <w:uiPriority w:val="0"/>
    <w:pPr>
      <w:snapToGrid w:val="0"/>
      <w:spacing w:before="50" w:beforeLines="50" w:after="0" w:line="240" w:lineRule="auto"/>
      <w:ind w:left="0" w:leftChars="0" w:firstLineChars="200"/>
      <w:jc w:val="center"/>
    </w:pPr>
    <w:rPr>
      <w:rFonts w:ascii="宋体" w:hAnsi="宋体" w:eastAsia="黑体"/>
      <w:b/>
      <w:sz w:val="24"/>
      <w:szCs w:val="22"/>
      <w:lang w:val="en-US" w:eastAsia="zh-CN"/>
    </w:rPr>
  </w:style>
  <w:style w:type="paragraph" w:customStyle="1" w:styleId="83">
    <w:name w:val="报告表格"/>
    <w:basedOn w:val="1"/>
    <w:qFormat/>
    <w:uiPriority w:val="0"/>
    <w:pPr>
      <w:autoSpaceDE w:val="0"/>
      <w:autoSpaceDN w:val="0"/>
      <w:adjustRightInd w:val="0"/>
      <w:spacing w:before="40" w:after="40"/>
      <w:ind w:firstLine="200" w:firstLineChars="200"/>
      <w:jc w:val="center"/>
      <w:textAlignment w:val="bottom"/>
    </w:pPr>
    <w:rPr>
      <w:kern w:val="0"/>
      <w:szCs w:val="20"/>
      <w:lang w:val="en-GB" w:eastAsia="zh-TW"/>
    </w:rPr>
  </w:style>
  <w:style w:type="paragraph" w:customStyle="1" w:styleId="84">
    <w:name w:val="样式 样式 样式 样式 首行缩进:  1 字符 + 首行缩进:  2 字符1 + 首行缩进:  2 字符 + Arial"/>
    <w:basedOn w:val="1"/>
    <w:qFormat/>
    <w:uiPriority w:val="0"/>
    <w:pPr>
      <w:spacing w:line="360" w:lineRule="auto"/>
      <w:ind w:firstLine="480" w:firstLineChars="200"/>
    </w:pPr>
    <w:rPr>
      <w:rFonts w:ascii="Arial" w:hAnsi="Arial" w:cs="宋体"/>
      <w:sz w:val="24"/>
      <w:szCs w:val="20"/>
    </w:rPr>
  </w:style>
  <w:style w:type="paragraph" w:customStyle="1" w:styleId="85">
    <w:name w:val="!BG_正文"/>
    <w:basedOn w:val="1"/>
    <w:qFormat/>
    <w:uiPriority w:val="0"/>
    <w:pPr>
      <w:tabs>
        <w:tab w:val="left" w:pos="360"/>
        <w:tab w:val="left" w:pos="540"/>
      </w:tabs>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wmf"/><Relationship Id="rId36" Type="http://schemas.openxmlformats.org/officeDocument/2006/relationships/oleObject" Target="embeddings/oleObject10.bin"/><Relationship Id="rId35" Type="http://schemas.openxmlformats.org/officeDocument/2006/relationships/image" Target="media/image18.wmf"/><Relationship Id="rId34" Type="http://schemas.openxmlformats.org/officeDocument/2006/relationships/image" Target="media/image17.wmf"/><Relationship Id="rId33" Type="http://schemas.openxmlformats.org/officeDocument/2006/relationships/image" Target="media/image16.wmf"/><Relationship Id="rId32" Type="http://schemas.openxmlformats.org/officeDocument/2006/relationships/image" Target="media/image15.wmf"/><Relationship Id="rId31" Type="http://schemas.openxmlformats.org/officeDocument/2006/relationships/image" Target="media/image14.wmf"/><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9.bin"/><Relationship Id="rId27" Type="http://schemas.openxmlformats.org/officeDocument/2006/relationships/image" Target="media/image11.wmf"/><Relationship Id="rId26" Type="http://schemas.openxmlformats.org/officeDocument/2006/relationships/oleObject" Target="embeddings/oleObject8.bin"/><Relationship Id="rId25" Type="http://schemas.openxmlformats.org/officeDocument/2006/relationships/image" Target="media/image10.wmf"/><Relationship Id="rId24" Type="http://schemas.openxmlformats.org/officeDocument/2006/relationships/oleObject" Target="embeddings/oleObject7.bin"/><Relationship Id="rId23" Type="http://schemas.openxmlformats.org/officeDocument/2006/relationships/image" Target="media/image9.wmf"/><Relationship Id="rId22" Type="http://schemas.openxmlformats.org/officeDocument/2006/relationships/oleObject" Target="embeddings/oleObject6.bin"/><Relationship Id="rId21" Type="http://schemas.openxmlformats.org/officeDocument/2006/relationships/image" Target="media/image8.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4.bin"/><Relationship Id="rId17" Type="http://schemas.openxmlformats.org/officeDocument/2006/relationships/image" Target="media/image6.wmf"/><Relationship Id="rId16" Type="http://schemas.openxmlformats.org/officeDocument/2006/relationships/oleObject" Target="embeddings/oleObject3.bin"/><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36995</Words>
  <Characters>42564</Characters>
  <Lines>1</Lines>
  <Paragraphs>1</Paragraphs>
  <TotalTime>2</TotalTime>
  <ScaleCrop>false</ScaleCrop>
  <LinksUpToDate>false</LinksUpToDate>
  <CharactersWithSpaces>42897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2024-02-23T08:06:00Z</dcterms:created>
  <dc:creator>环环（微信号：eianet2016）</dc:creator>
  <cp:lastModifiedBy>WPS_1679881977</cp:lastModifiedBy>
  <cp:lastPrinted>2024-06-12T07:40:00Z</cp:lastPrinted>
  <dcterms:modified xsi:type="dcterms:W3CDTF">2024-12-13T02:35:14Z</dcterms:modified>
  <dc:title>建设项目环境影响报告表（污染影响类-填写指南）</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7E932FE684B94B18B80AB7B15A5DDD4D_13</vt:lpwstr>
  </property>
</Properties>
</file>