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51E614">
      <w:pPr>
        <w:rPr>
          <w:rFonts w:ascii="仿宋_GB2312" w:hAnsi="仿宋_GB2312" w:eastAsia="仿宋_GB2312" w:cs="仿宋_GB2312"/>
          <w:sz w:val="36"/>
          <w:szCs w:val="36"/>
        </w:rPr>
      </w:pPr>
    </w:p>
    <w:p w14:paraId="2AF45FC3">
      <w:pPr>
        <w:rPr>
          <w:rFonts w:ascii="仿宋_GB2312" w:hAnsi="仿宋_GB2312" w:eastAsia="仿宋_GB2312" w:cs="仿宋_GB2312"/>
          <w:sz w:val="36"/>
          <w:szCs w:val="36"/>
        </w:rPr>
      </w:pPr>
    </w:p>
    <w:p w14:paraId="7C0A9527">
      <w:pPr>
        <w:adjustRightInd w:val="0"/>
        <w:snapToGrid w:val="0"/>
        <w:jc w:val="center"/>
        <w:outlineLvl w:val="0"/>
        <w:rPr>
          <w:rFonts w:ascii="方正小标宋简体" w:hAnsi="宋体" w:eastAsia="方正小标宋简体"/>
          <w:bCs/>
          <w:sz w:val="72"/>
          <w:szCs w:val="72"/>
        </w:rPr>
      </w:pPr>
      <w:r>
        <w:rPr>
          <w:rFonts w:hint="eastAsia" w:ascii="方正小标宋简体" w:hAnsi="宋体" w:eastAsia="方正小标宋简体"/>
          <w:bCs/>
          <w:sz w:val="72"/>
          <w:szCs w:val="72"/>
        </w:rPr>
        <w:t>建设项目环境影响报告表</w:t>
      </w:r>
    </w:p>
    <w:p w14:paraId="3D08E6CA">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05DFE104">
      <w:pPr>
        <w:adjustRightInd w:val="0"/>
        <w:snapToGrid w:val="0"/>
        <w:spacing w:before="192" w:beforeLines="80"/>
        <w:jc w:val="center"/>
        <w:rPr>
          <w:rFonts w:ascii="楷体_GB2312" w:eastAsia="楷体_GB2312"/>
          <w:bCs/>
          <w:sz w:val="48"/>
          <w:szCs w:val="48"/>
        </w:rPr>
      </w:pPr>
    </w:p>
    <w:p w14:paraId="198AA355">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报批稿</w:t>
      </w:r>
    </w:p>
    <w:p w14:paraId="76A8C672">
      <w:pPr>
        <w:ind w:firstLine="1040"/>
        <w:rPr>
          <w:rFonts w:eastAsia="仿宋"/>
          <w:sz w:val="44"/>
          <w:szCs w:val="44"/>
        </w:rPr>
      </w:pPr>
    </w:p>
    <w:p w14:paraId="53805C86">
      <w:pPr>
        <w:ind w:firstLine="1040"/>
        <w:rPr>
          <w:rFonts w:eastAsia="仿宋"/>
          <w:sz w:val="44"/>
          <w:szCs w:val="44"/>
        </w:rPr>
      </w:pPr>
    </w:p>
    <w:p w14:paraId="7E6A58A4">
      <w:pPr>
        <w:ind w:firstLine="1040"/>
        <w:rPr>
          <w:rFonts w:eastAsia="仿宋"/>
          <w:sz w:val="44"/>
          <w:szCs w:val="44"/>
        </w:rPr>
      </w:pPr>
    </w:p>
    <w:p w14:paraId="43D20A0F">
      <w:pPr>
        <w:ind w:firstLine="1040"/>
        <w:rPr>
          <w:rFonts w:eastAsia="仿宋"/>
          <w:sz w:val="44"/>
          <w:szCs w:val="44"/>
        </w:rPr>
      </w:pPr>
    </w:p>
    <w:p w14:paraId="6BD8CB05">
      <w:pPr>
        <w:ind w:firstLine="1040"/>
        <w:rPr>
          <w:rFonts w:eastAsia="仿宋"/>
          <w:sz w:val="44"/>
          <w:szCs w:val="44"/>
        </w:rPr>
      </w:pPr>
    </w:p>
    <w:p w14:paraId="76F17C65">
      <w:pPr>
        <w:ind w:left="991" w:leftChars="472"/>
        <w:rPr>
          <w:rFonts w:eastAsia="仿宋"/>
          <w:sz w:val="44"/>
          <w:szCs w:val="44"/>
        </w:rPr>
      </w:pPr>
    </w:p>
    <w:p w14:paraId="293E1904">
      <w:pPr>
        <w:pStyle w:val="8"/>
      </w:pPr>
    </w:p>
    <w:p w14:paraId="4E527EB3">
      <w:pPr>
        <w:adjustRightInd w:val="0"/>
        <w:snapToGrid w:val="0"/>
        <w:spacing w:line="288" w:lineRule="auto"/>
        <w:ind w:left="1919" w:leftChars="152" w:hanging="1600" w:hangingChars="500"/>
        <w:jc w:val="left"/>
        <w:rPr>
          <w:rFonts w:eastAsia="仿宋_GB2312"/>
          <w:sz w:val="32"/>
          <w:szCs w:val="32"/>
          <w:u w:val="single"/>
        </w:rPr>
      </w:pPr>
      <w:r>
        <w:rPr>
          <w:rFonts w:eastAsia="仿宋_GB2312"/>
          <w:sz w:val="32"/>
          <w:szCs w:val="32"/>
        </w:rPr>
        <w:t>项目名称：</w:t>
      </w:r>
      <w:r>
        <w:rPr>
          <w:rFonts w:hint="eastAsia" w:eastAsia="仿宋_GB2312"/>
          <w:sz w:val="32"/>
          <w:szCs w:val="32"/>
          <w:u w:val="single"/>
        </w:rPr>
        <w:t xml:space="preserve">安康西站站前路（高铁一路-匝道桥-高铁二路）市政工程  </w:t>
      </w:r>
    </w:p>
    <w:p w14:paraId="4DD38779">
      <w:pPr>
        <w:adjustRightInd w:val="0"/>
        <w:snapToGrid w:val="0"/>
        <w:spacing w:line="288" w:lineRule="auto"/>
        <w:ind w:left="1919" w:leftChars="152" w:hanging="1600" w:hangingChars="500"/>
        <w:rPr>
          <w:rFonts w:eastAsia="仿宋_GB2312"/>
          <w:sz w:val="32"/>
          <w:szCs w:val="32"/>
          <w:u w:val="single"/>
        </w:rPr>
      </w:pPr>
      <w:r>
        <w:rPr>
          <w:rFonts w:eastAsia="仿宋_GB2312"/>
          <w:sz w:val="32"/>
          <w:szCs w:val="32"/>
        </w:rPr>
        <w:t>建设单位（盖章）：</w:t>
      </w:r>
      <w:r>
        <w:rPr>
          <w:rFonts w:hint="eastAsia" w:eastAsia="仿宋_GB2312"/>
          <w:sz w:val="32"/>
          <w:szCs w:val="32"/>
          <w:u w:val="single"/>
        </w:rPr>
        <w:t xml:space="preserve">陕西安康高新产业发展投资（集团）有限公司    </w:t>
      </w:r>
    </w:p>
    <w:p w14:paraId="4700FCC1">
      <w:pPr>
        <w:adjustRightInd w:val="0"/>
        <w:snapToGrid w:val="0"/>
        <w:spacing w:line="288" w:lineRule="auto"/>
        <w:ind w:firstLine="320" w:firstLineChars="100"/>
        <w:rPr>
          <w:rFonts w:ascii="仿宋_GB2312" w:eastAsia="仿宋_GB2312"/>
          <w:sz w:val="32"/>
          <w:szCs w:val="32"/>
          <w:u w:val="single"/>
        </w:rPr>
      </w:pPr>
      <w:r>
        <w:rPr>
          <w:rFonts w:eastAsia="仿宋_GB2312"/>
          <w:sz w:val="32"/>
          <w:szCs w:val="32"/>
        </w:rPr>
        <w:t xml:space="preserve">编制日期：  </w:t>
      </w: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 xml:space="preserve">    202</w:t>
      </w:r>
      <w:r>
        <w:rPr>
          <w:rFonts w:hint="eastAsia" w:eastAsia="仿宋_GB2312"/>
          <w:sz w:val="32"/>
          <w:szCs w:val="32"/>
          <w:u w:val="single"/>
        </w:rPr>
        <w:t>4</w:t>
      </w:r>
      <w:r>
        <w:rPr>
          <w:rFonts w:eastAsia="仿宋_GB2312"/>
          <w:sz w:val="32"/>
          <w:szCs w:val="32"/>
          <w:u w:val="single"/>
        </w:rPr>
        <w:t>年10月</w:t>
      </w:r>
      <w:bookmarkStart w:id="0" w:name="_Hlk57884087"/>
      <w:r>
        <w:rPr>
          <w:rFonts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14:paraId="0BED631D">
      <w:pPr>
        <w:adjustRightInd w:val="0"/>
        <w:snapToGrid w:val="0"/>
        <w:spacing w:line="288" w:lineRule="auto"/>
        <w:ind w:firstLine="1040"/>
        <w:rPr>
          <w:rFonts w:ascii="仿宋_GB2312" w:eastAsia="仿宋_GB2312"/>
          <w:sz w:val="36"/>
          <w:szCs w:val="36"/>
        </w:rPr>
      </w:pPr>
    </w:p>
    <w:p w14:paraId="2D0011B3">
      <w:pPr>
        <w:adjustRightInd w:val="0"/>
        <w:snapToGrid w:val="0"/>
        <w:spacing w:line="288" w:lineRule="auto"/>
        <w:ind w:firstLine="1040"/>
        <w:rPr>
          <w:rFonts w:ascii="仿宋_GB2312" w:eastAsia="仿宋_GB2312"/>
          <w:sz w:val="36"/>
          <w:szCs w:val="36"/>
        </w:rPr>
      </w:pPr>
    </w:p>
    <w:bookmarkEnd w:id="0"/>
    <w:p w14:paraId="76B3C269">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435A143B">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2CF28FA5">
      <w:pPr>
        <w:rPr>
          <w:snapToGrid w:val="0"/>
        </w:rPr>
      </w:pPr>
      <w:r>
        <w:drawing>
          <wp:inline distT="0" distB="0" distL="0" distR="0">
            <wp:extent cx="5634990" cy="8110855"/>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l="8380" t="7279" r="9215" b="8862"/>
                    <a:stretch>
                      <a:fillRect/>
                    </a:stretch>
                  </pic:blipFill>
                  <pic:spPr>
                    <a:xfrm>
                      <a:off x="0" y="0"/>
                      <a:ext cx="5641994" cy="8120900"/>
                    </a:xfrm>
                    <a:prstGeom prst="rect">
                      <a:avLst/>
                    </a:prstGeom>
                    <a:noFill/>
                    <a:ln>
                      <a:noFill/>
                    </a:ln>
                  </pic:spPr>
                </pic:pic>
              </a:graphicData>
            </a:graphic>
          </wp:inline>
        </w:drawing>
      </w:r>
    </w:p>
    <w:p w14:paraId="56A98BAC">
      <w:pPr>
        <w:pStyle w:val="2"/>
        <w:sectPr>
          <w:footerReference r:id="rId5" w:type="default"/>
          <w:pgSz w:w="11906" w:h="16838"/>
          <w:pgMar w:top="1701" w:right="1531" w:bottom="1701" w:left="1531" w:header="851" w:footer="1077" w:gutter="0"/>
          <w:pgNumType w:start="1"/>
          <w:cols w:space="720" w:num="1"/>
          <w:docGrid w:linePitch="312" w:charSpace="0"/>
        </w:sectPr>
      </w:pPr>
    </w:p>
    <w:p w14:paraId="5F6E0A79">
      <w:pPr>
        <w:pStyle w:val="22"/>
        <w:numPr>
          <w:ilvl w:val="0"/>
          <w:numId w:val="1"/>
        </w:numPr>
        <w:jc w:val="center"/>
        <w:outlineLvl w:val="0"/>
        <w:rPr>
          <w:rFonts w:ascii="黑体" w:hAnsi="黑体" w:eastAsia="黑体"/>
          <w:snapToGrid w:val="0"/>
          <w:sz w:val="30"/>
          <w:szCs w:val="30"/>
        </w:rPr>
      </w:pPr>
      <w:r>
        <w:rPr>
          <w:rFonts w:hint="eastAsia" w:ascii="黑体" w:hAnsi="黑体" w:eastAsia="黑体"/>
          <w:snapToGrid w:val="0"/>
          <w:sz w:val="30"/>
          <w:szCs w:val="30"/>
        </w:rPr>
        <w:t>建设项目基本情况</w:t>
      </w:r>
    </w:p>
    <w:tbl>
      <w:tblPr>
        <w:tblStyle w:val="26"/>
        <w:tblW w:w="91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2522"/>
        <w:gridCol w:w="2776"/>
        <w:gridCol w:w="3055"/>
      </w:tblGrid>
      <w:tr w14:paraId="06FF9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1B94BD58">
            <w:pPr>
              <w:adjustRightInd w:val="0"/>
              <w:snapToGrid w:val="0"/>
              <w:jc w:val="center"/>
              <w:rPr>
                <w:szCs w:val="21"/>
              </w:rPr>
            </w:pPr>
            <w:r>
              <w:rPr>
                <w:szCs w:val="21"/>
              </w:rPr>
              <w:t>建设项目</w:t>
            </w:r>
          </w:p>
          <w:p w14:paraId="34309656">
            <w:pPr>
              <w:adjustRightInd w:val="0"/>
              <w:snapToGrid w:val="0"/>
              <w:jc w:val="center"/>
              <w:rPr>
                <w:szCs w:val="21"/>
              </w:rPr>
            </w:pPr>
            <w:r>
              <w:rPr>
                <w:szCs w:val="21"/>
              </w:rPr>
              <w:t>名称</w:t>
            </w:r>
          </w:p>
        </w:tc>
        <w:tc>
          <w:tcPr>
            <w:tcW w:w="8253" w:type="dxa"/>
            <w:gridSpan w:val="3"/>
            <w:tcBorders>
              <w:top w:val="single" w:color="auto" w:sz="4" w:space="0"/>
              <w:left w:val="single" w:color="auto" w:sz="4" w:space="0"/>
              <w:bottom w:val="single" w:color="auto" w:sz="4" w:space="0"/>
              <w:right w:val="single" w:color="auto" w:sz="4" w:space="0"/>
            </w:tcBorders>
            <w:vAlign w:val="center"/>
          </w:tcPr>
          <w:p w14:paraId="47043204">
            <w:pPr>
              <w:jc w:val="center"/>
              <w:rPr>
                <w:sz w:val="24"/>
              </w:rPr>
            </w:pPr>
            <w:r>
              <w:rPr>
                <w:rFonts w:hint="eastAsia"/>
              </w:rPr>
              <w:t>安康西站站前路（高铁一路-匝道桥-高铁二路）市政工程</w:t>
            </w:r>
          </w:p>
        </w:tc>
      </w:tr>
      <w:tr w14:paraId="11A83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16286498">
            <w:pPr>
              <w:adjustRightInd w:val="0"/>
              <w:snapToGrid w:val="0"/>
              <w:jc w:val="center"/>
              <w:rPr>
                <w:szCs w:val="21"/>
              </w:rPr>
            </w:pPr>
            <w:r>
              <w:rPr>
                <w:szCs w:val="21"/>
              </w:rPr>
              <w:t>项目代码</w:t>
            </w:r>
          </w:p>
        </w:tc>
        <w:tc>
          <w:tcPr>
            <w:tcW w:w="8253" w:type="dxa"/>
            <w:gridSpan w:val="3"/>
            <w:tcBorders>
              <w:top w:val="single" w:color="auto" w:sz="4" w:space="0"/>
              <w:left w:val="single" w:color="auto" w:sz="4" w:space="0"/>
              <w:bottom w:val="single" w:color="auto" w:sz="4" w:space="0"/>
              <w:right w:val="single" w:color="auto" w:sz="4" w:space="0"/>
            </w:tcBorders>
            <w:vAlign w:val="center"/>
          </w:tcPr>
          <w:p w14:paraId="26A7E27A">
            <w:pPr>
              <w:jc w:val="center"/>
              <w:rPr>
                <w:szCs w:val="21"/>
              </w:rPr>
            </w:pPr>
            <w:r>
              <w:t>2311-610961-04-01-755853</w:t>
            </w:r>
          </w:p>
        </w:tc>
      </w:tr>
      <w:tr w14:paraId="11A76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7C9A73C3">
            <w:pPr>
              <w:adjustRightInd w:val="0"/>
              <w:snapToGrid w:val="0"/>
              <w:jc w:val="center"/>
              <w:rPr>
                <w:szCs w:val="21"/>
              </w:rPr>
            </w:pPr>
            <w:r>
              <w:rPr>
                <w:szCs w:val="21"/>
              </w:rPr>
              <w:t>建设单位</w:t>
            </w:r>
          </w:p>
          <w:p w14:paraId="4C580A9B">
            <w:pPr>
              <w:adjustRightInd w:val="0"/>
              <w:snapToGrid w:val="0"/>
              <w:jc w:val="center"/>
              <w:rPr>
                <w:szCs w:val="21"/>
              </w:rPr>
            </w:pPr>
            <w:r>
              <w:rPr>
                <w:szCs w:val="21"/>
              </w:rPr>
              <w:t>联系人</w:t>
            </w:r>
          </w:p>
        </w:tc>
        <w:tc>
          <w:tcPr>
            <w:tcW w:w="2519" w:type="dxa"/>
            <w:tcBorders>
              <w:top w:val="single" w:color="auto" w:sz="4" w:space="0"/>
              <w:bottom w:val="single" w:color="auto" w:sz="4" w:space="0"/>
            </w:tcBorders>
            <w:vAlign w:val="center"/>
          </w:tcPr>
          <w:p w14:paraId="689BC56E">
            <w:pPr>
              <w:jc w:val="center"/>
              <w:rPr>
                <w:sz w:val="24"/>
              </w:rPr>
            </w:pPr>
            <w:r>
              <w:rPr>
                <w:rFonts w:hint="eastAsia"/>
                <w:sz w:val="24"/>
              </w:rPr>
              <w:t>杜磊</w:t>
            </w:r>
          </w:p>
        </w:tc>
        <w:tc>
          <w:tcPr>
            <w:tcW w:w="2835" w:type="dxa"/>
            <w:tcBorders>
              <w:top w:val="single" w:color="auto" w:sz="4" w:space="0"/>
              <w:bottom w:val="single" w:color="auto" w:sz="4" w:space="0"/>
            </w:tcBorders>
            <w:vAlign w:val="center"/>
          </w:tcPr>
          <w:p w14:paraId="3AF20718">
            <w:pPr>
              <w:jc w:val="center"/>
              <w:rPr>
                <w:sz w:val="24"/>
              </w:rPr>
            </w:pPr>
            <w:r>
              <w:t>联系方式</w:t>
            </w:r>
          </w:p>
        </w:tc>
        <w:tc>
          <w:tcPr>
            <w:tcW w:w="2899" w:type="dxa"/>
            <w:tcBorders>
              <w:top w:val="single" w:color="auto" w:sz="4" w:space="0"/>
              <w:bottom w:val="single" w:color="auto" w:sz="4" w:space="0"/>
              <w:right w:val="single" w:color="auto" w:sz="4" w:space="0"/>
            </w:tcBorders>
            <w:vAlign w:val="center"/>
          </w:tcPr>
          <w:p w14:paraId="72070067">
            <w:pPr>
              <w:jc w:val="center"/>
              <w:rPr>
                <w:sz w:val="24"/>
              </w:rPr>
            </w:pPr>
            <w:r>
              <w:t>18709296689</w:t>
            </w:r>
          </w:p>
        </w:tc>
      </w:tr>
      <w:tr w14:paraId="654DD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5DA8ECFF">
            <w:pPr>
              <w:adjustRightInd w:val="0"/>
              <w:snapToGrid w:val="0"/>
              <w:jc w:val="center"/>
              <w:rPr>
                <w:szCs w:val="21"/>
              </w:rPr>
            </w:pPr>
            <w:r>
              <w:rPr>
                <w:szCs w:val="21"/>
              </w:rPr>
              <w:t>建设地点</w:t>
            </w:r>
          </w:p>
        </w:tc>
        <w:tc>
          <w:tcPr>
            <w:tcW w:w="8253" w:type="dxa"/>
            <w:gridSpan w:val="3"/>
            <w:tcBorders>
              <w:top w:val="single" w:color="auto" w:sz="4" w:space="0"/>
              <w:left w:val="single" w:color="auto" w:sz="4" w:space="0"/>
              <w:bottom w:val="single" w:color="auto" w:sz="4" w:space="0"/>
              <w:right w:val="single" w:color="auto" w:sz="4" w:space="0"/>
            </w:tcBorders>
            <w:vAlign w:val="center"/>
          </w:tcPr>
          <w:p w14:paraId="3498CF19">
            <w:pPr>
              <w:jc w:val="center"/>
              <w:rPr>
                <w:sz w:val="24"/>
              </w:rPr>
            </w:pPr>
            <w:r>
              <w:rPr>
                <w:rFonts w:hint="eastAsia"/>
              </w:rPr>
              <w:t>安康市高新区；高铁一路东起高新七路，西至站前南路；高铁二路东起高新七路，西至站前北路;匝道桥位于既有道路与安康西站进站口连接处</w:t>
            </w:r>
          </w:p>
        </w:tc>
      </w:tr>
      <w:tr w14:paraId="2F95C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569A4D5">
            <w:pPr>
              <w:adjustRightInd w:val="0"/>
              <w:snapToGrid w:val="0"/>
              <w:jc w:val="center"/>
              <w:rPr>
                <w:szCs w:val="21"/>
              </w:rPr>
            </w:pPr>
            <w:r>
              <w:rPr>
                <w:szCs w:val="21"/>
              </w:rPr>
              <w:t>地理坐标</w:t>
            </w:r>
          </w:p>
        </w:tc>
        <w:tc>
          <w:tcPr>
            <w:tcW w:w="8253" w:type="dxa"/>
            <w:gridSpan w:val="3"/>
            <w:tcBorders>
              <w:top w:val="single" w:color="auto" w:sz="4" w:space="0"/>
              <w:left w:val="single" w:color="auto" w:sz="4" w:space="0"/>
              <w:bottom w:val="single" w:color="auto" w:sz="4" w:space="0"/>
              <w:right w:val="single" w:color="auto" w:sz="4" w:space="0"/>
            </w:tcBorders>
            <w:vAlign w:val="center"/>
          </w:tcPr>
          <w:p w14:paraId="70E58114">
            <w:pPr>
              <w:adjustRightInd w:val="0"/>
              <w:snapToGrid w:val="0"/>
              <w:jc w:val="center"/>
              <w:rPr>
                <w:sz w:val="24"/>
                <w:highlight w:val="yellow"/>
              </w:rPr>
            </w:pPr>
            <w:r>
              <w:t>起点（108°56＇58.096〞,32°43＇53.563〞）、终点（108°57＇0</w:t>
            </w:r>
            <w:r>
              <w:rPr>
                <w:rFonts w:hint="eastAsia"/>
              </w:rPr>
              <w:t>.</w:t>
            </w:r>
            <w:r>
              <w:t>568〞,32°44＇1.056〞）</w:t>
            </w:r>
          </w:p>
        </w:tc>
      </w:tr>
      <w:tr w14:paraId="25391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1FE4DFA0">
            <w:pPr>
              <w:adjustRightInd w:val="0"/>
              <w:snapToGrid w:val="0"/>
              <w:jc w:val="center"/>
              <w:rPr>
                <w:szCs w:val="21"/>
              </w:rPr>
            </w:pPr>
            <w:r>
              <w:rPr>
                <w:szCs w:val="21"/>
              </w:rPr>
              <w:t>建设项目</w:t>
            </w:r>
          </w:p>
          <w:p w14:paraId="2A63AF54">
            <w:pPr>
              <w:adjustRightInd w:val="0"/>
              <w:snapToGrid w:val="0"/>
              <w:jc w:val="center"/>
              <w:rPr>
                <w:szCs w:val="21"/>
              </w:rPr>
            </w:pPr>
            <w:r>
              <w:rPr>
                <w:szCs w:val="21"/>
              </w:rPr>
              <w:t>行业类别</w:t>
            </w:r>
          </w:p>
        </w:tc>
        <w:tc>
          <w:tcPr>
            <w:tcW w:w="2519" w:type="dxa"/>
            <w:tcBorders>
              <w:top w:val="single" w:color="auto" w:sz="4" w:space="0"/>
              <w:bottom w:val="single" w:color="auto" w:sz="4" w:space="0"/>
            </w:tcBorders>
            <w:vAlign w:val="center"/>
          </w:tcPr>
          <w:p w14:paraId="4D49F7D1">
            <w:pPr>
              <w:jc w:val="center"/>
              <w:rPr>
                <w:sz w:val="24"/>
              </w:rPr>
            </w:pPr>
            <w:r>
              <w:t>五十二、交通运输业、管道运输业</w:t>
            </w:r>
            <w:r>
              <w:rPr>
                <w:rFonts w:hint="eastAsia"/>
              </w:rPr>
              <w:t>-</w:t>
            </w:r>
            <w:r>
              <w:t>13</w:t>
            </w:r>
            <w:r>
              <w:rPr>
                <w:rFonts w:hint="eastAsia"/>
              </w:rPr>
              <w:t>1城市道路</w:t>
            </w:r>
            <w:r>
              <w:rPr>
                <w:rFonts w:hint="eastAsia" w:cs="宋体"/>
              </w:rPr>
              <w:t>(不含维护；不含支路、人行天桥、人行地道)</w:t>
            </w:r>
          </w:p>
        </w:tc>
        <w:tc>
          <w:tcPr>
            <w:tcW w:w="2835" w:type="dxa"/>
            <w:tcBorders>
              <w:top w:val="single" w:color="auto" w:sz="4" w:space="0"/>
              <w:bottom w:val="single" w:color="auto" w:sz="4" w:space="0"/>
            </w:tcBorders>
            <w:vAlign w:val="center"/>
          </w:tcPr>
          <w:p w14:paraId="29B4DFA6">
            <w:pPr>
              <w:jc w:val="center"/>
              <w:rPr>
                <w:sz w:val="24"/>
              </w:rPr>
            </w:pPr>
            <w:r>
              <w:t>用地</w:t>
            </w:r>
            <w:r>
              <w:rPr>
                <w:rFonts w:hint="eastAsia"/>
              </w:rPr>
              <w:t>（</w:t>
            </w:r>
            <w:r>
              <w:t>用海</w:t>
            </w:r>
            <w:r>
              <w:rPr>
                <w:rFonts w:hint="eastAsia"/>
              </w:rPr>
              <w:t>）</w:t>
            </w:r>
            <w:r>
              <w:t>面积</w:t>
            </w:r>
            <w:r>
              <w:rPr>
                <w:rFonts w:hint="eastAsia"/>
              </w:rPr>
              <w:t>（</w:t>
            </w:r>
            <w:r>
              <w:t>m</w:t>
            </w:r>
            <w:r>
              <w:rPr>
                <w:vertAlign w:val="superscript"/>
              </w:rPr>
              <w:t>2</w:t>
            </w:r>
            <w:r>
              <w:rPr>
                <w:rFonts w:hint="eastAsia"/>
              </w:rPr>
              <w:t>）</w:t>
            </w:r>
            <w:r>
              <w:t>/长度</w:t>
            </w:r>
            <w:r>
              <w:rPr>
                <w:rFonts w:hint="eastAsia"/>
              </w:rPr>
              <w:t>（km）</w:t>
            </w:r>
          </w:p>
        </w:tc>
        <w:tc>
          <w:tcPr>
            <w:tcW w:w="2899" w:type="dxa"/>
            <w:tcBorders>
              <w:top w:val="single" w:color="auto" w:sz="4" w:space="0"/>
              <w:bottom w:val="single" w:color="auto" w:sz="4" w:space="0"/>
              <w:right w:val="single" w:color="auto" w:sz="4" w:space="0"/>
            </w:tcBorders>
            <w:vAlign w:val="center"/>
          </w:tcPr>
          <w:p w14:paraId="1AF4AB2A">
            <w:pPr>
              <w:jc w:val="center"/>
            </w:pPr>
            <w:r>
              <w:rPr>
                <w:rFonts w:hint="eastAsia"/>
              </w:rPr>
              <w:t>用地面积：</w:t>
            </w:r>
            <w:r>
              <w:t>25886.67m</w:t>
            </w:r>
            <w:r>
              <w:rPr>
                <w:vertAlign w:val="superscript"/>
              </w:rPr>
              <w:t>2</w:t>
            </w:r>
          </w:p>
          <w:p w14:paraId="37572527">
            <w:pPr>
              <w:jc w:val="center"/>
              <w:rPr>
                <w:sz w:val="24"/>
              </w:rPr>
            </w:pPr>
            <w:r>
              <w:rPr>
                <w:rFonts w:hint="eastAsia"/>
              </w:rPr>
              <w:t>/长度：0</w:t>
            </w:r>
            <w:r>
              <w:t>.</w:t>
            </w:r>
            <w:r>
              <w:rPr>
                <w:rFonts w:hint="eastAsia"/>
              </w:rPr>
              <w:t>823km</w:t>
            </w:r>
          </w:p>
        </w:tc>
      </w:tr>
      <w:tr w14:paraId="116393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1AADA4A9">
            <w:pPr>
              <w:adjustRightInd w:val="0"/>
              <w:snapToGrid w:val="0"/>
              <w:jc w:val="center"/>
              <w:rPr>
                <w:szCs w:val="21"/>
              </w:rPr>
            </w:pPr>
            <w:r>
              <w:rPr>
                <w:szCs w:val="21"/>
              </w:rPr>
              <w:t>建设性质</w:t>
            </w:r>
          </w:p>
        </w:tc>
        <w:tc>
          <w:tcPr>
            <w:tcW w:w="2519" w:type="dxa"/>
            <w:tcBorders>
              <w:top w:val="single" w:color="auto" w:sz="4" w:space="0"/>
              <w:bottom w:val="single" w:color="auto" w:sz="4" w:space="0"/>
            </w:tcBorders>
            <w:vAlign w:val="center"/>
          </w:tcPr>
          <w:p w14:paraId="1292B459">
            <w:pPr>
              <w:adjustRightInd w:val="0"/>
              <w:snapToGrid w:val="0"/>
              <w:spacing w:before="120" w:beforeLines="50" w:line="312" w:lineRule="auto"/>
              <w:jc w:val="left"/>
              <w:rPr>
                <w:szCs w:val="21"/>
              </w:rPr>
            </w:pPr>
            <w:r>
              <w:rPr>
                <w:rFonts w:hint="eastAsia" w:ascii="Segoe UI Symbol" w:hAnsi="Segoe UI Symbol" w:cs="Segoe UI Symbol"/>
                <w:kern w:val="0"/>
                <w:szCs w:val="21"/>
              </w:rPr>
              <w:sym w:font="Wingdings 2" w:char="0052"/>
            </w:r>
            <w:r>
              <w:rPr>
                <w:szCs w:val="21"/>
              </w:rPr>
              <w:t>新建</w:t>
            </w:r>
          </w:p>
          <w:p w14:paraId="211D82B7">
            <w:pPr>
              <w:adjustRightInd w:val="0"/>
              <w:snapToGrid w:val="0"/>
              <w:spacing w:line="312" w:lineRule="auto"/>
              <w:jc w:val="left"/>
              <w:rPr>
                <w:szCs w:val="21"/>
              </w:rPr>
            </w:pPr>
            <w:r>
              <w:rPr>
                <w:szCs w:val="21"/>
              </w:rPr>
              <w:sym w:font="Wingdings 2" w:char="00A3"/>
            </w:r>
            <w:r>
              <w:rPr>
                <w:szCs w:val="21"/>
              </w:rPr>
              <w:t>改建</w:t>
            </w:r>
          </w:p>
          <w:p w14:paraId="042C6BCB">
            <w:pPr>
              <w:adjustRightInd w:val="0"/>
              <w:snapToGrid w:val="0"/>
              <w:spacing w:line="312" w:lineRule="auto"/>
              <w:jc w:val="left"/>
              <w:rPr>
                <w:szCs w:val="21"/>
              </w:rPr>
            </w:pPr>
            <w:r>
              <w:rPr>
                <w:szCs w:val="21"/>
              </w:rPr>
              <w:sym w:font="Wingdings 2" w:char="00A3"/>
            </w:r>
            <w:r>
              <w:rPr>
                <w:szCs w:val="21"/>
              </w:rPr>
              <w:t>扩建</w:t>
            </w:r>
          </w:p>
          <w:p w14:paraId="372FFEE6">
            <w:pPr>
              <w:adjustRightInd w:val="0"/>
              <w:snapToGrid w:val="0"/>
              <w:spacing w:line="312" w:lineRule="auto"/>
              <w:jc w:val="left"/>
              <w:rPr>
                <w:szCs w:val="21"/>
              </w:rPr>
            </w:pPr>
            <w:r>
              <w:rPr>
                <w:szCs w:val="21"/>
              </w:rPr>
              <w:sym w:font="Wingdings 2" w:char="00A3"/>
            </w:r>
            <w:r>
              <w:rPr>
                <w:szCs w:val="21"/>
              </w:rPr>
              <w:t>技术改造</w:t>
            </w:r>
          </w:p>
        </w:tc>
        <w:tc>
          <w:tcPr>
            <w:tcW w:w="2835" w:type="dxa"/>
            <w:tcBorders>
              <w:top w:val="single" w:color="auto" w:sz="4" w:space="0"/>
              <w:bottom w:val="single" w:color="auto" w:sz="4" w:space="0"/>
            </w:tcBorders>
            <w:vAlign w:val="center"/>
          </w:tcPr>
          <w:p w14:paraId="47528137">
            <w:pPr>
              <w:adjustRightInd w:val="0"/>
              <w:snapToGrid w:val="0"/>
              <w:jc w:val="center"/>
              <w:rPr>
                <w:szCs w:val="21"/>
              </w:rPr>
            </w:pPr>
            <w:r>
              <w:rPr>
                <w:szCs w:val="21"/>
              </w:rPr>
              <w:t>建设项目</w:t>
            </w:r>
          </w:p>
          <w:p w14:paraId="4333F5A5">
            <w:pPr>
              <w:adjustRightInd w:val="0"/>
              <w:snapToGrid w:val="0"/>
              <w:jc w:val="center"/>
              <w:rPr>
                <w:szCs w:val="21"/>
              </w:rPr>
            </w:pPr>
            <w:r>
              <w:rPr>
                <w:szCs w:val="21"/>
              </w:rPr>
              <w:t>申报情形</w:t>
            </w:r>
          </w:p>
        </w:tc>
        <w:tc>
          <w:tcPr>
            <w:tcW w:w="2899" w:type="dxa"/>
            <w:tcBorders>
              <w:top w:val="single" w:color="auto" w:sz="4" w:space="0"/>
              <w:bottom w:val="single" w:color="auto" w:sz="4" w:space="0"/>
              <w:right w:val="single" w:color="auto" w:sz="4" w:space="0"/>
            </w:tcBorders>
            <w:vAlign w:val="center"/>
          </w:tcPr>
          <w:p w14:paraId="3B638C8A">
            <w:pPr>
              <w:adjustRightInd w:val="0"/>
              <w:snapToGrid w:val="0"/>
              <w:spacing w:before="120" w:beforeLines="50" w:line="312" w:lineRule="auto"/>
              <w:jc w:val="left"/>
              <w:rPr>
                <w:szCs w:val="21"/>
              </w:rPr>
            </w:pPr>
            <w:r>
              <w:rPr>
                <w:rFonts w:hint="eastAsia" w:ascii="Segoe UI Symbol" w:hAnsi="Segoe UI Symbol" w:cs="Segoe UI Symbol"/>
                <w:kern w:val="0"/>
                <w:szCs w:val="21"/>
              </w:rPr>
              <w:sym w:font="Wingdings 2" w:char="0052"/>
            </w:r>
            <w:r>
              <w:rPr>
                <w:szCs w:val="21"/>
              </w:rPr>
              <w:t>首次申报项目</w:t>
            </w:r>
          </w:p>
          <w:p w14:paraId="75135C8D">
            <w:pPr>
              <w:adjustRightInd w:val="0"/>
              <w:snapToGrid w:val="0"/>
              <w:spacing w:line="312" w:lineRule="auto"/>
              <w:jc w:val="left"/>
              <w:rPr>
                <w:szCs w:val="21"/>
              </w:rPr>
            </w:pPr>
            <w:r>
              <w:rPr>
                <w:szCs w:val="21"/>
              </w:rPr>
              <w:sym w:font="Wingdings 2" w:char="00A3"/>
            </w:r>
            <w:r>
              <w:rPr>
                <w:szCs w:val="21"/>
              </w:rPr>
              <w:t>不予批准后再次申报项目</w:t>
            </w:r>
          </w:p>
          <w:p w14:paraId="02D285F0">
            <w:pPr>
              <w:adjustRightInd w:val="0"/>
              <w:snapToGrid w:val="0"/>
              <w:spacing w:line="312" w:lineRule="auto"/>
              <w:jc w:val="left"/>
              <w:rPr>
                <w:szCs w:val="21"/>
              </w:rPr>
            </w:pPr>
            <w:r>
              <w:rPr>
                <w:szCs w:val="21"/>
              </w:rPr>
              <w:sym w:font="Wingdings 2" w:char="00A3"/>
            </w:r>
            <w:r>
              <w:rPr>
                <w:szCs w:val="21"/>
              </w:rPr>
              <w:t>超五年重新审核项目</w:t>
            </w:r>
          </w:p>
          <w:p w14:paraId="6168ED46">
            <w:pPr>
              <w:adjustRightInd w:val="0"/>
              <w:snapToGrid w:val="0"/>
              <w:spacing w:line="312" w:lineRule="auto"/>
              <w:rPr>
                <w:szCs w:val="21"/>
              </w:rPr>
            </w:pPr>
            <w:r>
              <w:rPr>
                <w:szCs w:val="21"/>
              </w:rPr>
              <w:sym w:font="Wingdings 2" w:char="00A3"/>
            </w:r>
            <w:r>
              <w:rPr>
                <w:szCs w:val="21"/>
              </w:rPr>
              <w:t>重大变动重新报批项目</w:t>
            </w:r>
          </w:p>
        </w:tc>
      </w:tr>
      <w:tr w14:paraId="5631E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34155359">
            <w:pPr>
              <w:adjustRightInd w:val="0"/>
              <w:snapToGrid w:val="0"/>
              <w:jc w:val="center"/>
              <w:rPr>
                <w:szCs w:val="21"/>
              </w:rPr>
            </w:pPr>
            <w:r>
              <w:rPr>
                <w:szCs w:val="21"/>
              </w:rPr>
              <w:t>项目审批</w:t>
            </w:r>
            <w:r>
              <w:rPr>
                <w:rFonts w:hint="eastAsia"/>
                <w:szCs w:val="21"/>
              </w:rPr>
              <w:t>(</w:t>
            </w:r>
            <w:r>
              <w:rPr>
                <w:szCs w:val="21"/>
              </w:rPr>
              <w:t>核准/备案</w:t>
            </w:r>
            <w:r>
              <w:rPr>
                <w:rFonts w:hint="eastAsia"/>
                <w:szCs w:val="21"/>
              </w:rPr>
              <w:t>)</w:t>
            </w:r>
            <w:r>
              <w:rPr>
                <w:szCs w:val="21"/>
              </w:rPr>
              <w:t>部门</w:t>
            </w:r>
            <w:r>
              <w:rPr>
                <w:rFonts w:hint="eastAsia"/>
                <w:szCs w:val="21"/>
              </w:rPr>
              <w:t>(</w:t>
            </w:r>
            <w:r>
              <w:rPr>
                <w:szCs w:val="21"/>
              </w:rPr>
              <w:t>选填</w:t>
            </w:r>
            <w:r>
              <w:rPr>
                <w:rFonts w:hint="eastAsia"/>
                <w:szCs w:val="21"/>
              </w:rPr>
              <w:t>)</w:t>
            </w:r>
          </w:p>
        </w:tc>
        <w:tc>
          <w:tcPr>
            <w:tcW w:w="2519" w:type="dxa"/>
            <w:tcBorders>
              <w:top w:val="single" w:color="auto" w:sz="4" w:space="0"/>
              <w:bottom w:val="single" w:color="auto" w:sz="4" w:space="0"/>
            </w:tcBorders>
            <w:vAlign w:val="center"/>
          </w:tcPr>
          <w:p w14:paraId="312B474A">
            <w:pPr>
              <w:adjustRightInd w:val="0"/>
              <w:snapToGrid w:val="0"/>
              <w:jc w:val="center"/>
              <w:rPr>
                <w:szCs w:val="21"/>
              </w:rPr>
            </w:pPr>
            <w:r>
              <w:t>安康高新技术产业开发区经济发展科技局</w:t>
            </w:r>
          </w:p>
        </w:tc>
        <w:tc>
          <w:tcPr>
            <w:tcW w:w="2835" w:type="dxa"/>
            <w:tcBorders>
              <w:top w:val="single" w:color="auto" w:sz="4" w:space="0"/>
              <w:bottom w:val="single" w:color="auto" w:sz="4" w:space="0"/>
            </w:tcBorders>
            <w:vAlign w:val="center"/>
          </w:tcPr>
          <w:p w14:paraId="645AA012">
            <w:pPr>
              <w:adjustRightInd w:val="0"/>
              <w:snapToGrid w:val="0"/>
              <w:jc w:val="center"/>
              <w:rPr>
                <w:szCs w:val="21"/>
              </w:rPr>
            </w:pPr>
            <w:r>
              <w:rPr>
                <w:szCs w:val="21"/>
              </w:rPr>
              <w:t>项目审批</w:t>
            </w:r>
            <w:r>
              <w:rPr>
                <w:rFonts w:hint="eastAsia"/>
                <w:szCs w:val="21"/>
              </w:rPr>
              <w:t>(</w:t>
            </w:r>
            <w:r>
              <w:rPr>
                <w:szCs w:val="21"/>
              </w:rPr>
              <w:t>核准/备案</w:t>
            </w:r>
            <w:r>
              <w:rPr>
                <w:rFonts w:hint="eastAsia"/>
                <w:szCs w:val="21"/>
              </w:rPr>
              <w:t>)</w:t>
            </w:r>
            <w:r>
              <w:rPr>
                <w:szCs w:val="21"/>
              </w:rPr>
              <w:t>文号（选填）</w:t>
            </w:r>
          </w:p>
        </w:tc>
        <w:tc>
          <w:tcPr>
            <w:tcW w:w="2899" w:type="dxa"/>
            <w:tcBorders>
              <w:top w:val="single" w:color="auto" w:sz="4" w:space="0"/>
              <w:bottom w:val="single" w:color="auto" w:sz="4" w:space="0"/>
              <w:right w:val="single" w:color="auto" w:sz="4" w:space="0"/>
            </w:tcBorders>
            <w:vAlign w:val="center"/>
          </w:tcPr>
          <w:p w14:paraId="03BBC99B">
            <w:pPr>
              <w:adjustRightInd w:val="0"/>
              <w:snapToGrid w:val="0"/>
              <w:jc w:val="center"/>
              <w:rPr>
                <w:szCs w:val="21"/>
              </w:rPr>
            </w:pPr>
            <w:r>
              <w:t>安高新经科发〔2023〕</w:t>
            </w:r>
            <w:r>
              <w:rPr>
                <w:rFonts w:hint="eastAsia"/>
              </w:rPr>
              <w:t>238号</w:t>
            </w:r>
          </w:p>
        </w:tc>
      </w:tr>
      <w:tr w14:paraId="25E8B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5316D364">
            <w:pPr>
              <w:adjustRightInd w:val="0"/>
              <w:snapToGrid w:val="0"/>
              <w:jc w:val="center"/>
              <w:rPr>
                <w:szCs w:val="21"/>
              </w:rPr>
            </w:pPr>
            <w:r>
              <w:rPr>
                <w:szCs w:val="21"/>
              </w:rPr>
              <w:t>总投资</w:t>
            </w:r>
          </w:p>
          <w:p w14:paraId="2DB89093">
            <w:pPr>
              <w:adjustRightInd w:val="0"/>
              <w:snapToGrid w:val="0"/>
              <w:jc w:val="center"/>
              <w:rPr>
                <w:szCs w:val="21"/>
              </w:rPr>
            </w:pPr>
            <w:r>
              <w:rPr>
                <w:szCs w:val="21"/>
              </w:rPr>
              <w:t>（万元）</w:t>
            </w:r>
          </w:p>
        </w:tc>
        <w:tc>
          <w:tcPr>
            <w:tcW w:w="2519" w:type="dxa"/>
            <w:tcBorders>
              <w:top w:val="single" w:color="auto" w:sz="4" w:space="0"/>
              <w:bottom w:val="single" w:color="auto" w:sz="4" w:space="0"/>
            </w:tcBorders>
            <w:vAlign w:val="center"/>
          </w:tcPr>
          <w:p w14:paraId="1C8F2ACD">
            <w:pPr>
              <w:jc w:val="center"/>
              <w:rPr>
                <w:sz w:val="24"/>
              </w:rPr>
            </w:pPr>
            <w:r>
              <w:rPr>
                <w:rFonts w:hint="eastAsia"/>
              </w:rPr>
              <w:t>18515.81</w:t>
            </w:r>
          </w:p>
        </w:tc>
        <w:tc>
          <w:tcPr>
            <w:tcW w:w="2835" w:type="dxa"/>
            <w:tcBorders>
              <w:top w:val="single" w:color="auto" w:sz="4" w:space="0"/>
              <w:bottom w:val="single" w:color="auto" w:sz="4" w:space="0"/>
            </w:tcBorders>
            <w:tcMar>
              <w:top w:w="16" w:type="dxa"/>
              <w:left w:w="16" w:type="dxa"/>
              <w:right w:w="16" w:type="dxa"/>
            </w:tcMar>
            <w:vAlign w:val="center"/>
          </w:tcPr>
          <w:p w14:paraId="3B69B451">
            <w:pPr>
              <w:jc w:val="center"/>
              <w:rPr>
                <w:sz w:val="24"/>
              </w:rPr>
            </w:pPr>
            <w:r>
              <w:t>环保投资（万元）</w:t>
            </w:r>
          </w:p>
        </w:tc>
        <w:tc>
          <w:tcPr>
            <w:tcW w:w="2899" w:type="dxa"/>
            <w:tcBorders>
              <w:top w:val="single" w:color="auto" w:sz="4" w:space="0"/>
              <w:bottom w:val="single" w:color="auto" w:sz="4" w:space="0"/>
              <w:right w:val="single" w:color="auto" w:sz="4" w:space="0"/>
            </w:tcBorders>
            <w:vAlign w:val="center"/>
          </w:tcPr>
          <w:p w14:paraId="613769F4">
            <w:pPr>
              <w:jc w:val="center"/>
              <w:rPr>
                <w:szCs w:val="21"/>
              </w:rPr>
            </w:pPr>
            <w:r>
              <w:rPr>
                <w:szCs w:val="21"/>
              </w:rPr>
              <w:t>20.0</w:t>
            </w:r>
          </w:p>
        </w:tc>
      </w:tr>
      <w:tr w14:paraId="26FDD9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tcBorders>
            <w:tcMar>
              <w:top w:w="16" w:type="dxa"/>
              <w:left w:w="16" w:type="dxa"/>
              <w:right w:w="16" w:type="dxa"/>
            </w:tcMar>
            <w:vAlign w:val="center"/>
          </w:tcPr>
          <w:p w14:paraId="6AC31A94">
            <w:pPr>
              <w:adjustRightInd w:val="0"/>
              <w:snapToGrid w:val="0"/>
              <w:jc w:val="center"/>
              <w:rPr>
                <w:szCs w:val="21"/>
              </w:rPr>
            </w:pPr>
            <w:r>
              <w:rPr>
                <w:szCs w:val="21"/>
              </w:rPr>
              <w:t>环保投资占比（%）</w:t>
            </w:r>
          </w:p>
        </w:tc>
        <w:tc>
          <w:tcPr>
            <w:tcW w:w="2519" w:type="dxa"/>
            <w:tcBorders>
              <w:top w:val="single" w:color="auto" w:sz="4" w:space="0"/>
              <w:bottom w:val="single" w:color="auto" w:sz="4" w:space="0"/>
            </w:tcBorders>
            <w:vAlign w:val="center"/>
          </w:tcPr>
          <w:p w14:paraId="59DF9973">
            <w:pPr>
              <w:jc w:val="center"/>
              <w:rPr>
                <w:sz w:val="24"/>
              </w:rPr>
            </w:pPr>
            <w:r>
              <w:rPr>
                <w:rFonts w:hint="eastAsia"/>
              </w:rPr>
              <w:t>0.</w:t>
            </w:r>
            <w:r>
              <w:t>11%</w:t>
            </w:r>
          </w:p>
        </w:tc>
        <w:tc>
          <w:tcPr>
            <w:tcW w:w="2835" w:type="dxa"/>
            <w:tcBorders>
              <w:top w:val="single" w:color="auto" w:sz="4" w:space="0"/>
              <w:bottom w:val="single" w:color="auto" w:sz="4" w:space="0"/>
            </w:tcBorders>
            <w:tcMar>
              <w:top w:w="16" w:type="dxa"/>
              <w:left w:w="16" w:type="dxa"/>
              <w:right w:w="16" w:type="dxa"/>
            </w:tcMar>
            <w:vAlign w:val="center"/>
          </w:tcPr>
          <w:p w14:paraId="720EAA04">
            <w:pPr>
              <w:jc w:val="center"/>
              <w:rPr>
                <w:sz w:val="24"/>
              </w:rPr>
            </w:pPr>
            <w:r>
              <w:t>施工工期</w:t>
            </w:r>
          </w:p>
        </w:tc>
        <w:tc>
          <w:tcPr>
            <w:tcW w:w="2899" w:type="dxa"/>
            <w:tcBorders>
              <w:top w:val="single" w:color="auto" w:sz="4" w:space="0"/>
              <w:bottom w:val="single" w:color="auto" w:sz="4" w:space="0"/>
              <w:right w:val="single" w:color="auto" w:sz="4" w:space="0"/>
            </w:tcBorders>
            <w:vAlign w:val="center"/>
          </w:tcPr>
          <w:p w14:paraId="379D421B">
            <w:pPr>
              <w:jc w:val="center"/>
              <w:rPr>
                <w:sz w:val="24"/>
              </w:rPr>
            </w:pPr>
            <w:r>
              <w:rPr>
                <w:rFonts w:hint="eastAsia"/>
              </w:rPr>
              <w:t>12个月</w:t>
            </w:r>
          </w:p>
        </w:tc>
      </w:tr>
      <w:tr w14:paraId="7F607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39F3ECD">
            <w:pPr>
              <w:adjustRightInd w:val="0"/>
              <w:snapToGrid w:val="0"/>
              <w:jc w:val="center"/>
              <w:rPr>
                <w:szCs w:val="21"/>
              </w:rPr>
            </w:pPr>
            <w:r>
              <w:rPr>
                <w:szCs w:val="21"/>
              </w:rPr>
              <w:t>是否开工</w:t>
            </w:r>
          </w:p>
          <w:p w14:paraId="3F394485">
            <w:pPr>
              <w:adjustRightInd w:val="0"/>
              <w:snapToGrid w:val="0"/>
              <w:jc w:val="center"/>
              <w:rPr>
                <w:szCs w:val="21"/>
              </w:rPr>
            </w:pPr>
            <w:r>
              <w:rPr>
                <w:szCs w:val="21"/>
              </w:rPr>
              <w:t>建设</w:t>
            </w:r>
          </w:p>
        </w:tc>
        <w:tc>
          <w:tcPr>
            <w:tcW w:w="8253" w:type="dxa"/>
            <w:gridSpan w:val="3"/>
            <w:tcBorders>
              <w:top w:val="single" w:color="auto" w:sz="4" w:space="0"/>
              <w:left w:val="single" w:color="auto" w:sz="4" w:space="0"/>
              <w:bottom w:val="single" w:color="auto" w:sz="4" w:space="0"/>
              <w:right w:val="single" w:color="auto" w:sz="4" w:space="0"/>
            </w:tcBorders>
            <w:vAlign w:val="center"/>
          </w:tcPr>
          <w:p w14:paraId="13067A83">
            <w:pPr>
              <w:adjustRightInd w:val="0"/>
              <w:snapToGrid w:val="0"/>
              <w:ind w:firstLine="108"/>
              <w:jc w:val="left"/>
              <w:rPr>
                <w:szCs w:val="21"/>
              </w:rPr>
            </w:pPr>
            <w:r>
              <w:rPr>
                <w:rFonts w:hint="eastAsia" w:ascii="Segoe UI Emoji" w:hAnsi="Segoe UI Emoji" w:cs="Segoe UI Emoji"/>
                <w:kern w:val="0"/>
                <w:szCs w:val="21"/>
              </w:rPr>
              <w:sym w:font="Wingdings 2" w:char="0052"/>
            </w:r>
            <w:r>
              <w:rPr>
                <w:szCs w:val="21"/>
              </w:rPr>
              <w:t>否</w:t>
            </w:r>
          </w:p>
          <w:p w14:paraId="7A969F0C">
            <w:pPr>
              <w:adjustRightInd w:val="0"/>
              <w:snapToGrid w:val="0"/>
              <w:ind w:firstLine="91"/>
              <w:jc w:val="left"/>
              <w:rPr>
                <w:sz w:val="24"/>
              </w:rPr>
            </w:pPr>
            <w:r>
              <w:rPr>
                <w:szCs w:val="21"/>
              </w:rPr>
              <w:sym w:font="Wingdings 2" w:char="00A3"/>
            </w:r>
            <w:r>
              <w:rPr>
                <w:szCs w:val="21"/>
              </w:rPr>
              <w:t>是：</w:t>
            </w:r>
            <w:r>
              <w:rPr>
                <w:szCs w:val="21"/>
                <w:u w:val="single"/>
              </w:rPr>
              <w:t xml:space="preserve">  /  </w:t>
            </w:r>
          </w:p>
        </w:tc>
      </w:tr>
      <w:tr w14:paraId="0AE7D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0BC4212F">
            <w:pPr>
              <w:autoSpaceDE w:val="0"/>
              <w:autoSpaceDN w:val="0"/>
              <w:adjustRightInd w:val="0"/>
              <w:snapToGrid w:val="0"/>
              <w:jc w:val="center"/>
              <w:rPr>
                <w:kern w:val="0"/>
                <w:sz w:val="24"/>
              </w:rPr>
            </w:pPr>
            <w:r>
              <w:rPr>
                <w:kern w:val="0"/>
                <w:sz w:val="24"/>
              </w:rPr>
              <w:t>专项评价设置情况</w:t>
            </w:r>
          </w:p>
        </w:tc>
        <w:tc>
          <w:tcPr>
            <w:tcW w:w="8253" w:type="dxa"/>
            <w:gridSpan w:val="3"/>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E39CFDA">
            <w:pPr>
              <w:autoSpaceDE w:val="0"/>
              <w:autoSpaceDN w:val="0"/>
              <w:adjustRightInd w:val="0"/>
              <w:snapToGrid w:val="0"/>
              <w:spacing w:line="440" w:lineRule="exact"/>
              <w:jc w:val="center"/>
              <w:rPr>
                <w:kern w:val="0"/>
                <w:sz w:val="24"/>
              </w:rPr>
            </w:pPr>
            <w:r>
              <w:rPr>
                <w:rFonts w:hint="eastAsia"/>
                <w:kern w:val="0"/>
                <w:sz w:val="24"/>
              </w:rPr>
              <w:t>本项目为市政道路（不含维护，不含支路、人行天桥、人行地道），因此设置噪声专项评价。</w:t>
            </w:r>
          </w:p>
        </w:tc>
      </w:tr>
      <w:tr w14:paraId="4A968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8"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C5D0006">
            <w:pPr>
              <w:autoSpaceDE w:val="0"/>
              <w:autoSpaceDN w:val="0"/>
              <w:adjustRightInd w:val="0"/>
              <w:snapToGrid w:val="0"/>
              <w:jc w:val="center"/>
              <w:rPr>
                <w:kern w:val="0"/>
                <w:sz w:val="24"/>
              </w:rPr>
            </w:pPr>
            <w:r>
              <w:rPr>
                <w:sz w:val="24"/>
              </w:rPr>
              <w:t>规划情况</w:t>
            </w:r>
          </w:p>
        </w:tc>
        <w:tc>
          <w:tcPr>
            <w:tcW w:w="8253" w:type="dxa"/>
            <w:gridSpan w:val="3"/>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59F4A579">
            <w:pPr>
              <w:autoSpaceDE w:val="0"/>
              <w:autoSpaceDN w:val="0"/>
              <w:adjustRightInd w:val="0"/>
              <w:snapToGrid w:val="0"/>
              <w:spacing w:line="440" w:lineRule="exact"/>
              <w:rPr>
                <w:color w:val="FF0000"/>
                <w:kern w:val="0"/>
                <w:sz w:val="24"/>
              </w:rPr>
            </w:pPr>
            <w:r>
              <w:rPr>
                <w:rFonts w:hint="eastAsia"/>
                <w:color w:val="FF0000"/>
                <w:kern w:val="0"/>
                <w:sz w:val="24"/>
              </w:rPr>
              <w:t>规划名称：《安康铁路枢纽规划》（2016-2030年）</w:t>
            </w:r>
          </w:p>
          <w:p w14:paraId="39213665">
            <w:pPr>
              <w:autoSpaceDE w:val="0"/>
              <w:autoSpaceDN w:val="0"/>
              <w:adjustRightInd w:val="0"/>
              <w:snapToGrid w:val="0"/>
              <w:spacing w:line="440" w:lineRule="exact"/>
              <w:rPr>
                <w:color w:val="FF0000"/>
                <w:kern w:val="0"/>
                <w:sz w:val="24"/>
              </w:rPr>
            </w:pPr>
            <w:r>
              <w:rPr>
                <w:rFonts w:hint="eastAsia"/>
                <w:color w:val="FF0000"/>
                <w:kern w:val="0"/>
                <w:sz w:val="24"/>
              </w:rPr>
              <w:t>审批机关：中国铁路总公司、陕西省人民政府</w:t>
            </w:r>
          </w:p>
          <w:p w14:paraId="49DCE307">
            <w:pPr>
              <w:autoSpaceDE w:val="0"/>
              <w:autoSpaceDN w:val="0"/>
              <w:adjustRightInd w:val="0"/>
              <w:snapToGrid w:val="0"/>
              <w:spacing w:line="440" w:lineRule="exact"/>
              <w:rPr>
                <w:color w:val="FF0000"/>
                <w:kern w:val="0"/>
                <w:sz w:val="24"/>
              </w:rPr>
            </w:pPr>
            <w:r>
              <w:rPr>
                <w:rFonts w:hint="eastAsia"/>
                <w:color w:val="FF0000"/>
                <w:kern w:val="0"/>
                <w:sz w:val="24"/>
              </w:rPr>
              <w:t>批准文号：中国铁路总公司、陕西省人民政府联合印发的《关于安康铁路枢纽规划（2016-2030年）的批复》（铁总发改函〔2018〕556号）</w:t>
            </w:r>
          </w:p>
          <w:p w14:paraId="16D6D42D">
            <w:pPr>
              <w:autoSpaceDE w:val="0"/>
              <w:autoSpaceDN w:val="0"/>
              <w:adjustRightInd w:val="0"/>
              <w:snapToGrid w:val="0"/>
              <w:spacing w:line="440" w:lineRule="exact"/>
              <w:rPr>
                <w:kern w:val="0"/>
                <w:sz w:val="24"/>
              </w:rPr>
            </w:pPr>
            <w:r>
              <w:rPr>
                <w:rFonts w:hint="eastAsia"/>
                <w:color w:val="FF0000"/>
                <w:kern w:val="0"/>
                <w:sz w:val="24"/>
              </w:rPr>
              <w:t>批准时间：2</w:t>
            </w:r>
            <w:r>
              <w:rPr>
                <w:color w:val="FF0000"/>
                <w:kern w:val="0"/>
                <w:sz w:val="24"/>
              </w:rPr>
              <w:t>018</w:t>
            </w:r>
            <w:r>
              <w:rPr>
                <w:rFonts w:hint="eastAsia"/>
                <w:color w:val="FF0000"/>
                <w:kern w:val="0"/>
                <w:sz w:val="24"/>
              </w:rPr>
              <w:t>年1</w:t>
            </w:r>
            <w:r>
              <w:rPr>
                <w:color w:val="FF0000"/>
                <w:kern w:val="0"/>
                <w:sz w:val="24"/>
              </w:rPr>
              <w:t>0</w:t>
            </w:r>
            <w:r>
              <w:rPr>
                <w:rFonts w:hint="eastAsia"/>
                <w:color w:val="FF0000"/>
                <w:kern w:val="0"/>
                <w:sz w:val="24"/>
              </w:rPr>
              <w:t>月</w:t>
            </w:r>
          </w:p>
        </w:tc>
      </w:tr>
      <w:tr w14:paraId="1F0B6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0CED4664">
            <w:pPr>
              <w:autoSpaceDE w:val="0"/>
              <w:autoSpaceDN w:val="0"/>
              <w:adjustRightInd w:val="0"/>
              <w:snapToGrid w:val="0"/>
              <w:jc w:val="center"/>
              <w:rPr>
                <w:kern w:val="0"/>
                <w:sz w:val="24"/>
              </w:rPr>
            </w:pPr>
            <w:r>
              <w:rPr>
                <w:sz w:val="24"/>
              </w:rPr>
              <w:t>规划环境影响评价情况</w:t>
            </w:r>
          </w:p>
        </w:tc>
        <w:tc>
          <w:tcPr>
            <w:tcW w:w="8253" w:type="dxa"/>
            <w:gridSpan w:val="3"/>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05B22A3F">
            <w:pPr>
              <w:autoSpaceDE w:val="0"/>
              <w:autoSpaceDN w:val="0"/>
              <w:adjustRightInd w:val="0"/>
              <w:snapToGrid w:val="0"/>
              <w:spacing w:line="440" w:lineRule="exact"/>
              <w:jc w:val="center"/>
              <w:rPr>
                <w:kern w:val="0"/>
                <w:sz w:val="24"/>
              </w:rPr>
            </w:pPr>
            <w:r>
              <w:rPr>
                <w:rFonts w:hint="eastAsia"/>
                <w:color w:val="FF0000"/>
                <w:kern w:val="0"/>
                <w:sz w:val="24"/>
              </w:rPr>
              <w:t>/</w:t>
            </w:r>
          </w:p>
        </w:tc>
      </w:tr>
      <w:tr w14:paraId="2DC82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8"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1309B378">
            <w:pPr>
              <w:autoSpaceDE w:val="0"/>
              <w:autoSpaceDN w:val="0"/>
              <w:adjustRightInd w:val="0"/>
              <w:snapToGrid w:val="0"/>
              <w:jc w:val="center"/>
              <w:rPr>
                <w:kern w:val="0"/>
                <w:sz w:val="24"/>
              </w:rPr>
            </w:pPr>
            <w:r>
              <w:rPr>
                <w:kern w:val="0"/>
                <w:sz w:val="24"/>
              </w:rPr>
              <w:t>规划及</w:t>
            </w:r>
            <w:r>
              <w:rPr>
                <w:sz w:val="24"/>
              </w:rPr>
              <w:t>规划环境影响评价</w:t>
            </w:r>
            <w:r>
              <w:rPr>
                <w:kern w:val="0"/>
                <w:sz w:val="24"/>
              </w:rPr>
              <w:t>符合性分析</w:t>
            </w:r>
          </w:p>
        </w:tc>
        <w:tc>
          <w:tcPr>
            <w:tcW w:w="8253" w:type="dxa"/>
            <w:gridSpan w:val="3"/>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80C5B26">
            <w:pPr>
              <w:pStyle w:val="15"/>
              <w:ind w:left="0" w:leftChars="0"/>
              <w:rPr>
                <w:rFonts w:eastAsia="宋体" w:cs="Times New Roman"/>
                <w:b w:val="0"/>
                <w:color w:val="FF0000"/>
              </w:rPr>
            </w:pPr>
            <w:r>
              <w:rPr>
                <w:rFonts w:hint="eastAsia" w:eastAsia="宋体" w:cs="Times New Roman"/>
                <w:b w:val="0"/>
                <w:color w:val="FF0000"/>
              </w:rPr>
              <w:t>本项目与《安康铁路枢纽规划》（2016-2030年）的符合性分析具体详见表1-</w:t>
            </w:r>
            <w:r>
              <w:rPr>
                <w:rFonts w:eastAsia="宋体" w:cs="Times New Roman"/>
                <w:b w:val="0"/>
                <w:color w:val="FF0000"/>
              </w:rPr>
              <w:t>1</w:t>
            </w:r>
            <w:r>
              <w:rPr>
                <w:rFonts w:hint="eastAsia" w:eastAsia="宋体" w:cs="Times New Roman"/>
                <w:b w:val="0"/>
                <w:color w:val="FF0000"/>
              </w:rPr>
              <w:t>。</w:t>
            </w:r>
          </w:p>
          <w:p w14:paraId="13E9329E">
            <w:pPr>
              <w:jc w:val="center"/>
              <w:rPr>
                <w:rFonts w:eastAsia="黑体"/>
                <w:color w:val="FF0000"/>
              </w:rPr>
            </w:pPr>
            <w:r>
              <w:rPr>
                <w:rFonts w:hint="eastAsia" w:eastAsia="黑体"/>
                <w:color w:val="FF0000"/>
              </w:rPr>
              <w:t>表1</w:t>
            </w:r>
            <w:r>
              <w:rPr>
                <w:rFonts w:eastAsia="黑体"/>
                <w:color w:val="FF0000"/>
              </w:rPr>
              <w:t xml:space="preserve">-1 </w:t>
            </w:r>
            <w:r>
              <w:rPr>
                <w:rFonts w:hint="eastAsia" w:eastAsia="黑体"/>
                <w:color w:val="FF0000"/>
              </w:rPr>
              <w:t>本项目与规划的符合性分析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3924"/>
              <w:gridCol w:w="2050"/>
              <w:gridCol w:w="735"/>
            </w:tblGrid>
            <w:tr w14:paraId="430D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vAlign w:val="center"/>
                </w:tcPr>
                <w:p w14:paraId="4AC50371">
                  <w:pPr>
                    <w:jc w:val="center"/>
                    <w:rPr>
                      <w:color w:val="FF0000"/>
                    </w:rPr>
                  </w:pPr>
                  <w:r>
                    <w:rPr>
                      <w:rFonts w:hint="eastAsia"/>
                      <w:color w:val="FF0000"/>
                    </w:rPr>
                    <w:t>名称</w:t>
                  </w:r>
                </w:p>
              </w:tc>
              <w:tc>
                <w:tcPr>
                  <w:tcW w:w="3924" w:type="dxa"/>
                  <w:vAlign w:val="center"/>
                </w:tcPr>
                <w:p w14:paraId="0321EC8F">
                  <w:pPr>
                    <w:jc w:val="center"/>
                    <w:rPr>
                      <w:color w:val="FF0000"/>
                    </w:rPr>
                  </w:pPr>
                  <w:r>
                    <w:rPr>
                      <w:rFonts w:hint="eastAsia"/>
                      <w:color w:val="FF0000"/>
                    </w:rPr>
                    <w:t>规划内容</w:t>
                  </w:r>
                </w:p>
              </w:tc>
              <w:tc>
                <w:tcPr>
                  <w:tcW w:w="2050" w:type="dxa"/>
                  <w:vAlign w:val="center"/>
                </w:tcPr>
                <w:p w14:paraId="477CC9A5">
                  <w:pPr>
                    <w:jc w:val="center"/>
                    <w:rPr>
                      <w:color w:val="FF0000"/>
                    </w:rPr>
                  </w:pPr>
                  <w:r>
                    <w:rPr>
                      <w:rFonts w:hint="eastAsia"/>
                      <w:color w:val="FF0000"/>
                    </w:rPr>
                    <w:t>项目情况</w:t>
                  </w:r>
                </w:p>
              </w:tc>
              <w:tc>
                <w:tcPr>
                  <w:tcW w:w="735" w:type="dxa"/>
                  <w:vAlign w:val="center"/>
                </w:tcPr>
                <w:p w14:paraId="1950926B">
                  <w:pPr>
                    <w:jc w:val="center"/>
                    <w:rPr>
                      <w:color w:val="FF0000"/>
                    </w:rPr>
                  </w:pPr>
                  <w:r>
                    <w:rPr>
                      <w:rFonts w:hint="eastAsia"/>
                      <w:color w:val="FF0000"/>
                    </w:rPr>
                    <w:t>符合性</w:t>
                  </w:r>
                </w:p>
              </w:tc>
            </w:tr>
            <w:tr w14:paraId="58ED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2" w:type="dxa"/>
                  <w:vAlign w:val="center"/>
                </w:tcPr>
                <w:p w14:paraId="02317980">
                  <w:pPr>
                    <w:jc w:val="center"/>
                    <w:rPr>
                      <w:color w:val="FF0000"/>
                    </w:rPr>
                  </w:pPr>
                  <w:r>
                    <w:rPr>
                      <w:rFonts w:hint="eastAsia"/>
                      <w:color w:val="FF0000"/>
                    </w:rPr>
                    <w:t>《安康铁路枢纽规划》（2016-2030年）</w:t>
                  </w:r>
                </w:p>
              </w:tc>
              <w:tc>
                <w:tcPr>
                  <w:tcW w:w="3924" w:type="dxa"/>
                  <w:vAlign w:val="center"/>
                </w:tcPr>
                <w:p w14:paraId="3F0ED2B5">
                  <w:pPr>
                    <w:rPr>
                      <w:color w:val="FF0000"/>
                    </w:rPr>
                  </w:pPr>
                  <w:r>
                    <w:rPr>
                      <w:rFonts w:hint="eastAsia"/>
                      <w:color w:val="FF0000"/>
                    </w:rPr>
                    <w:t>形成安康、安康西两个客运站格局。安康站为枢纽普速客车站，办理枢纽各方向普客始发终到及通过作业，远期兼顾办理部分城际动车作业。安康西站为枢纽高铁站，办理枢纽各方向动车始发终到及通过作业。规划形成“1+2”物流节点网络。其中，恒口为二级物流基地，旬阳北、安康东（城市物流配送基地）为三级物流基地。规划安康西动车存车场配套建设高铁快运设施。</w:t>
                  </w:r>
                </w:p>
              </w:tc>
              <w:tc>
                <w:tcPr>
                  <w:tcW w:w="2050" w:type="dxa"/>
                  <w:vAlign w:val="center"/>
                </w:tcPr>
                <w:p w14:paraId="36B62DDE">
                  <w:pPr>
                    <w:rPr>
                      <w:color w:val="FF0000"/>
                    </w:rPr>
                  </w:pPr>
                  <w:r>
                    <w:rPr>
                      <w:rFonts w:hint="eastAsia"/>
                      <w:color w:val="FF0000"/>
                    </w:rPr>
                    <w:t>安康高铁西站站前市政工程，主要由高铁一路、高铁二路和匝道桥等组成，是站前客流疏散与集合的重要道路，为站前交通路网的重要组成部分，属于高铁站的附属道路。</w:t>
                  </w:r>
                </w:p>
              </w:tc>
              <w:tc>
                <w:tcPr>
                  <w:tcW w:w="735" w:type="dxa"/>
                  <w:vAlign w:val="center"/>
                </w:tcPr>
                <w:p w14:paraId="060A6C67">
                  <w:pPr>
                    <w:jc w:val="center"/>
                    <w:rPr>
                      <w:color w:val="FF0000"/>
                    </w:rPr>
                  </w:pPr>
                  <w:r>
                    <w:rPr>
                      <w:rFonts w:hint="eastAsia"/>
                      <w:color w:val="FF0000"/>
                    </w:rPr>
                    <w:t>符合</w:t>
                  </w:r>
                </w:p>
              </w:tc>
            </w:tr>
          </w:tbl>
          <w:p w14:paraId="7636C248">
            <w:pPr>
              <w:autoSpaceDE w:val="0"/>
              <w:autoSpaceDN w:val="0"/>
              <w:adjustRightInd w:val="0"/>
              <w:snapToGrid w:val="0"/>
              <w:spacing w:line="360" w:lineRule="auto"/>
              <w:rPr>
                <w:color w:val="FF0000"/>
              </w:rPr>
            </w:pPr>
          </w:p>
        </w:tc>
      </w:tr>
      <w:tr w14:paraId="4756C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3" w:type="dxa"/>
            <w:tcBorders>
              <w:top w:val="single" w:color="auto" w:sz="4" w:space="0"/>
              <w:left w:val="single" w:color="auto" w:sz="4" w:space="0"/>
              <w:bottom w:val="single" w:color="auto" w:sz="4" w:space="0"/>
              <w:right w:val="single" w:color="auto" w:sz="4" w:space="0"/>
            </w:tcBorders>
            <w:tcMar>
              <w:top w:w="16" w:type="dxa"/>
              <w:left w:w="16" w:type="dxa"/>
              <w:right w:w="16" w:type="dxa"/>
            </w:tcMar>
            <w:vAlign w:val="center"/>
          </w:tcPr>
          <w:p w14:paraId="73783742">
            <w:pPr>
              <w:autoSpaceDE w:val="0"/>
              <w:autoSpaceDN w:val="0"/>
              <w:adjustRightInd w:val="0"/>
              <w:snapToGrid w:val="0"/>
              <w:jc w:val="center"/>
              <w:rPr>
                <w:kern w:val="0"/>
                <w:szCs w:val="21"/>
              </w:rPr>
            </w:pPr>
            <w:bookmarkStart w:id="1" w:name="_Hlk56690880"/>
            <w:r>
              <w:rPr>
                <w:kern w:val="0"/>
                <w:szCs w:val="21"/>
              </w:rPr>
              <w:t>其他符</w:t>
            </w:r>
          </w:p>
          <w:p w14:paraId="65ECCADF">
            <w:pPr>
              <w:autoSpaceDE w:val="0"/>
              <w:autoSpaceDN w:val="0"/>
              <w:adjustRightInd w:val="0"/>
              <w:snapToGrid w:val="0"/>
              <w:jc w:val="center"/>
              <w:rPr>
                <w:kern w:val="0"/>
                <w:szCs w:val="21"/>
              </w:rPr>
            </w:pPr>
            <w:r>
              <w:rPr>
                <w:kern w:val="0"/>
                <w:szCs w:val="21"/>
              </w:rPr>
              <w:t>合性分析</w:t>
            </w:r>
            <w:bookmarkEnd w:id="1"/>
          </w:p>
        </w:tc>
        <w:tc>
          <w:tcPr>
            <w:tcW w:w="8253" w:type="dxa"/>
            <w:gridSpan w:val="3"/>
            <w:tcBorders>
              <w:top w:val="single" w:color="auto" w:sz="4" w:space="0"/>
              <w:left w:val="single" w:color="auto" w:sz="4" w:space="0"/>
              <w:bottom w:val="single" w:color="auto" w:sz="4" w:space="0"/>
              <w:right w:val="single" w:color="auto" w:sz="4" w:space="0"/>
            </w:tcBorders>
            <w:tcMar>
              <w:top w:w="57" w:type="dxa"/>
              <w:left w:w="85" w:type="dxa"/>
              <w:bottom w:w="57" w:type="dxa"/>
              <w:right w:w="85" w:type="dxa"/>
            </w:tcMar>
            <w:vAlign w:val="center"/>
          </w:tcPr>
          <w:p w14:paraId="482FBC6E">
            <w:pPr>
              <w:spacing w:line="360" w:lineRule="auto"/>
              <w:ind w:firstLine="480" w:firstLineChars="200"/>
              <w:rPr>
                <w:sz w:val="24"/>
              </w:rPr>
            </w:pPr>
            <w:r>
              <w:rPr>
                <w:sz w:val="24"/>
              </w:rPr>
              <w:t>1、产业政策符合性分析</w:t>
            </w:r>
          </w:p>
          <w:p w14:paraId="6A5CA59E">
            <w:pPr>
              <w:pStyle w:val="15"/>
              <w:ind w:left="0" w:leftChars="0"/>
              <w:rPr>
                <w:rFonts w:eastAsia="宋体" w:cs="Times New Roman"/>
                <w:b w:val="0"/>
              </w:rPr>
            </w:pPr>
            <w:r>
              <w:rPr>
                <w:rFonts w:eastAsia="宋体" w:cs="Times New Roman"/>
                <w:b w:val="0"/>
              </w:rPr>
              <w:t>根据国民经济行业分类，本项目属于E4813</w:t>
            </w:r>
            <w:r>
              <w:rPr>
                <w:rFonts w:hint="eastAsia" w:eastAsia="宋体" w:cs="Times New Roman"/>
                <w:b w:val="0"/>
              </w:rPr>
              <w:t>市</w:t>
            </w:r>
            <w:r>
              <w:rPr>
                <w:rFonts w:eastAsia="宋体" w:cs="Times New Roman"/>
                <w:b w:val="0"/>
              </w:rPr>
              <w:t>政道路工程建筑，属于《产业结构调整指导目录（2024年本）》中第一类鼓励类的</w:t>
            </w:r>
            <w:r>
              <w:rPr>
                <w:rFonts w:ascii="宋体" w:hAnsi="宋体" w:eastAsia="宋体" w:cs="Times New Roman"/>
                <w:b w:val="0"/>
              </w:rPr>
              <w:t>“</w:t>
            </w:r>
            <w:r>
              <w:rPr>
                <w:rFonts w:hint="eastAsia" w:eastAsia="宋体" w:cs="Times New Roman"/>
                <w:b w:val="0"/>
              </w:rPr>
              <w:t>二十四、公路及道路运输-1．公路交通网络建设：国家高速公路网项目建设，国省干线改造升级，汽车客货运站、城市公交站，城市公共交</w:t>
            </w:r>
            <w:r>
              <w:rPr>
                <w:rFonts w:hint="eastAsia" w:ascii="宋体" w:hAnsi="宋体" w:eastAsia="宋体" w:cs="Times New Roman"/>
                <w:b w:val="0"/>
              </w:rPr>
              <w:t>通</w:t>
            </w:r>
            <w:r>
              <w:rPr>
                <w:rFonts w:ascii="宋体" w:hAnsi="宋体" w:eastAsia="宋体" w:cs="Times New Roman"/>
                <w:b w:val="0"/>
              </w:rPr>
              <w:t>”，</w:t>
            </w:r>
            <w:r>
              <w:rPr>
                <w:rFonts w:eastAsia="宋体" w:cs="Times New Roman"/>
                <w:b w:val="0"/>
              </w:rPr>
              <w:t>属于鼓励类项目。项目已</w:t>
            </w:r>
            <w:r>
              <w:rPr>
                <w:rFonts w:hint="eastAsia" w:eastAsia="宋体" w:cs="Times New Roman"/>
                <w:b w:val="0"/>
              </w:rPr>
              <w:t>取得</w:t>
            </w:r>
            <w:r>
              <w:rPr>
                <w:rFonts w:eastAsia="宋体" w:cs="Times New Roman"/>
                <w:b w:val="0"/>
              </w:rPr>
              <w:t>安康高新区经济发展科技局《</w:t>
            </w:r>
            <w:r>
              <w:rPr>
                <w:rFonts w:hint="eastAsia" w:eastAsia="宋体" w:cs="Times New Roman"/>
                <w:b w:val="0"/>
              </w:rPr>
              <w:t>关于安康西站站前路（高铁一路-匝道桥-高铁二路）市政工程项目可行性研究报告的批复</w:t>
            </w:r>
            <w:r>
              <w:rPr>
                <w:rFonts w:eastAsia="宋体" w:cs="Times New Roman"/>
                <w:b w:val="0"/>
              </w:rPr>
              <w:t>》（安高新经科发﹝2023﹞</w:t>
            </w:r>
            <w:r>
              <w:rPr>
                <w:rFonts w:hint="eastAsia" w:eastAsia="宋体" w:cs="Times New Roman"/>
                <w:b w:val="0"/>
              </w:rPr>
              <w:t>238</w:t>
            </w:r>
            <w:r>
              <w:rPr>
                <w:rFonts w:eastAsia="宋体" w:cs="Times New Roman"/>
                <w:b w:val="0"/>
              </w:rPr>
              <w:t>号）</w:t>
            </w:r>
            <w:r>
              <w:rPr>
                <w:rFonts w:hint="eastAsia" w:eastAsia="宋体" w:cs="Times New Roman"/>
                <w:b w:val="0"/>
              </w:rPr>
              <w:t>，</w:t>
            </w:r>
            <w:r>
              <w:rPr>
                <w:rFonts w:eastAsia="宋体" w:cs="Times New Roman"/>
                <w:b w:val="0"/>
              </w:rPr>
              <w:t>因此本项目符合国家</w:t>
            </w:r>
            <w:r>
              <w:rPr>
                <w:rFonts w:hint="eastAsia" w:eastAsia="宋体" w:cs="Times New Roman"/>
                <w:b w:val="0"/>
              </w:rPr>
              <w:t>和地方</w:t>
            </w:r>
            <w:r>
              <w:rPr>
                <w:rFonts w:eastAsia="宋体" w:cs="Times New Roman"/>
                <w:b w:val="0"/>
              </w:rPr>
              <w:t>产业政策。</w:t>
            </w:r>
          </w:p>
          <w:p w14:paraId="7F4AA08C">
            <w:pPr>
              <w:spacing w:line="360" w:lineRule="auto"/>
              <w:ind w:firstLine="480" w:firstLineChars="200"/>
              <w:rPr>
                <w:sz w:val="24"/>
              </w:rPr>
            </w:pPr>
            <w:r>
              <w:rPr>
                <w:sz w:val="24"/>
              </w:rPr>
              <w:t>2、与规划的符合性分析</w:t>
            </w:r>
          </w:p>
          <w:p w14:paraId="0EA325C4">
            <w:pPr>
              <w:pStyle w:val="15"/>
              <w:ind w:left="0" w:leftChars="0"/>
              <w:jc w:val="both"/>
              <w:rPr>
                <w:rFonts w:eastAsia="宋体" w:cs="Times New Roman"/>
                <w:b w:val="0"/>
              </w:rPr>
            </w:pPr>
            <w:r>
              <w:rPr>
                <w:rFonts w:eastAsia="宋体" w:cs="Times New Roman"/>
                <w:b w:val="0"/>
              </w:rPr>
              <w:t>根据《安康市城市总体规划》（2017-2035）中安康市高新区城市综合交通规划部分，</w:t>
            </w:r>
            <w:r>
              <w:rPr>
                <w:rFonts w:hint="eastAsia" w:eastAsia="宋体" w:cs="Times New Roman"/>
                <w:b w:val="0"/>
              </w:rPr>
              <w:t>规划建设安康西站客运枢纽编组站</w:t>
            </w:r>
            <w:r>
              <w:rPr>
                <w:rFonts w:eastAsia="宋体" w:cs="Times New Roman"/>
                <w:b w:val="0"/>
              </w:rPr>
              <w:t>。</w:t>
            </w:r>
            <w:r>
              <w:rPr>
                <w:rFonts w:hint="eastAsia" w:eastAsia="宋体" w:cs="Times New Roman"/>
                <w:b w:val="0"/>
              </w:rPr>
              <w:t>根据《安康市“十四五”综合交通运输发展规划》（安政办发〔2022〕4号），重点推进安康西站客运枢纽的建设，加强铁路、公路、机场与地面公交等设施有机衔接，打造一体化客运枢纽。</w:t>
            </w:r>
          </w:p>
          <w:p w14:paraId="6CFE0841">
            <w:pPr>
              <w:pStyle w:val="15"/>
              <w:ind w:left="0" w:leftChars="0"/>
              <w:rPr>
                <w:rFonts w:eastAsia="宋体" w:cs="Times New Roman"/>
                <w:b w:val="0"/>
              </w:rPr>
            </w:pPr>
            <w:r>
              <w:rPr>
                <w:rFonts w:hint="eastAsia" w:eastAsia="宋体" w:cs="Times New Roman"/>
                <w:b w:val="0"/>
              </w:rPr>
              <w:t>本项目主要由高铁一路、高铁二路和匝道桥等组成，是安康西站站前客流疏散与集合的重要道路，为站前交通路网的重要组成部分</w:t>
            </w:r>
            <w:r>
              <w:rPr>
                <w:rFonts w:hint="eastAsia" w:eastAsia="宋体" w:cs="Times New Roman"/>
                <w:b w:val="0"/>
                <w:color w:val="FF0000"/>
              </w:rPr>
              <w:t>，且本项目已纳入高新区城市交通规划修编内容，待完善后发布实施。</w:t>
            </w:r>
            <w:r>
              <w:rPr>
                <w:rFonts w:eastAsia="宋体" w:cs="Times New Roman"/>
                <w:b w:val="0"/>
              </w:rPr>
              <w:t>因此，本项目建设符合《安康市城市总体规划》（2017-2035）</w:t>
            </w:r>
            <w:r>
              <w:rPr>
                <w:rFonts w:hint="eastAsia" w:eastAsia="宋体" w:cs="Times New Roman"/>
                <w:b w:val="0"/>
              </w:rPr>
              <w:t>和《安康市“十四五”综合交通运输发展规划》（安政办发〔2022〕4号）</w:t>
            </w:r>
            <w:r>
              <w:rPr>
                <w:rFonts w:eastAsia="宋体" w:cs="Times New Roman"/>
                <w:b w:val="0"/>
              </w:rPr>
              <w:t>，相符性分析见表1-2。</w:t>
            </w:r>
          </w:p>
          <w:p w14:paraId="688F86F1">
            <w:pPr>
              <w:jc w:val="center"/>
              <w:rPr>
                <w:rFonts w:eastAsia="黑体"/>
              </w:rPr>
            </w:pPr>
            <w:r>
              <w:rPr>
                <w:rFonts w:eastAsia="黑体"/>
              </w:rPr>
              <w:t>表1-2   与规划符合性分析</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565"/>
              <w:gridCol w:w="3410"/>
              <w:gridCol w:w="1704"/>
              <w:gridCol w:w="790"/>
            </w:tblGrid>
            <w:tr w14:paraId="7D2A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429" w:type="pct"/>
                  <w:shd w:val="clear" w:color="auto" w:fill="auto"/>
                  <w:vAlign w:val="center"/>
                </w:tcPr>
                <w:p w14:paraId="6538C9F4">
                  <w:pPr>
                    <w:jc w:val="center"/>
                  </w:pPr>
                  <w:r>
                    <w:t>序号</w:t>
                  </w:r>
                </w:p>
              </w:tc>
              <w:tc>
                <w:tcPr>
                  <w:tcW w:w="958" w:type="pct"/>
                  <w:shd w:val="clear" w:color="auto" w:fill="auto"/>
                  <w:vAlign w:val="center"/>
                </w:tcPr>
                <w:p w14:paraId="4EA87FE3">
                  <w:pPr>
                    <w:jc w:val="center"/>
                  </w:pPr>
                  <w:r>
                    <w:rPr>
                      <w:rFonts w:hint="eastAsia"/>
                    </w:rPr>
                    <w:t>规划名称</w:t>
                  </w:r>
                </w:p>
              </w:tc>
              <w:tc>
                <w:tcPr>
                  <w:tcW w:w="2087" w:type="pct"/>
                  <w:shd w:val="clear" w:color="auto" w:fill="auto"/>
                  <w:vAlign w:val="center"/>
                </w:tcPr>
                <w:p w14:paraId="313F1709">
                  <w:pPr>
                    <w:jc w:val="center"/>
                  </w:pPr>
                  <w:r>
                    <w:t>内容</w:t>
                  </w:r>
                </w:p>
              </w:tc>
              <w:tc>
                <w:tcPr>
                  <w:tcW w:w="1043" w:type="pct"/>
                  <w:shd w:val="clear" w:color="auto" w:fill="auto"/>
                  <w:vAlign w:val="center"/>
                </w:tcPr>
                <w:p w14:paraId="5C637980">
                  <w:pPr>
                    <w:jc w:val="center"/>
                  </w:pPr>
                  <w:r>
                    <w:t>本项目情况</w:t>
                  </w:r>
                </w:p>
              </w:tc>
              <w:tc>
                <w:tcPr>
                  <w:tcW w:w="483" w:type="pct"/>
                  <w:shd w:val="clear" w:color="auto" w:fill="auto"/>
                  <w:vAlign w:val="center"/>
                </w:tcPr>
                <w:p w14:paraId="6F391D68">
                  <w:pPr>
                    <w:jc w:val="center"/>
                  </w:pPr>
                  <w:r>
                    <w:t>符合性</w:t>
                  </w:r>
                </w:p>
              </w:tc>
            </w:tr>
            <w:tr w14:paraId="04D7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29" w:type="pct"/>
                  <w:shd w:val="clear" w:color="auto" w:fill="auto"/>
                  <w:vAlign w:val="center"/>
                </w:tcPr>
                <w:p w14:paraId="513EBA89">
                  <w:pPr>
                    <w:jc w:val="center"/>
                  </w:pPr>
                  <w:r>
                    <w:t>1</w:t>
                  </w:r>
                </w:p>
              </w:tc>
              <w:tc>
                <w:tcPr>
                  <w:tcW w:w="958" w:type="pct"/>
                  <w:shd w:val="clear" w:color="auto" w:fill="auto"/>
                  <w:vAlign w:val="center"/>
                </w:tcPr>
                <w:p w14:paraId="6E86FCE6">
                  <w:r>
                    <w:rPr>
                      <w:rFonts w:hint="eastAsia"/>
                    </w:rPr>
                    <w:t>《安康市城市总体规划》（</w:t>
                  </w:r>
                  <w:r>
                    <w:t>2017-2035</w:t>
                  </w:r>
                  <w:r>
                    <w:rPr>
                      <w:rFonts w:hint="eastAsia"/>
                    </w:rPr>
                    <w:t>）</w:t>
                  </w:r>
                </w:p>
              </w:tc>
              <w:tc>
                <w:tcPr>
                  <w:tcW w:w="2087" w:type="pct"/>
                  <w:shd w:val="clear" w:color="auto" w:fill="auto"/>
                  <w:vAlign w:val="center"/>
                </w:tcPr>
                <w:p w14:paraId="1FB27689">
                  <w:r>
                    <w:rPr>
                      <w:rFonts w:hint="eastAsia"/>
                    </w:rPr>
                    <w:t>规划建设两条高速铁路：西渝高铁、十天高铁，保留现状的襄渝铁路、阳安铁路，加快安张铁路建设，形成安康站、安康西站2个客运枢纽及安康东枢纽编组站。</w:t>
                  </w:r>
                </w:p>
              </w:tc>
              <w:tc>
                <w:tcPr>
                  <w:tcW w:w="1043" w:type="pct"/>
                  <w:shd w:val="clear" w:color="auto" w:fill="auto"/>
                  <w:vAlign w:val="center"/>
                </w:tcPr>
                <w:p w14:paraId="1C7A1ABF">
                  <w:r>
                    <w:rPr>
                      <w:rFonts w:hint="eastAsia"/>
                    </w:rPr>
                    <w:t>本项目是城市城市公共交通工程</w:t>
                  </w:r>
                  <w:r>
                    <w:t>，是</w:t>
                  </w:r>
                  <w:r>
                    <w:rPr>
                      <w:rFonts w:hint="eastAsia"/>
                    </w:rPr>
                    <w:t>安康西站枢纽</w:t>
                  </w:r>
                  <w:r>
                    <w:t>路网的</w:t>
                  </w:r>
                  <w:r>
                    <w:rPr>
                      <w:rFonts w:hint="eastAsia"/>
                    </w:rPr>
                    <w:t>重要</w:t>
                  </w:r>
                  <w:r>
                    <w:t>组成部分</w:t>
                  </w:r>
                  <w:r>
                    <w:rPr>
                      <w:rFonts w:hint="eastAsia"/>
                    </w:rPr>
                    <w:t>。</w:t>
                  </w:r>
                </w:p>
              </w:tc>
              <w:tc>
                <w:tcPr>
                  <w:tcW w:w="483" w:type="pct"/>
                  <w:shd w:val="clear" w:color="auto" w:fill="auto"/>
                  <w:vAlign w:val="center"/>
                </w:tcPr>
                <w:p w14:paraId="1360D4FA">
                  <w:pPr>
                    <w:jc w:val="center"/>
                  </w:pPr>
                  <w:r>
                    <w:t>符合</w:t>
                  </w:r>
                </w:p>
              </w:tc>
            </w:tr>
            <w:tr w14:paraId="4FD9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29" w:type="pct"/>
                  <w:shd w:val="clear" w:color="auto" w:fill="auto"/>
                  <w:vAlign w:val="center"/>
                </w:tcPr>
                <w:p w14:paraId="09171E70">
                  <w:pPr>
                    <w:jc w:val="center"/>
                  </w:pPr>
                  <w:r>
                    <w:rPr>
                      <w:rFonts w:hint="eastAsia"/>
                    </w:rPr>
                    <w:t>2</w:t>
                  </w:r>
                </w:p>
              </w:tc>
              <w:tc>
                <w:tcPr>
                  <w:tcW w:w="958" w:type="pct"/>
                  <w:shd w:val="clear" w:color="auto" w:fill="auto"/>
                  <w:vAlign w:val="center"/>
                </w:tcPr>
                <w:p w14:paraId="56F76336">
                  <w:pPr>
                    <w:jc w:val="center"/>
                  </w:pPr>
                  <w:r>
                    <w:rPr>
                      <w:rFonts w:hint="eastAsia"/>
                    </w:rPr>
                    <w:t>《安康市“十四五”综合交通运输发展规划》（安政办发</w:t>
                  </w:r>
                  <w:r>
                    <w:t>〔2022〕</w:t>
                  </w:r>
                  <w:r>
                    <w:rPr>
                      <w:rFonts w:hint="eastAsia"/>
                    </w:rPr>
                    <w:t>4号）</w:t>
                  </w:r>
                </w:p>
              </w:tc>
              <w:tc>
                <w:tcPr>
                  <w:tcW w:w="2087" w:type="pct"/>
                  <w:shd w:val="clear" w:color="auto" w:fill="auto"/>
                  <w:vAlign w:val="center"/>
                </w:tcPr>
                <w:p w14:paraId="6BA5F51E">
                  <w:r>
                    <w:rPr>
                      <w:rFonts w:hint="eastAsia"/>
                    </w:rPr>
                    <w:t>重点推进安康富强机场客运枢纽、安康西站客运枢纽的建设。提高综合客运枢纽一体化水平。按照“统筹规划、同步建设、一体运营”的要求，加强铁路、公路、机场与地面公交等设施有机衔接，打造一体化客运枢纽。</w:t>
                  </w:r>
                </w:p>
              </w:tc>
              <w:tc>
                <w:tcPr>
                  <w:tcW w:w="1043" w:type="pct"/>
                  <w:shd w:val="clear" w:color="auto" w:fill="auto"/>
                  <w:vAlign w:val="center"/>
                </w:tcPr>
                <w:p w14:paraId="58B96C52">
                  <w:r>
                    <w:rPr>
                      <w:rFonts w:hint="eastAsia"/>
                    </w:rPr>
                    <w:t>本项目</w:t>
                  </w:r>
                  <w:r>
                    <w:t>是</w:t>
                  </w:r>
                  <w:r>
                    <w:rPr>
                      <w:rFonts w:hint="eastAsia"/>
                    </w:rPr>
                    <w:t>安康西站枢纽</w:t>
                  </w:r>
                  <w:r>
                    <w:t>路网的</w:t>
                  </w:r>
                  <w:r>
                    <w:rPr>
                      <w:rFonts w:hint="eastAsia"/>
                    </w:rPr>
                    <w:t>重要</w:t>
                  </w:r>
                  <w:r>
                    <w:t>组成部分</w:t>
                  </w:r>
                  <w:r>
                    <w:rPr>
                      <w:rFonts w:hint="eastAsia"/>
                    </w:rPr>
                    <w:t>，是铁路与地面公交、客运枢纽的重要连接道路。</w:t>
                  </w:r>
                </w:p>
              </w:tc>
              <w:tc>
                <w:tcPr>
                  <w:tcW w:w="483" w:type="pct"/>
                  <w:shd w:val="clear" w:color="auto" w:fill="auto"/>
                  <w:vAlign w:val="center"/>
                </w:tcPr>
                <w:p w14:paraId="5C7D5955">
                  <w:pPr>
                    <w:jc w:val="center"/>
                  </w:pPr>
                  <w:r>
                    <w:rPr>
                      <w:rFonts w:hint="eastAsia"/>
                    </w:rPr>
                    <w:t>符合</w:t>
                  </w:r>
                </w:p>
              </w:tc>
            </w:tr>
          </w:tbl>
          <w:p w14:paraId="4D2C35E3">
            <w:pPr>
              <w:pStyle w:val="15"/>
              <w:ind w:left="420"/>
              <w:rPr>
                <w:rFonts w:cs="Times New Roman" w:eastAsiaTheme="majorEastAsia"/>
                <w:b w:val="0"/>
                <w:bCs/>
              </w:rPr>
            </w:pPr>
            <w:r>
              <w:rPr>
                <w:rFonts w:cs="Times New Roman" w:eastAsiaTheme="majorEastAsia"/>
                <w:b w:val="0"/>
                <w:bCs/>
              </w:rPr>
              <w:t>3、与相关政策符合性分析</w:t>
            </w:r>
          </w:p>
          <w:p w14:paraId="341C1783">
            <w:pPr>
              <w:jc w:val="center"/>
              <w:rPr>
                <w:rFonts w:eastAsia="黑体"/>
              </w:rPr>
            </w:pPr>
            <w:r>
              <w:rPr>
                <w:rFonts w:eastAsia="黑体"/>
              </w:rPr>
              <w:t>表1-3   与相关政策符合性分析</w:t>
            </w:r>
          </w:p>
          <w:tbl>
            <w:tblPr>
              <w:tblStyle w:val="26"/>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3914"/>
              <w:gridCol w:w="1768"/>
              <w:gridCol w:w="610"/>
            </w:tblGrid>
            <w:tr w14:paraId="6DDB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vAlign w:val="center"/>
                </w:tcPr>
                <w:p w14:paraId="34BED275">
                  <w:r>
                    <w:t>相关政策</w:t>
                  </w:r>
                </w:p>
              </w:tc>
              <w:tc>
                <w:tcPr>
                  <w:tcW w:w="2426" w:type="pct"/>
                  <w:tcBorders>
                    <w:tl2br w:val="nil"/>
                    <w:tr2bl w:val="nil"/>
                  </w:tcBorders>
                  <w:vAlign w:val="center"/>
                </w:tcPr>
                <w:p w14:paraId="179CB27D">
                  <w:r>
                    <w:t>政策要求</w:t>
                  </w:r>
                </w:p>
              </w:tc>
              <w:tc>
                <w:tcPr>
                  <w:tcW w:w="1096" w:type="pct"/>
                  <w:tcBorders>
                    <w:tl2br w:val="nil"/>
                    <w:tr2bl w:val="nil"/>
                  </w:tcBorders>
                  <w:vAlign w:val="center"/>
                </w:tcPr>
                <w:p w14:paraId="71783308">
                  <w:r>
                    <w:t>本工程情况</w:t>
                  </w:r>
                </w:p>
              </w:tc>
              <w:tc>
                <w:tcPr>
                  <w:tcW w:w="378" w:type="pct"/>
                  <w:tcBorders>
                    <w:tl2br w:val="nil"/>
                    <w:tr2bl w:val="nil"/>
                  </w:tcBorders>
                  <w:vAlign w:val="center"/>
                </w:tcPr>
                <w:p w14:paraId="2B4AC101">
                  <w:r>
                    <w:t>符合性</w:t>
                  </w:r>
                </w:p>
              </w:tc>
            </w:tr>
            <w:tr w14:paraId="2855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vMerge w:val="restart"/>
                  <w:tcBorders>
                    <w:tl2br w:val="nil"/>
                    <w:tr2bl w:val="nil"/>
                  </w:tcBorders>
                  <w:vAlign w:val="center"/>
                </w:tcPr>
                <w:p w14:paraId="071C46AC">
                  <w:pPr>
                    <w:rPr>
                      <w:lang w:bidi="ar"/>
                    </w:rPr>
                  </w:pPr>
                  <w:r>
                    <w:rPr>
                      <w:lang w:bidi="ar"/>
                    </w:rPr>
                    <w:t>《陕西省大气污染防治条例（2019）》</w:t>
                  </w:r>
                </w:p>
              </w:tc>
              <w:tc>
                <w:tcPr>
                  <w:tcW w:w="2426" w:type="pct"/>
                  <w:tcBorders>
                    <w:tl2br w:val="nil"/>
                    <w:tr2bl w:val="nil"/>
                  </w:tcBorders>
                  <w:vAlign w:val="center"/>
                </w:tcPr>
                <w:p w14:paraId="62CFFAD7">
                  <w:r>
                    <w:t>第五十六条 从事房屋建筑、道路、市政基础设施、矿产资源开发、河道整治及建筑拆除等施工工程、物料运输和堆放及其他产生扬尘污染的活动，必须采取防治措施。</w:t>
                  </w:r>
                </w:p>
              </w:tc>
              <w:tc>
                <w:tcPr>
                  <w:tcW w:w="1096" w:type="pct"/>
                  <w:vMerge w:val="restart"/>
                  <w:tcBorders>
                    <w:tl2br w:val="nil"/>
                    <w:tr2bl w:val="nil"/>
                  </w:tcBorders>
                  <w:vAlign w:val="center"/>
                </w:tcPr>
                <w:p w14:paraId="5FD6F973">
                  <w:r>
                    <w:t>本项目施工过程严格执行“六个百分之百”，渣土车运输过程保持密闭，实施围挡封闭</w:t>
                  </w:r>
                  <w:r>
                    <w:cr/>
                  </w:r>
                  <w:r>
                    <w:t>施工。</w:t>
                  </w:r>
                </w:p>
              </w:tc>
              <w:tc>
                <w:tcPr>
                  <w:tcW w:w="378" w:type="pct"/>
                  <w:tcBorders>
                    <w:tl2br w:val="nil"/>
                    <w:tr2bl w:val="nil"/>
                  </w:tcBorders>
                  <w:vAlign w:val="center"/>
                </w:tcPr>
                <w:p w14:paraId="552C8778">
                  <w:r>
                    <w:t>符合</w:t>
                  </w:r>
                </w:p>
              </w:tc>
            </w:tr>
            <w:tr w14:paraId="6BED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vMerge w:val="continue"/>
                  <w:tcBorders>
                    <w:tl2br w:val="nil"/>
                    <w:tr2bl w:val="nil"/>
                  </w:tcBorders>
                  <w:vAlign w:val="center"/>
                </w:tcPr>
                <w:p w14:paraId="0278A986">
                  <w:pPr>
                    <w:rPr>
                      <w:lang w:bidi="ar"/>
                    </w:rPr>
                  </w:pPr>
                </w:p>
              </w:tc>
              <w:tc>
                <w:tcPr>
                  <w:tcW w:w="2426" w:type="pct"/>
                  <w:tcBorders>
                    <w:tl2br w:val="nil"/>
                    <w:tr2bl w:val="nil"/>
                  </w:tcBorders>
                  <w:vAlign w:val="center"/>
                </w:tcPr>
                <w:p w14:paraId="6A0C382B">
                  <w:r>
                    <w:t>施工工地内堆放水泥、灰土、砂石等易产生扬尘污染物料和建筑垃圾、工程渣土，应当遮盖或者在库房内存放。</w:t>
                  </w:r>
                </w:p>
              </w:tc>
              <w:tc>
                <w:tcPr>
                  <w:tcW w:w="1096" w:type="pct"/>
                  <w:vMerge w:val="continue"/>
                  <w:tcBorders>
                    <w:tl2br w:val="nil"/>
                    <w:tr2bl w:val="nil"/>
                  </w:tcBorders>
                  <w:vAlign w:val="center"/>
                </w:tcPr>
                <w:p w14:paraId="71D3B631"/>
              </w:tc>
              <w:tc>
                <w:tcPr>
                  <w:tcW w:w="378" w:type="pct"/>
                  <w:tcBorders>
                    <w:tl2br w:val="nil"/>
                    <w:tr2bl w:val="nil"/>
                  </w:tcBorders>
                  <w:vAlign w:val="center"/>
                </w:tcPr>
                <w:p w14:paraId="62016E35">
                  <w:r>
                    <w:t>符合</w:t>
                  </w:r>
                </w:p>
              </w:tc>
            </w:tr>
            <w:tr w14:paraId="56EE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100" w:type="pct"/>
                  <w:vMerge w:val="continue"/>
                  <w:tcBorders>
                    <w:tl2br w:val="nil"/>
                    <w:tr2bl w:val="nil"/>
                  </w:tcBorders>
                  <w:vAlign w:val="center"/>
                </w:tcPr>
                <w:p w14:paraId="203FCBE7">
                  <w:pPr>
                    <w:rPr>
                      <w:lang w:bidi="ar"/>
                    </w:rPr>
                  </w:pPr>
                </w:p>
              </w:tc>
              <w:tc>
                <w:tcPr>
                  <w:tcW w:w="2426" w:type="pct"/>
                  <w:tcBorders>
                    <w:tl2br w:val="nil"/>
                    <w:tr2bl w:val="nil"/>
                  </w:tcBorders>
                  <w:vAlign w:val="center"/>
                </w:tcPr>
                <w:p w14:paraId="4A7E2692">
                  <w:r>
                    <w:t>土方、拆除、洗刨工程作业时应当分段作业，采取洒水压尘措施，缩短起尘操作时间；气象预报风速达到四级以上或者出现重污染天气状况时，城市市区应当停止土石方作业、拆除工程以及其他可能产生扬尘污染的施工</w:t>
                  </w:r>
                </w:p>
              </w:tc>
              <w:tc>
                <w:tcPr>
                  <w:tcW w:w="1096" w:type="pct"/>
                  <w:tcBorders>
                    <w:tl2br w:val="nil"/>
                    <w:tr2bl w:val="nil"/>
                  </w:tcBorders>
                  <w:vAlign w:val="center"/>
                </w:tcPr>
                <w:p w14:paraId="649A9E15">
                  <w:r>
                    <w:t>项目土方工程作业时应当分段作业，采取洒水压尘措施，出现四级以上重污染天气时，禁止进行土方作业</w:t>
                  </w:r>
                </w:p>
              </w:tc>
              <w:tc>
                <w:tcPr>
                  <w:tcW w:w="378" w:type="pct"/>
                  <w:tcBorders>
                    <w:tl2br w:val="nil"/>
                    <w:tr2bl w:val="nil"/>
                  </w:tcBorders>
                  <w:vAlign w:val="center"/>
                </w:tcPr>
                <w:p w14:paraId="1AAF6CD0">
                  <w:r>
                    <w:t>符合</w:t>
                  </w:r>
                </w:p>
              </w:tc>
            </w:tr>
            <w:tr w14:paraId="3EAF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vAlign w:val="center"/>
                </w:tcPr>
                <w:p w14:paraId="0AF15962">
                  <w:r>
                    <w:rPr>
                      <w:kern w:val="0"/>
                      <w:szCs w:val="21"/>
                      <w:lang w:bidi="ar"/>
                    </w:rPr>
                    <w:t>《</w:t>
                  </w:r>
                  <w:r>
                    <w:t>安康市人民政府关于印发“十四五”生态环境保护规划的通知</w:t>
                  </w:r>
                  <w:r>
                    <w:rPr>
                      <w:kern w:val="0"/>
                      <w:szCs w:val="21"/>
                      <w:lang w:bidi="ar"/>
                    </w:rPr>
                    <w:t>》</w:t>
                  </w:r>
                  <w:r>
                    <w:t>安政办发〔2021〕33号</w:t>
                  </w:r>
                </w:p>
              </w:tc>
              <w:tc>
                <w:tcPr>
                  <w:tcW w:w="2426" w:type="pct"/>
                  <w:tcBorders>
                    <w:tl2br w:val="nil"/>
                    <w:tr2bl w:val="nil"/>
                  </w:tcBorders>
                  <w:vAlign w:val="center"/>
                </w:tcPr>
                <w:p w14:paraId="67FEAAD0">
                  <w:r>
                    <w:t>强化扬尘污染整治工作。积极推行绿色施工，落实“洒水、 覆盖、硬化、冲洗、绿化、围挡”六个 100%要求，大力推进低 尘机械化湿式清扫作业，渣土车实施硬覆盖和全封闭运输，强化 道路绿化用地扬尘治理。整治原煤、砂石、干散货堆场，全面完 成抑尘设施建设和物料输送系统封闭改造。</w:t>
                  </w:r>
                </w:p>
              </w:tc>
              <w:tc>
                <w:tcPr>
                  <w:tcW w:w="1096" w:type="pct"/>
                  <w:tcBorders>
                    <w:tl2br w:val="nil"/>
                    <w:tr2bl w:val="nil"/>
                  </w:tcBorders>
                  <w:vAlign w:val="center"/>
                </w:tcPr>
                <w:p w14:paraId="2FEBDFD4">
                  <w:r>
                    <w:t>本项目施工过程严格执行“六个百分之百”，渣土车运输过程保持密闭，实施围挡封闭化施工。</w:t>
                  </w:r>
                </w:p>
              </w:tc>
              <w:tc>
                <w:tcPr>
                  <w:tcW w:w="378" w:type="pct"/>
                  <w:tcBorders>
                    <w:tl2br w:val="nil"/>
                    <w:tr2bl w:val="nil"/>
                  </w:tcBorders>
                  <w:vAlign w:val="center"/>
                </w:tcPr>
                <w:p w14:paraId="06F6A1EF">
                  <w:r>
                    <w:t>符合</w:t>
                  </w:r>
                </w:p>
              </w:tc>
            </w:tr>
            <w:tr w14:paraId="442A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pct"/>
                  <w:tcBorders>
                    <w:tl2br w:val="nil"/>
                    <w:tr2bl w:val="nil"/>
                  </w:tcBorders>
                  <w:vAlign w:val="center"/>
                </w:tcPr>
                <w:p w14:paraId="5AA3BAB6">
                  <w:pPr>
                    <w:rPr>
                      <w:lang w:bidi="ar"/>
                    </w:rPr>
                  </w:pPr>
                  <w:r>
                    <w:rPr>
                      <w:lang w:bidi="ar"/>
                    </w:rPr>
                    <w:t>《安康市大气污染治理专项行动方案</w:t>
                  </w:r>
                </w:p>
                <w:p w14:paraId="563ECD14">
                  <w:pPr>
                    <w:rPr>
                      <w:lang w:bidi="ar"/>
                    </w:rPr>
                  </w:pPr>
                  <w:r>
                    <w:rPr>
                      <w:lang w:bidi="ar"/>
                    </w:rPr>
                    <w:t>（2023-2027）》</w:t>
                  </w:r>
                </w:p>
                <w:p w14:paraId="424E66DC">
                  <w:pPr>
                    <w:rPr>
                      <w:lang w:bidi="ar"/>
                    </w:rPr>
                  </w:pPr>
                  <w:r>
                    <w:rPr>
                      <w:lang w:bidi="ar"/>
                    </w:rPr>
                    <w:t>的通知（安发</w:t>
                  </w:r>
                </w:p>
                <w:p w14:paraId="54CCE3A8">
                  <w:pPr>
                    <w:rPr>
                      <w:lang w:bidi="ar"/>
                    </w:rPr>
                  </w:pPr>
                  <w:r>
                    <w:rPr>
                      <w:lang w:bidi="ar"/>
                    </w:rPr>
                    <w:t>〔2023〕8号</w:t>
                  </w:r>
                </w:p>
              </w:tc>
              <w:tc>
                <w:tcPr>
                  <w:tcW w:w="2426" w:type="pct"/>
                  <w:tcBorders>
                    <w:tl2br w:val="nil"/>
                    <w:tr2bl w:val="nil"/>
                  </w:tcBorders>
                  <w:vAlign w:val="center"/>
                </w:tcPr>
                <w:p w14:paraId="534686C9">
                  <w:r>
                    <w:t>施工场地严格落实"六个百分之百"，安装建筑工地扬尘在线监测系统和视频监控，与行业监管部门联网。未开发的统征预留地必须全面覆盖或绿化到位，严禁黄土裸露</w:t>
                  </w:r>
                </w:p>
              </w:tc>
              <w:tc>
                <w:tcPr>
                  <w:tcW w:w="1096" w:type="pct"/>
                  <w:tcBorders>
                    <w:tl2br w:val="nil"/>
                    <w:tr2bl w:val="nil"/>
                  </w:tcBorders>
                  <w:vAlign w:val="center"/>
                </w:tcPr>
                <w:p w14:paraId="53ADB64B">
                  <w:r>
                    <w:t>施工期严格执行“六个百分百”，项目施工过程安装扬尘在线监测设备，并与监管部门联网对场地裸露黄土进行覆盖</w:t>
                  </w:r>
                </w:p>
              </w:tc>
              <w:tc>
                <w:tcPr>
                  <w:tcW w:w="378" w:type="pct"/>
                  <w:tcBorders>
                    <w:tl2br w:val="nil"/>
                    <w:tr2bl w:val="nil"/>
                  </w:tcBorders>
                  <w:vAlign w:val="center"/>
                </w:tcPr>
                <w:p w14:paraId="4A373CF4">
                  <w:r>
                    <w:t>符合</w:t>
                  </w:r>
                </w:p>
              </w:tc>
            </w:tr>
          </w:tbl>
          <w:p w14:paraId="21A9E7AB">
            <w:pPr>
              <w:spacing w:line="360" w:lineRule="auto"/>
              <w:ind w:firstLine="480" w:firstLineChars="200"/>
              <w:rPr>
                <w:sz w:val="24"/>
              </w:rPr>
            </w:pPr>
            <w:r>
              <w:rPr>
                <w:rFonts w:hint="eastAsia"/>
                <w:sz w:val="24"/>
              </w:rPr>
              <w:t>4、与《陕西省主体功能区划》的符合性分析</w:t>
            </w:r>
          </w:p>
          <w:p w14:paraId="0E295A53">
            <w:pPr>
              <w:pStyle w:val="8"/>
              <w:spacing w:before="0" w:after="0" w:line="360" w:lineRule="auto"/>
              <w:ind w:right="0" w:firstLine="480" w:firstLineChars="200"/>
              <w:rPr>
                <w:kern w:val="2"/>
                <w:sz w:val="24"/>
                <w:szCs w:val="24"/>
              </w:rPr>
            </w:pPr>
            <w:r>
              <w:rPr>
                <w:rFonts w:hint="eastAsia"/>
                <w:kern w:val="2"/>
                <w:sz w:val="24"/>
                <w:szCs w:val="24"/>
              </w:rPr>
              <w:t>根据《陕西省主体功能区划》，本项目位于安康市汉滨区属于省级重点开发区-安康区块，项目的建设符合区域功能定位和发展方向要求，符合性分析见表1-</w:t>
            </w:r>
            <w:r>
              <w:rPr>
                <w:kern w:val="2"/>
                <w:sz w:val="24"/>
                <w:szCs w:val="24"/>
              </w:rPr>
              <w:t>4</w:t>
            </w:r>
            <w:r>
              <w:rPr>
                <w:rFonts w:hint="eastAsia"/>
                <w:kern w:val="2"/>
                <w:sz w:val="24"/>
                <w:szCs w:val="24"/>
              </w:rPr>
              <w:t>。</w:t>
            </w:r>
          </w:p>
          <w:p w14:paraId="637AD567">
            <w:pPr>
              <w:pStyle w:val="8"/>
              <w:spacing w:before="0" w:after="0" w:line="240" w:lineRule="auto"/>
              <w:ind w:right="0"/>
              <w:jc w:val="center"/>
              <w:rPr>
                <w:rFonts w:ascii="黑体" w:hAnsi="黑体" w:eastAsia="黑体"/>
                <w:kern w:val="2"/>
                <w:sz w:val="21"/>
                <w:szCs w:val="21"/>
              </w:rPr>
            </w:pPr>
            <w:r>
              <w:rPr>
                <w:rFonts w:hint="eastAsia" w:ascii="黑体" w:hAnsi="黑体" w:eastAsia="黑体"/>
                <w:kern w:val="2"/>
                <w:sz w:val="21"/>
                <w:szCs w:val="21"/>
              </w:rPr>
              <w:t>表1-</w:t>
            </w:r>
            <w:r>
              <w:rPr>
                <w:rFonts w:ascii="黑体" w:hAnsi="黑体" w:eastAsia="黑体"/>
                <w:kern w:val="2"/>
                <w:sz w:val="21"/>
                <w:szCs w:val="21"/>
              </w:rPr>
              <w:t>4</w:t>
            </w:r>
            <w:r>
              <w:rPr>
                <w:rFonts w:hint="eastAsia" w:ascii="黑体" w:hAnsi="黑体" w:eastAsia="黑体"/>
                <w:kern w:val="2"/>
                <w:sz w:val="21"/>
                <w:szCs w:val="21"/>
              </w:rPr>
              <w:t xml:space="preserve">  </w:t>
            </w:r>
            <w:r>
              <w:rPr>
                <w:rFonts w:ascii="黑体" w:hAnsi="黑体" w:eastAsia="黑体"/>
                <w:kern w:val="2"/>
                <w:sz w:val="21"/>
                <w:szCs w:val="21"/>
              </w:rPr>
              <w:t xml:space="preserve"> </w:t>
            </w:r>
            <w:r>
              <w:rPr>
                <w:rFonts w:hint="eastAsia" w:ascii="黑体" w:hAnsi="黑体" w:eastAsia="黑体"/>
                <w:sz w:val="21"/>
                <w:szCs w:val="21"/>
              </w:rPr>
              <w:t>与《陕西省主体功能区划》的符合性分析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134"/>
              <w:gridCol w:w="1843"/>
              <w:gridCol w:w="2693"/>
              <w:gridCol w:w="1691"/>
            </w:tblGrid>
            <w:tr w14:paraId="0E64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7A59B38B">
                  <w:pPr>
                    <w:pStyle w:val="8"/>
                    <w:spacing w:before="0" w:after="0" w:line="240" w:lineRule="auto"/>
                    <w:ind w:right="0"/>
                    <w:rPr>
                      <w:sz w:val="21"/>
                      <w:szCs w:val="21"/>
                    </w:rPr>
                  </w:pPr>
                  <w:r>
                    <w:rPr>
                      <w:rFonts w:hint="eastAsia"/>
                      <w:sz w:val="21"/>
                      <w:szCs w:val="21"/>
                    </w:rPr>
                    <w:t>地区</w:t>
                  </w:r>
                </w:p>
              </w:tc>
              <w:tc>
                <w:tcPr>
                  <w:tcW w:w="1134" w:type="dxa"/>
                  <w:vAlign w:val="center"/>
                </w:tcPr>
                <w:p w14:paraId="5E49E79C">
                  <w:pPr>
                    <w:pStyle w:val="8"/>
                    <w:spacing w:before="0" w:after="0" w:line="240" w:lineRule="auto"/>
                    <w:ind w:right="0"/>
                    <w:rPr>
                      <w:sz w:val="21"/>
                      <w:szCs w:val="21"/>
                    </w:rPr>
                  </w:pPr>
                  <w:r>
                    <w:rPr>
                      <w:rFonts w:hint="eastAsia"/>
                      <w:sz w:val="21"/>
                      <w:szCs w:val="21"/>
                    </w:rPr>
                    <w:t>规划类别</w:t>
                  </w:r>
                </w:p>
              </w:tc>
              <w:tc>
                <w:tcPr>
                  <w:tcW w:w="1843" w:type="dxa"/>
                  <w:vAlign w:val="center"/>
                </w:tcPr>
                <w:p w14:paraId="54473F49">
                  <w:pPr>
                    <w:pStyle w:val="8"/>
                    <w:spacing w:before="0" w:after="0" w:line="240" w:lineRule="auto"/>
                    <w:ind w:right="0"/>
                    <w:rPr>
                      <w:sz w:val="21"/>
                      <w:szCs w:val="21"/>
                    </w:rPr>
                  </w:pPr>
                  <w:r>
                    <w:rPr>
                      <w:rFonts w:hint="eastAsia"/>
                      <w:sz w:val="21"/>
                      <w:szCs w:val="21"/>
                    </w:rPr>
                    <w:t>功能定位</w:t>
                  </w:r>
                </w:p>
              </w:tc>
              <w:tc>
                <w:tcPr>
                  <w:tcW w:w="2693" w:type="dxa"/>
                  <w:vAlign w:val="center"/>
                </w:tcPr>
                <w:p w14:paraId="4C53B7C6">
                  <w:pPr>
                    <w:pStyle w:val="8"/>
                    <w:spacing w:before="0" w:after="0" w:line="240" w:lineRule="auto"/>
                    <w:ind w:right="0"/>
                    <w:rPr>
                      <w:sz w:val="21"/>
                      <w:szCs w:val="21"/>
                    </w:rPr>
                  </w:pPr>
                  <w:r>
                    <w:rPr>
                      <w:rFonts w:hint="eastAsia"/>
                      <w:sz w:val="21"/>
                      <w:szCs w:val="21"/>
                    </w:rPr>
                    <w:t>发展方向</w:t>
                  </w:r>
                </w:p>
              </w:tc>
              <w:tc>
                <w:tcPr>
                  <w:tcW w:w="1691" w:type="dxa"/>
                  <w:vAlign w:val="center"/>
                </w:tcPr>
                <w:p w14:paraId="42BE021E">
                  <w:pPr>
                    <w:pStyle w:val="8"/>
                    <w:spacing w:before="0" w:after="0" w:line="240" w:lineRule="auto"/>
                    <w:ind w:right="0"/>
                    <w:rPr>
                      <w:sz w:val="21"/>
                      <w:szCs w:val="21"/>
                    </w:rPr>
                  </w:pPr>
                  <w:r>
                    <w:rPr>
                      <w:rFonts w:hint="eastAsia"/>
                      <w:sz w:val="21"/>
                      <w:szCs w:val="21"/>
                    </w:rPr>
                    <w:t>符合性分析</w:t>
                  </w:r>
                </w:p>
              </w:tc>
            </w:tr>
            <w:tr w14:paraId="2C5D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7" w:type="dxa"/>
                  <w:vAlign w:val="center"/>
                </w:tcPr>
                <w:p w14:paraId="30830A95">
                  <w:pPr>
                    <w:pStyle w:val="8"/>
                    <w:spacing w:before="0" w:after="0" w:line="240" w:lineRule="auto"/>
                    <w:ind w:right="0"/>
                    <w:rPr>
                      <w:sz w:val="21"/>
                      <w:szCs w:val="21"/>
                    </w:rPr>
                  </w:pPr>
                  <w:r>
                    <w:rPr>
                      <w:rFonts w:hint="eastAsia"/>
                      <w:sz w:val="21"/>
                      <w:szCs w:val="21"/>
                    </w:rPr>
                    <w:t>汉滨区</w:t>
                  </w:r>
                </w:p>
              </w:tc>
              <w:tc>
                <w:tcPr>
                  <w:tcW w:w="1134" w:type="dxa"/>
                  <w:vAlign w:val="center"/>
                </w:tcPr>
                <w:p w14:paraId="2E39CB19">
                  <w:pPr>
                    <w:pStyle w:val="8"/>
                    <w:spacing w:before="0" w:after="0" w:line="240" w:lineRule="auto"/>
                    <w:ind w:right="0"/>
                    <w:rPr>
                      <w:sz w:val="21"/>
                      <w:szCs w:val="21"/>
                    </w:rPr>
                  </w:pPr>
                  <w:r>
                    <w:rPr>
                      <w:rFonts w:hint="eastAsia"/>
                      <w:sz w:val="21"/>
                      <w:szCs w:val="21"/>
                    </w:rPr>
                    <w:t>省级重点开发区-安康区块</w:t>
                  </w:r>
                </w:p>
              </w:tc>
              <w:tc>
                <w:tcPr>
                  <w:tcW w:w="1843" w:type="dxa"/>
                  <w:vAlign w:val="center"/>
                </w:tcPr>
                <w:p w14:paraId="7A31572B">
                  <w:pPr>
                    <w:pStyle w:val="8"/>
                    <w:spacing w:before="0" w:after="0" w:line="240" w:lineRule="auto"/>
                    <w:ind w:right="0"/>
                    <w:rPr>
                      <w:sz w:val="21"/>
                      <w:szCs w:val="21"/>
                    </w:rPr>
                  </w:pPr>
                  <w:r>
                    <w:rPr>
                      <w:sz w:val="21"/>
                      <w:szCs w:val="21"/>
                    </w:rPr>
                    <w:t>连接西北、西南和华中的重要交通枢纽，我省重要的清洁能源基地，区域性新材料和绿色食品加工基地、现代服务业和物流配送中心</w:t>
                  </w:r>
                </w:p>
              </w:tc>
              <w:tc>
                <w:tcPr>
                  <w:tcW w:w="2693" w:type="dxa"/>
                  <w:vAlign w:val="center"/>
                </w:tcPr>
                <w:p w14:paraId="51EA0BB3">
                  <w:pPr>
                    <w:pStyle w:val="8"/>
                    <w:spacing w:before="0" w:after="0" w:line="240" w:lineRule="auto"/>
                    <w:ind w:right="0"/>
                    <w:rPr>
                      <w:sz w:val="21"/>
                      <w:szCs w:val="21"/>
                    </w:rPr>
                  </w:pPr>
                  <w:r>
                    <w:rPr>
                      <w:rFonts w:hint="eastAsia"/>
                      <w:sz w:val="21"/>
                      <w:szCs w:val="21"/>
                    </w:rPr>
                    <w:t>加快月河川道城乡统筹发展示范区建设，以十天高速沿线汉滨区建民镇至汉阴县城关镇段为重点，积极推进城乡规划、产业发展、市场体系、基础设施、公共服务、管理体制“六个一体化”，着力打造陕南城乡统筹发展综合配套改革示范区。</w:t>
                  </w:r>
                </w:p>
              </w:tc>
              <w:tc>
                <w:tcPr>
                  <w:tcW w:w="1691" w:type="dxa"/>
                  <w:vAlign w:val="center"/>
                </w:tcPr>
                <w:p w14:paraId="1ACFAE44">
                  <w:pPr>
                    <w:pStyle w:val="8"/>
                    <w:spacing w:before="0" w:after="0" w:line="240" w:lineRule="auto"/>
                    <w:ind w:right="0"/>
                    <w:rPr>
                      <w:sz w:val="21"/>
                      <w:szCs w:val="21"/>
                    </w:rPr>
                  </w:pPr>
                  <w:r>
                    <w:rPr>
                      <w:rFonts w:hint="eastAsia"/>
                      <w:sz w:val="21"/>
                      <w:szCs w:val="21"/>
                    </w:rPr>
                    <w:t>本项目为市政道路项目，建设的目的在于完善城市基础设施和公共服务建设，促进示范区的发展，符合区域功能定位和发展方向要求</w:t>
                  </w:r>
                </w:p>
              </w:tc>
            </w:tr>
          </w:tbl>
          <w:p w14:paraId="0E34A0AF">
            <w:pPr>
              <w:spacing w:line="360" w:lineRule="auto"/>
              <w:ind w:firstLine="480" w:firstLineChars="200"/>
              <w:rPr>
                <w:sz w:val="24"/>
              </w:rPr>
            </w:pPr>
            <w:r>
              <w:rPr>
                <w:rFonts w:hint="eastAsia"/>
                <w:sz w:val="24"/>
              </w:rPr>
              <w:t>5、与《陕西省生态功能区划》的符合性分析</w:t>
            </w:r>
          </w:p>
          <w:p w14:paraId="14050D6D">
            <w:pPr>
              <w:spacing w:line="360" w:lineRule="auto"/>
              <w:ind w:firstLine="480" w:firstLineChars="200"/>
              <w:rPr>
                <w:sz w:val="24"/>
              </w:rPr>
            </w:pPr>
            <w:r>
              <w:rPr>
                <w:rFonts w:hint="eastAsia"/>
                <w:sz w:val="24"/>
              </w:rPr>
              <w:t>根据《陕西省生态功能区规划》，项目区位于秦巴山地落叶阔叶、常绿阔叶混交林生态区。二级生态区划为汉江两岸丘陵盆地农业生态功能区，三级生态区划为月河盆地城镇及农业区。符合性分析见表1-</w:t>
            </w:r>
            <w:r>
              <w:rPr>
                <w:sz w:val="24"/>
              </w:rPr>
              <w:t>5</w:t>
            </w:r>
            <w:r>
              <w:rPr>
                <w:rFonts w:hint="eastAsia"/>
                <w:sz w:val="24"/>
              </w:rPr>
              <w:t>。</w:t>
            </w:r>
          </w:p>
          <w:p w14:paraId="20E0DCC0">
            <w:pPr>
              <w:pStyle w:val="8"/>
              <w:spacing w:before="0" w:after="0" w:line="240" w:lineRule="auto"/>
              <w:jc w:val="center"/>
              <w:rPr>
                <w:rFonts w:eastAsia="黑体"/>
                <w:kern w:val="2"/>
                <w:sz w:val="21"/>
                <w:szCs w:val="21"/>
              </w:rPr>
            </w:pPr>
            <w:r>
              <w:rPr>
                <w:rFonts w:eastAsia="黑体"/>
                <w:kern w:val="2"/>
                <w:sz w:val="21"/>
                <w:szCs w:val="21"/>
              </w:rPr>
              <w:t>表1-5   与《陕西省生态功能区划》的符合性分析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1005"/>
              <w:gridCol w:w="1147"/>
              <w:gridCol w:w="2723"/>
              <w:gridCol w:w="2281"/>
            </w:tblGrid>
            <w:tr w14:paraId="237C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2" w:type="pct"/>
                  <w:vAlign w:val="center"/>
                </w:tcPr>
                <w:p w14:paraId="6D817688">
                  <w:pPr>
                    <w:pStyle w:val="8"/>
                    <w:spacing w:before="0" w:after="0" w:line="240" w:lineRule="auto"/>
                    <w:ind w:right="0"/>
                    <w:rPr>
                      <w:sz w:val="21"/>
                      <w:szCs w:val="21"/>
                    </w:rPr>
                  </w:pPr>
                  <w:r>
                    <w:rPr>
                      <w:sz w:val="21"/>
                      <w:szCs w:val="21"/>
                    </w:rPr>
                    <w:t>一级区划</w:t>
                  </w:r>
                </w:p>
              </w:tc>
              <w:tc>
                <w:tcPr>
                  <w:tcW w:w="615" w:type="pct"/>
                  <w:vAlign w:val="center"/>
                </w:tcPr>
                <w:p w14:paraId="1AAD35DF">
                  <w:pPr>
                    <w:pStyle w:val="8"/>
                    <w:spacing w:before="0" w:after="0" w:line="240" w:lineRule="auto"/>
                    <w:ind w:right="0"/>
                    <w:rPr>
                      <w:sz w:val="21"/>
                      <w:szCs w:val="21"/>
                    </w:rPr>
                  </w:pPr>
                  <w:r>
                    <w:rPr>
                      <w:sz w:val="21"/>
                      <w:szCs w:val="21"/>
                    </w:rPr>
                    <w:t>二级区划</w:t>
                  </w:r>
                </w:p>
              </w:tc>
              <w:tc>
                <w:tcPr>
                  <w:tcW w:w="702" w:type="pct"/>
                  <w:vAlign w:val="center"/>
                </w:tcPr>
                <w:p w14:paraId="01F8663C">
                  <w:pPr>
                    <w:pStyle w:val="8"/>
                    <w:spacing w:before="0" w:after="0" w:line="240" w:lineRule="auto"/>
                    <w:ind w:right="0"/>
                    <w:rPr>
                      <w:sz w:val="21"/>
                      <w:szCs w:val="21"/>
                    </w:rPr>
                  </w:pPr>
                  <w:r>
                    <w:rPr>
                      <w:sz w:val="21"/>
                      <w:szCs w:val="21"/>
                    </w:rPr>
                    <w:t>三级区划</w:t>
                  </w:r>
                </w:p>
              </w:tc>
              <w:tc>
                <w:tcPr>
                  <w:tcW w:w="1666" w:type="pct"/>
                  <w:vAlign w:val="center"/>
                </w:tcPr>
                <w:p w14:paraId="3176C472">
                  <w:pPr>
                    <w:pStyle w:val="8"/>
                    <w:spacing w:before="0" w:after="0" w:line="240" w:lineRule="auto"/>
                    <w:ind w:right="0"/>
                    <w:rPr>
                      <w:sz w:val="21"/>
                      <w:szCs w:val="21"/>
                    </w:rPr>
                  </w:pPr>
                  <w:r>
                    <w:rPr>
                      <w:sz w:val="21"/>
                      <w:szCs w:val="21"/>
                    </w:rPr>
                    <w:t>主要生态敏感性特征及生态保护对策</w:t>
                  </w:r>
                </w:p>
              </w:tc>
              <w:tc>
                <w:tcPr>
                  <w:tcW w:w="1395" w:type="pct"/>
                  <w:vAlign w:val="center"/>
                </w:tcPr>
                <w:p w14:paraId="345B092E">
                  <w:pPr>
                    <w:pStyle w:val="8"/>
                    <w:spacing w:before="0" w:after="0" w:line="240" w:lineRule="auto"/>
                    <w:ind w:right="0"/>
                    <w:rPr>
                      <w:sz w:val="21"/>
                      <w:szCs w:val="21"/>
                    </w:rPr>
                  </w:pPr>
                  <w:r>
                    <w:rPr>
                      <w:sz w:val="21"/>
                      <w:szCs w:val="21"/>
                    </w:rPr>
                    <w:t>符合性分析</w:t>
                  </w:r>
                </w:p>
              </w:tc>
            </w:tr>
            <w:tr w14:paraId="3BEB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vAlign w:val="center"/>
                </w:tcPr>
                <w:p w14:paraId="68A3BE41">
                  <w:pPr>
                    <w:pStyle w:val="8"/>
                    <w:spacing w:before="0" w:after="0" w:line="240" w:lineRule="auto"/>
                    <w:ind w:right="0"/>
                    <w:rPr>
                      <w:sz w:val="21"/>
                      <w:szCs w:val="21"/>
                    </w:rPr>
                  </w:pPr>
                  <w:r>
                    <w:rPr>
                      <w:sz w:val="21"/>
                      <w:szCs w:val="21"/>
                    </w:rPr>
                    <w:t>秦巴山地落叶阔叶、常绿阔叶混交林生态区</w:t>
                  </w:r>
                </w:p>
              </w:tc>
              <w:tc>
                <w:tcPr>
                  <w:tcW w:w="615" w:type="pct"/>
                  <w:vAlign w:val="center"/>
                </w:tcPr>
                <w:p w14:paraId="6CC6A9BD">
                  <w:pPr>
                    <w:pStyle w:val="8"/>
                    <w:spacing w:before="0" w:after="0" w:line="240" w:lineRule="auto"/>
                    <w:ind w:right="0"/>
                    <w:rPr>
                      <w:sz w:val="21"/>
                      <w:szCs w:val="21"/>
                    </w:rPr>
                  </w:pPr>
                  <w:r>
                    <w:rPr>
                      <w:sz w:val="21"/>
                      <w:szCs w:val="21"/>
                    </w:rPr>
                    <w:t>汉江两岸丘陵盆地农业生态功能区</w:t>
                  </w:r>
                </w:p>
              </w:tc>
              <w:tc>
                <w:tcPr>
                  <w:tcW w:w="702" w:type="pct"/>
                  <w:vAlign w:val="center"/>
                </w:tcPr>
                <w:p w14:paraId="1C6AA79B">
                  <w:pPr>
                    <w:pStyle w:val="8"/>
                    <w:spacing w:before="0" w:after="0" w:line="240" w:lineRule="auto"/>
                    <w:ind w:right="0"/>
                    <w:rPr>
                      <w:sz w:val="21"/>
                      <w:szCs w:val="21"/>
                    </w:rPr>
                  </w:pPr>
                  <w:r>
                    <w:rPr>
                      <w:sz w:val="21"/>
                      <w:szCs w:val="21"/>
                    </w:rPr>
                    <w:t>月河盆地城镇及农业区</w:t>
                  </w:r>
                </w:p>
              </w:tc>
              <w:tc>
                <w:tcPr>
                  <w:tcW w:w="1666" w:type="pct"/>
                  <w:vAlign w:val="center"/>
                </w:tcPr>
                <w:p w14:paraId="42ACA72C">
                  <w:pPr>
                    <w:pStyle w:val="8"/>
                    <w:spacing w:before="0" w:after="0" w:line="240" w:lineRule="auto"/>
                    <w:ind w:right="0"/>
                    <w:rPr>
                      <w:sz w:val="21"/>
                      <w:szCs w:val="21"/>
                    </w:rPr>
                  </w:pPr>
                  <w:r>
                    <w:rPr>
                      <w:sz w:val="21"/>
                      <w:szCs w:val="21"/>
                    </w:rPr>
                    <w:t>城镇密集</w:t>
                  </w:r>
                  <w:r>
                    <w:rPr>
                      <w:rFonts w:hint="eastAsia"/>
                      <w:sz w:val="21"/>
                      <w:szCs w:val="21"/>
                    </w:rPr>
                    <w:t>，</w:t>
                  </w:r>
                  <w:r>
                    <w:rPr>
                      <w:sz w:val="21"/>
                      <w:szCs w:val="21"/>
                    </w:rPr>
                    <w:t>农业发达,水环境敏感</w:t>
                  </w:r>
                  <w:r>
                    <w:rPr>
                      <w:rFonts w:hint="eastAsia"/>
                      <w:sz w:val="21"/>
                      <w:szCs w:val="21"/>
                    </w:rPr>
                    <w:t>。</w:t>
                  </w:r>
                  <w:r>
                    <w:rPr>
                      <w:sz w:val="21"/>
                      <w:szCs w:val="21"/>
                    </w:rPr>
                    <w:t>合理布局城镇和企业,控制污染</w:t>
                  </w:r>
                  <w:r>
                    <w:rPr>
                      <w:rFonts w:hint="eastAsia"/>
                      <w:sz w:val="21"/>
                      <w:szCs w:val="21"/>
                    </w:rPr>
                    <w:t>，</w:t>
                  </w:r>
                  <w:r>
                    <w:rPr>
                      <w:sz w:val="21"/>
                      <w:szCs w:val="21"/>
                    </w:rPr>
                    <w:t>搞好凤凰山等周边山地丘陵的绿化和水土保持.农业以种植和养殖为主,控制面源污染.</w:t>
                  </w:r>
                </w:p>
              </w:tc>
              <w:tc>
                <w:tcPr>
                  <w:tcW w:w="1395" w:type="pct"/>
                  <w:vAlign w:val="center"/>
                </w:tcPr>
                <w:p w14:paraId="74960FDC">
                  <w:pPr>
                    <w:pStyle w:val="8"/>
                    <w:spacing w:before="0" w:after="0" w:line="240" w:lineRule="auto"/>
                    <w:ind w:right="0"/>
                    <w:rPr>
                      <w:sz w:val="21"/>
                      <w:szCs w:val="21"/>
                    </w:rPr>
                  </w:pPr>
                  <w:r>
                    <w:rPr>
                      <w:sz w:val="21"/>
                      <w:szCs w:val="21"/>
                    </w:rPr>
                    <w:t>项目为</w:t>
                  </w:r>
                  <w:r>
                    <w:rPr>
                      <w:rFonts w:hint="eastAsia"/>
                      <w:sz w:val="21"/>
                      <w:szCs w:val="21"/>
                    </w:rPr>
                    <w:t>市政道路项目</w:t>
                  </w:r>
                  <w:r>
                    <w:rPr>
                      <w:sz w:val="21"/>
                      <w:szCs w:val="21"/>
                    </w:rPr>
                    <w:t>，环评提出了公路建设和营运期的生态恢复和水土流失防治措施，减少对周围环境和生态的污染和破坏。在满足评价要求的情况下，符合该区生态功能区划要求。</w:t>
                  </w:r>
                </w:p>
              </w:tc>
            </w:tr>
          </w:tbl>
          <w:p w14:paraId="4DD06688">
            <w:pPr>
              <w:rPr>
                <w:sz w:val="24"/>
              </w:rPr>
            </w:pPr>
          </w:p>
          <w:p w14:paraId="4EFA5083">
            <w:pPr>
              <w:jc w:val="center"/>
              <w:rPr>
                <w:sz w:val="24"/>
              </w:rPr>
            </w:pPr>
            <w:r>
              <w:drawing>
                <wp:inline distT="0" distB="0" distL="0" distR="0">
                  <wp:extent cx="5052695" cy="31603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01103" cy="3190932"/>
                          </a:xfrm>
                          <a:prstGeom prst="rect">
                            <a:avLst/>
                          </a:prstGeom>
                          <a:noFill/>
                          <a:ln>
                            <a:noFill/>
                          </a:ln>
                        </pic:spPr>
                      </pic:pic>
                    </a:graphicData>
                  </a:graphic>
                </wp:inline>
              </w:drawing>
            </w:r>
          </w:p>
          <w:p w14:paraId="73EF9B03">
            <w:pPr>
              <w:jc w:val="center"/>
              <w:rPr>
                <w:rFonts w:ascii="黑体" w:hAnsi="黑体" w:eastAsia="黑体"/>
                <w:szCs w:val="21"/>
              </w:rPr>
            </w:pPr>
            <w:r>
              <w:rPr>
                <w:rFonts w:hint="eastAsia" w:ascii="黑体" w:hAnsi="黑体" w:eastAsia="黑体"/>
                <w:szCs w:val="21"/>
              </w:rPr>
              <w:t>图1-1 生态功能区划图</w:t>
            </w:r>
          </w:p>
          <w:p w14:paraId="4EA124C1">
            <w:pPr>
              <w:spacing w:line="360" w:lineRule="auto"/>
              <w:ind w:firstLine="480" w:firstLineChars="200"/>
              <w:rPr>
                <w:color w:val="FF0000"/>
                <w:sz w:val="24"/>
              </w:rPr>
            </w:pPr>
            <w:r>
              <w:rPr>
                <w:rFonts w:hint="eastAsia"/>
                <w:color w:val="FF0000"/>
                <w:sz w:val="24"/>
              </w:rPr>
              <w:t>6.项目与“三线一单”符合性分析</w:t>
            </w:r>
          </w:p>
          <w:p w14:paraId="170BDC21">
            <w:pPr>
              <w:spacing w:line="360" w:lineRule="auto"/>
              <w:ind w:firstLine="480" w:firstLineChars="200"/>
              <w:rPr>
                <w:color w:val="FF0000"/>
                <w:sz w:val="24"/>
              </w:rPr>
            </w:pPr>
            <w:r>
              <w:rPr>
                <w:rFonts w:hint="eastAsia"/>
                <w:color w:val="FF0000"/>
                <w:sz w:val="24"/>
              </w:rPr>
              <w:t>根据环境保护部《关于以改善环境质量为核心加强环境影响评价管理的通知》（环环评〔2016〕150号）的要求，切实加强环境管理，建设项目选址选线、规模、性质和工艺路线等应与“生态保护红线、环境质量底线、资源利用上线和环境准入负面清单”（以下简称“三线一单”）进行对照。本项目与“三线一单”的符合性分析见表1-</w:t>
            </w:r>
            <w:r>
              <w:rPr>
                <w:color w:val="FF0000"/>
                <w:sz w:val="24"/>
              </w:rPr>
              <w:t>6</w:t>
            </w:r>
            <w:r>
              <w:rPr>
                <w:rFonts w:hint="eastAsia"/>
                <w:color w:val="FF0000"/>
                <w:sz w:val="24"/>
              </w:rPr>
              <w:t>。</w:t>
            </w:r>
          </w:p>
          <w:p w14:paraId="3D089390">
            <w:pPr>
              <w:pStyle w:val="2"/>
              <w:spacing w:before="0" w:after="0" w:line="240" w:lineRule="auto"/>
              <w:jc w:val="center"/>
              <w:rPr>
                <w:rFonts w:ascii="黑体" w:hAnsi="黑体" w:eastAsia="黑体"/>
                <w:b w:val="0"/>
                <w:color w:val="FF0000"/>
                <w:sz w:val="21"/>
                <w:szCs w:val="21"/>
              </w:rPr>
            </w:pPr>
            <w:r>
              <w:rPr>
                <w:rFonts w:hint="eastAsia" w:ascii="黑体" w:hAnsi="黑体" w:eastAsia="黑体"/>
                <w:b w:val="0"/>
                <w:color w:val="FF0000"/>
                <w:sz w:val="21"/>
                <w:szCs w:val="21"/>
              </w:rPr>
              <w:t>表1.</w:t>
            </w:r>
            <w:r>
              <w:rPr>
                <w:rFonts w:ascii="黑体" w:hAnsi="黑体" w:eastAsia="黑体"/>
                <w:b w:val="0"/>
                <w:color w:val="FF0000"/>
                <w:sz w:val="21"/>
                <w:szCs w:val="21"/>
              </w:rPr>
              <w:t xml:space="preserve">6  </w:t>
            </w:r>
            <w:r>
              <w:rPr>
                <w:rFonts w:hint="eastAsia" w:ascii="黑体" w:hAnsi="黑体" w:eastAsia="黑体"/>
                <w:b w:val="0"/>
                <w:color w:val="FF0000"/>
                <w:sz w:val="21"/>
                <w:szCs w:val="21"/>
              </w:rPr>
              <w:t xml:space="preserve"> 项目与“三线一单”符合性分析表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3969"/>
              <w:gridCol w:w="2282"/>
              <w:gridCol w:w="809"/>
            </w:tblGrid>
            <w:tr w14:paraId="2A2F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14:paraId="0D11D049">
                  <w:pPr>
                    <w:jc w:val="center"/>
                    <w:rPr>
                      <w:color w:val="FF0000"/>
                      <w:szCs w:val="21"/>
                    </w:rPr>
                  </w:pPr>
                  <w:r>
                    <w:rPr>
                      <w:rFonts w:hint="eastAsia"/>
                      <w:color w:val="FF0000"/>
                      <w:szCs w:val="21"/>
                    </w:rPr>
                    <w:t>三线一单</w:t>
                  </w:r>
                </w:p>
              </w:tc>
              <w:tc>
                <w:tcPr>
                  <w:tcW w:w="3969" w:type="dxa"/>
                  <w:vAlign w:val="center"/>
                </w:tcPr>
                <w:p w14:paraId="7F70333E">
                  <w:pPr>
                    <w:jc w:val="center"/>
                    <w:rPr>
                      <w:color w:val="FF0000"/>
                      <w:szCs w:val="21"/>
                    </w:rPr>
                  </w:pPr>
                  <w:r>
                    <w:rPr>
                      <w:rFonts w:hint="eastAsia"/>
                      <w:color w:val="FF0000"/>
                      <w:szCs w:val="21"/>
                    </w:rPr>
                    <w:t>要求</w:t>
                  </w:r>
                </w:p>
              </w:tc>
              <w:tc>
                <w:tcPr>
                  <w:tcW w:w="2282" w:type="dxa"/>
                  <w:vAlign w:val="center"/>
                </w:tcPr>
                <w:p w14:paraId="0E6AD09B">
                  <w:pPr>
                    <w:jc w:val="center"/>
                    <w:rPr>
                      <w:color w:val="FF0000"/>
                      <w:szCs w:val="21"/>
                    </w:rPr>
                  </w:pPr>
                  <w:r>
                    <w:rPr>
                      <w:rFonts w:hint="eastAsia"/>
                      <w:color w:val="FF0000"/>
                      <w:szCs w:val="21"/>
                    </w:rPr>
                    <w:t>项目概况</w:t>
                  </w:r>
                </w:p>
              </w:tc>
              <w:tc>
                <w:tcPr>
                  <w:tcW w:w="809" w:type="dxa"/>
                  <w:vAlign w:val="center"/>
                </w:tcPr>
                <w:p w14:paraId="32D1802F">
                  <w:pPr>
                    <w:jc w:val="center"/>
                    <w:rPr>
                      <w:color w:val="FF0000"/>
                      <w:szCs w:val="21"/>
                    </w:rPr>
                  </w:pPr>
                  <w:r>
                    <w:rPr>
                      <w:rFonts w:hint="eastAsia"/>
                      <w:color w:val="FF0000"/>
                      <w:szCs w:val="21"/>
                    </w:rPr>
                    <w:t>符合性</w:t>
                  </w:r>
                </w:p>
              </w:tc>
            </w:tr>
            <w:tr w14:paraId="4080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14:paraId="74F1F130">
                  <w:pPr>
                    <w:jc w:val="center"/>
                    <w:rPr>
                      <w:color w:val="FF0000"/>
                      <w:szCs w:val="21"/>
                    </w:rPr>
                  </w:pPr>
                  <w:r>
                    <w:rPr>
                      <w:rFonts w:hint="eastAsia"/>
                      <w:color w:val="FF0000"/>
                      <w:szCs w:val="21"/>
                    </w:rPr>
                    <w:t>生态保护红线</w:t>
                  </w:r>
                </w:p>
              </w:tc>
              <w:tc>
                <w:tcPr>
                  <w:tcW w:w="3969" w:type="dxa"/>
                  <w:vAlign w:val="center"/>
                </w:tcPr>
                <w:p w14:paraId="00BEBF05">
                  <w:pPr>
                    <w:rPr>
                      <w:color w:val="FF0000"/>
                      <w:szCs w:val="21"/>
                    </w:rPr>
                  </w:pPr>
                  <w:r>
                    <w:rPr>
                      <w:rFonts w:hint="eastAsia"/>
                      <w:color w:val="FF0000"/>
                      <w:szCs w:val="21"/>
                    </w:rPr>
                    <w:t>生态保护红线是生态空间范围内具有特殊重要生态功能必须实行强制性严格保护的区域。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282" w:type="dxa"/>
                  <w:vAlign w:val="center"/>
                </w:tcPr>
                <w:p w14:paraId="30B2CA9B">
                  <w:pPr>
                    <w:rPr>
                      <w:color w:val="FF0000"/>
                      <w:szCs w:val="21"/>
                    </w:rPr>
                  </w:pPr>
                  <w:r>
                    <w:rPr>
                      <w:rFonts w:hint="eastAsia"/>
                      <w:color w:val="FF0000"/>
                    </w:rPr>
                    <w:t>本项目为市政道路项目，不涉及生态保护红线，位于重点管控区评价范围内不涉及自然保护区、水源保护区、风景名胜区等环境敏感区</w:t>
                  </w:r>
                </w:p>
              </w:tc>
              <w:tc>
                <w:tcPr>
                  <w:tcW w:w="809" w:type="dxa"/>
                  <w:vAlign w:val="center"/>
                </w:tcPr>
                <w:p w14:paraId="56136118">
                  <w:pPr>
                    <w:jc w:val="center"/>
                    <w:rPr>
                      <w:color w:val="FF0000"/>
                      <w:szCs w:val="21"/>
                    </w:rPr>
                  </w:pPr>
                  <w:r>
                    <w:rPr>
                      <w:rFonts w:hint="eastAsia"/>
                      <w:color w:val="FF0000"/>
                      <w:szCs w:val="21"/>
                    </w:rPr>
                    <w:t>符合</w:t>
                  </w:r>
                </w:p>
              </w:tc>
            </w:tr>
            <w:tr w14:paraId="6051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14:paraId="241F5F9F">
                  <w:pPr>
                    <w:jc w:val="center"/>
                    <w:rPr>
                      <w:color w:val="FF0000"/>
                      <w:szCs w:val="21"/>
                    </w:rPr>
                  </w:pPr>
                  <w:r>
                    <w:rPr>
                      <w:rFonts w:hint="eastAsia"/>
                      <w:color w:val="FF0000"/>
                      <w:szCs w:val="21"/>
                    </w:rPr>
                    <w:t>环境质量底线</w:t>
                  </w:r>
                </w:p>
              </w:tc>
              <w:tc>
                <w:tcPr>
                  <w:tcW w:w="3969" w:type="dxa"/>
                  <w:vAlign w:val="center"/>
                </w:tcPr>
                <w:p w14:paraId="62A41F84">
                  <w:pPr>
                    <w:rPr>
                      <w:color w:val="FF0000"/>
                      <w:szCs w:val="21"/>
                    </w:rPr>
                  </w:pPr>
                  <w:r>
                    <w:rPr>
                      <w:rFonts w:hint="eastAsia"/>
                      <w:color w:val="FF0000"/>
                      <w:szCs w:val="21"/>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282" w:type="dxa"/>
                  <w:vAlign w:val="center"/>
                </w:tcPr>
                <w:p w14:paraId="4D59F31A">
                  <w:pPr>
                    <w:rPr>
                      <w:color w:val="FF0000"/>
                      <w:szCs w:val="21"/>
                    </w:rPr>
                  </w:pPr>
                  <w:r>
                    <w:rPr>
                      <w:rFonts w:hint="eastAsia"/>
                      <w:color w:val="FF0000"/>
                      <w:szCs w:val="21"/>
                    </w:rPr>
                    <w:t>项目建设过程及运营期采取环评要求的措施，能够合理处置各项污染物，减低生态影响不利影响，各项污染物对周边环境影响较小，不触及环境质量底线</w:t>
                  </w:r>
                </w:p>
              </w:tc>
              <w:tc>
                <w:tcPr>
                  <w:tcW w:w="809" w:type="dxa"/>
                  <w:vAlign w:val="center"/>
                </w:tcPr>
                <w:p w14:paraId="0ED018B8">
                  <w:pPr>
                    <w:jc w:val="center"/>
                    <w:rPr>
                      <w:color w:val="FF0000"/>
                      <w:szCs w:val="21"/>
                    </w:rPr>
                  </w:pPr>
                  <w:r>
                    <w:rPr>
                      <w:rFonts w:hint="eastAsia"/>
                      <w:color w:val="FF0000"/>
                      <w:szCs w:val="21"/>
                    </w:rPr>
                    <w:t>符合</w:t>
                  </w:r>
                </w:p>
              </w:tc>
            </w:tr>
            <w:tr w14:paraId="591C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14:paraId="20EE224C">
                  <w:pPr>
                    <w:jc w:val="center"/>
                    <w:rPr>
                      <w:color w:val="FF0000"/>
                      <w:szCs w:val="21"/>
                    </w:rPr>
                  </w:pPr>
                  <w:r>
                    <w:rPr>
                      <w:rFonts w:hint="eastAsia"/>
                      <w:color w:val="FF0000"/>
                      <w:szCs w:val="21"/>
                    </w:rPr>
                    <w:t>资源利用上线</w:t>
                  </w:r>
                </w:p>
              </w:tc>
              <w:tc>
                <w:tcPr>
                  <w:tcW w:w="3969" w:type="dxa"/>
                  <w:vAlign w:val="center"/>
                </w:tcPr>
                <w:p w14:paraId="6AA674E7">
                  <w:pPr>
                    <w:rPr>
                      <w:color w:val="FF0000"/>
                      <w:szCs w:val="21"/>
                    </w:rPr>
                  </w:pPr>
                  <w:r>
                    <w:rPr>
                      <w:rFonts w:hint="eastAsia"/>
                      <w:color w:val="FF0000"/>
                      <w:szCs w:val="21"/>
                    </w:rPr>
                    <w:t>资源是环境的载体，资源利用上线是各地区能源、水、土地等资源消耗不得突破的“天花板”。</w:t>
                  </w:r>
                </w:p>
              </w:tc>
              <w:tc>
                <w:tcPr>
                  <w:tcW w:w="2282" w:type="dxa"/>
                  <w:vAlign w:val="center"/>
                </w:tcPr>
                <w:p w14:paraId="0EDFC412">
                  <w:pPr>
                    <w:rPr>
                      <w:color w:val="FF0000"/>
                      <w:szCs w:val="21"/>
                    </w:rPr>
                  </w:pPr>
                  <w:r>
                    <w:rPr>
                      <w:rFonts w:hint="eastAsia"/>
                      <w:color w:val="FF0000"/>
                    </w:rPr>
                    <w:t>本项目为市政道路建设项目，能源消耗较小，因此项目不触及资源利用上线</w:t>
                  </w:r>
                </w:p>
              </w:tc>
              <w:tc>
                <w:tcPr>
                  <w:tcW w:w="809" w:type="dxa"/>
                  <w:vAlign w:val="center"/>
                </w:tcPr>
                <w:p w14:paraId="3971AD92">
                  <w:pPr>
                    <w:jc w:val="center"/>
                    <w:rPr>
                      <w:color w:val="FF0000"/>
                      <w:szCs w:val="21"/>
                    </w:rPr>
                  </w:pPr>
                  <w:r>
                    <w:rPr>
                      <w:rFonts w:hint="eastAsia"/>
                      <w:color w:val="FF0000"/>
                      <w:szCs w:val="21"/>
                    </w:rPr>
                    <w:t>符合</w:t>
                  </w:r>
                </w:p>
              </w:tc>
            </w:tr>
            <w:tr w14:paraId="454A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dxa"/>
                  <w:vAlign w:val="center"/>
                </w:tcPr>
                <w:p w14:paraId="3981637A">
                  <w:pPr>
                    <w:jc w:val="center"/>
                    <w:rPr>
                      <w:color w:val="FF0000"/>
                      <w:szCs w:val="21"/>
                    </w:rPr>
                  </w:pPr>
                  <w:r>
                    <w:rPr>
                      <w:rFonts w:hint="eastAsia"/>
                      <w:color w:val="FF0000"/>
                      <w:szCs w:val="21"/>
                    </w:rPr>
                    <w:t>生态环境准入清单</w:t>
                  </w:r>
                </w:p>
              </w:tc>
              <w:tc>
                <w:tcPr>
                  <w:tcW w:w="3969" w:type="dxa"/>
                  <w:vAlign w:val="center"/>
                </w:tcPr>
                <w:p w14:paraId="33D2229A">
                  <w:pPr>
                    <w:rPr>
                      <w:color w:val="FF0000"/>
                      <w:szCs w:val="21"/>
                    </w:rPr>
                  </w:pPr>
                  <w:r>
                    <w:rPr>
                      <w:rFonts w:hint="eastAsia"/>
                      <w:color w:val="FF0000"/>
                      <w:szCs w:val="21"/>
                    </w:rPr>
                    <w:t>环境准入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82" w:type="dxa"/>
                  <w:vAlign w:val="center"/>
                </w:tcPr>
                <w:p w14:paraId="1F863B46">
                  <w:pPr>
                    <w:rPr>
                      <w:color w:val="FF0000"/>
                      <w:szCs w:val="21"/>
                    </w:rPr>
                  </w:pPr>
                  <w:r>
                    <w:rPr>
                      <w:rFonts w:hint="eastAsia"/>
                      <w:color w:val="FF0000"/>
                    </w:rPr>
                    <w:t>本项目为市政道路建设项目，符合国家和地方产业政策，项目未列入环境准入负面清单中</w:t>
                  </w:r>
                </w:p>
              </w:tc>
              <w:tc>
                <w:tcPr>
                  <w:tcW w:w="809" w:type="dxa"/>
                  <w:vAlign w:val="center"/>
                </w:tcPr>
                <w:p w14:paraId="7B9CB149">
                  <w:pPr>
                    <w:jc w:val="center"/>
                    <w:rPr>
                      <w:color w:val="FF0000"/>
                      <w:szCs w:val="21"/>
                    </w:rPr>
                  </w:pPr>
                  <w:r>
                    <w:rPr>
                      <w:rFonts w:hint="eastAsia"/>
                      <w:color w:val="FF0000"/>
                      <w:szCs w:val="21"/>
                    </w:rPr>
                    <w:t>符合</w:t>
                  </w:r>
                </w:p>
              </w:tc>
            </w:tr>
          </w:tbl>
          <w:p w14:paraId="4A1AB1BC">
            <w:pPr>
              <w:spacing w:line="360" w:lineRule="auto"/>
              <w:ind w:firstLine="480" w:firstLineChars="200"/>
              <w:rPr>
                <w:sz w:val="24"/>
              </w:rPr>
            </w:pPr>
            <w:r>
              <w:rPr>
                <w:sz w:val="24"/>
              </w:rPr>
              <w:t>7、本项目与《安康市“三线一单”生态环境分区管控方案》符合性分析。</w:t>
            </w:r>
          </w:p>
          <w:p w14:paraId="7D2145A5">
            <w:pPr>
              <w:spacing w:line="360" w:lineRule="auto"/>
              <w:ind w:firstLine="480" w:firstLineChars="200"/>
              <w:rPr>
                <w:sz w:val="24"/>
              </w:rPr>
            </w:pPr>
            <w:r>
              <w:rPr>
                <w:rFonts w:hint="eastAsia"/>
                <w:sz w:val="24"/>
              </w:rPr>
              <w:t>本</w:t>
            </w:r>
            <w:r>
              <w:rPr>
                <w:sz w:val="24"/>
              </w:rPr>
              <w:t>项目位于安康市生态环境管控单元重点管控单元内，不涉及优先管控单元，不涉及生态保护红线，分析报告见附件3。分析如下：</w:t>
            </w:r>
          </w:p>
          <w:p w14:paraId="0079CEAB">
            <w:pPr>
              <w:spacing w:line="360" w:lineRule="auto"/>
              <w:ind w:firstLine="480" w:firstLineChars="200"/>
            </w:pPr>
            <w:r>
              <w:rPr>
                <w:rFonts w:hint="eastAsia"/>
                <w:kern w:val="0"/>
                <w:sz w:val="24"/>
              </w:rPr>
              <w:t>①一图</w:t>
            </w:r>
          </w:p>
          <w:p w14:paraId="5BFA362F">
            <w:pPr>
              <w:jc w:val="center"/>
            </w:pPr>
            <w:r>
              <w:drawing>
                <wp:inline distT="0" distB="0" distL="0" distR="0">
                  <wp:extent cx="5133340" cy="5105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33600" cy="5105861"/>
                          </a:xfrm>
                          <a:prstGeom prst="rect">
                            <a:avLst/>
                          </a:prstGeom>
                          <a:noFill/>
                          <a:ln>
                            <a:noFill/>
                          </a:ln>
                        </pic:spPr>
                      </pic:pic>
                    </a:graphicData>
                  </a:graphic>
                </wp:inline>
              </w:drawing>
            </w:r>
          </w:p>
          <w:p w14:paraId="28FD8E88">
            <w:pPr>
              <w:pStyle w:val="71"/>
              <w:widowControl w:val="0"/>
              <w:adjustRightInd w:val="0"/>
              <w:snapToGrid w:val="0"/>
              <w:spacing w:after="0" w:line="240" w:lineRule="auto"/>
              <w:ind w:firstLine="482"/>
              <w:jc w:val="center"/>
              <w:rPr>
                <w:rFonts w:ascii="黑体" w:hAnsi="黑体" w:eastAsia="黑体" w:cs="黑体"/>
                <w:bCs/>
                <w:sz w:val="21"/>
                <w:szCs w:val="21"/>
                <w:lang w:eastAsia="zh-CN"/>
              </w:rPr>
            </w:pPr>
            <w:r>
              <w:rPr>
                <w:rFonts w:hint="eastAsia" w:ascii="黑体" w:hAnsi="黑体" w:eastAsia="黑体" w:cs="黑体"/>
                <w:bCs/>
                <w:sz w:val="21"/>
                <w:szCs w:val="21"/>
                <w:lang w:eastAsia="zh-CN"/>
              </w:rPr>
              <w:t>图1-2项目“三线一单”比对结果图</w:t>
            </w:r>
          </w:p>
          <w:p w14:paraId="2251B41A">
            <w:pPr>
              <w:autoSpaceDE w:val="0"/>
              <w:autoSpaceDN w:val="0"/>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一表</w:t>
            </w:r>
          </w:p>
          <w:p w14:paraId="337701DE">
            <w:pPr>
              <w:pStyle w:val="71"/>
              <w:adjustRightInd w:val="0"/>
              <w:snapToGrid w:val="0"/>
              <w:spacing w:after="0" w:line="240" w:lineRule="auto"/>
              <w:jc w:val="center"/>
              <w:rPr>
                <w:rFonts w:ascii="Times New Roman" w:hAnsi="Times New Roman" w:eastAsia="黑体"/>
                <w:bCs/>
                <w:sz w:val="21"/>
                <w:szCs w:val="21"/>
                <w:lang w:eastAsia="zh-CN"/>
              </w:rPr>
            </w:pPr>
            <w:r>
              <w:rPr>
                <w:rFonts w:ascii="Times New Roman" w:hAnsi="Times New Roman" w:eastAsia="黑体"/>
                <w:bCs/>
                <w:sz w:val="21"/>
                <w:szCs w:val="21"/>
                <w:lang w:eastAsia="zh-CN"/>
              </w:rPr>
              <w:t>表1-7项目涉及管控单元涉及情况表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1"/>
              <w:gridCol w:w="2347"/>
              <w:gridCol w:w="2725"/>
            </w:tblGrid>
            <w:tr w14:paraId="4537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pct"/>
                  <w:shd w:val="clear" w:color="auto" w:fill="auto"/>
                  <w:vAlign w:val="center"/>
                </w:tcPr>
                <w:p w14:paraId="441D2548">
                  <w:pPr>
                    <w:pStyle w:val="8"/>
                    <w:spacing w:before="0" w:after="0" w:line="240" w:lineRule="auto"/>
                    <w:ind w:right="0"/>
                    <w:jc w:val="center"/>
                    <w:rPr>
                      <w:sz w:val="21"/>
                      <w:szCs w:val="21"/>
                    </w:rPr>
                  </w:pPr>
                  <w:r>
                    <w:rPr>
                      <w:sz w:val="21"/>
                      <w:szCs w:val="21"/>
                    </w:rPr>
                    <w:t>环境管控单元分类</w:t>
                  </w:r>
                </w:p>
              </w:tc>
              <w:tc>
                <w:tcPr>
                  <w:tcW w:w="1436" w:type="pct"/>
                  <w:shd w:val="clear" w:color="auto" w:fill="auto"/>
                  <w:vAlign w:val="center"/>
                </w:tcPr>
                <w:p w14:paraId="2D2C0FD4">
                  <w:pPr>
                    <w:pStyle w:val="8"/>
                    <w:spacing w:before="0" w:after="0" w:line="240" w:lineRule="auto"/>
                    <w:ind w:right="0"/>
                    <w:jc w:val="center"/>
                    <w:rPr>
                      <w:sz w:val="21"/>
                      <w:szCs w:val="21"/>
                    </w:rPr>
                  </w:pPr>
                  <w:r>
                    <w:rPr>
                      <w:sz w:val="21"/>
                      <w:szCs w:val="21"/>
                    </w:rPr>
                    <w:t>是否涉及</w:t>
                  </w:r>
                </w:p>
              </w:tc>
              <w:tc>
                <w:tcPr>
                  <w:tcW w:w="1667" w:type="pct"/>
                  <w:shd w:val="clear" w:color="auto" w:fill="auto"/>
                  <w:vAlign w:val="center"/>
                </w:tcPr>
                <w:p w14:paraId="0E67F53C">
                  <w:pPr>
                    <w:pStyle w:val="8"/>
                    <w:spacing w:before="0" w:after="0" w:line="240" w:lineRule="auto"/>
                    <w:ind w:right="0"/>
                    <w:jc w:val="center"/>
                    <w:rPr>
                      <w:sz w:val="21"/>
                      <w:szCs w:val="21"/>
                    </w:rPr>
                  </w:pPr>
                  <w:r>
                    <w:rPr>
                      <w:sz w:val="21"/>
                      <w:szCs w:val="21"/>
                    </w:rPr>
                    <w:t>面积</w:t>
                  </w:r>
                </w:p>
              </w:tc>
            </w:tr>
            <w:tr w14:paraId="5613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pct"/>
                  <w:shd w:val="clear" w:color="auto" w:fill="auto"/>
                  <w:vAlign w:val="center"/>
                </w:tcPr>
                <w:p w14:paraId="070C3E98">
                  <w:pPr>
                    <w:pStyle w:val="8"/>
                    <w:spacing w:before="0" w:after="0" w:line="240" w:lineRule="auto"/>
                    <w:ind w:right="0"/>
                    <w:jc w:val="center"/>
                    <w:rPr>
                      <w:sz w:val="21"/>
                      <w:szCs w:val="21"/>
                    </w:rPr>
                  </w:pPr>
                  <w:r>
                    <w:rPr>
                      <w:sz w:val="21"/>
                      <w:szCs w:val="21"/>
                    </w:rPr>
                    <w:t>优先管控单元</w:t>
                  </w:r>
                </w:p>
              </w:tc>
              <w:tc>
                <w:tcPr>
                  <w:tcW w:w="1436" w:type="pct"/>
                  <w:shd w:val="clear" w:color="auto" w:fill="auto"/>
                  <w:vAlign w:val="center"/>
                </w:tcPr>
                <w:p w14:paraId="7BC9FF6B">
                  <w:pPr>
                    <w:pStyle w:val="8"/>
                    <w:spacing w:before="0" w:after="0" w:line="240" w:lineRule="auto"/>
                    <w:ind w:right="0"/>
                    <w:jc w:val="center"/>
                    <w:rPr>
                      <w:sz w:val="21"/>
                      <w:szCs w:val="21"/>
                    </w:rPr>
                  </w:pPr>
                  <w:r>
                    <w:rPr>
                      <w:sz w:val="21"/>
                      <w:szCs w:val="21"/>
                    </w:rPr>
                    <w:t>否</w:t>
                  </w:r>
                </w:p>
              </w:tc>
              <w:tc>
                <w:tcPr>
                  <w:tcW w:w="1667" w:type="pct"/>
                  <w:shd w:val="clear" w:color="auto" w:fill="auto"/>
                  <w:vAlign w:val="center"/>
                </w:tcPr>
                <w:p w14:paraId="0F58A08A">
                  <w:pPr>
                    <w:pStyle w:val="8"/>
                    <w:spacing w:before="0" w:after="0" w:line="240" w:lineRule="auto"/>
                    <w:ind w:right="0"/>
                    <w:jc w:val="center"/>
                    <w:rPr>
                      <w:sz w:val="21"/>
                      <w:szCs w:val="21"/>
                    </w:rPr>
                  </w:pPr>
                  <w:r>
                    <w:rPr>
                      <w:sz w:val="21"/>
                      <w:szCs w:val="21"/>
                    </w:rPr>
                    <w:t>0</w:t>
                  </w:r>
                </w:p>
              </w:tc>
            </w:tr>
            <w:tr w14:paraId="71D7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pct"/>
                  <w:shd w:val="clear" w:color="auto" w:fill="auto"/>
                  <w:vAlign w:val="center"/>
                </w:tcPr>
                <w:p w14:paraId="4451DB80">
                  <w:pPr>
                    <w:pStyle w:val="8"/>
                    <w:spacing w:before="0" w:after="0" w:line="240" w:lineRule="auto"/>
                    <w:ind w:right="0"/>
                    <w:jc w:val="center"/>
                    <w:rPr>
                      <w:sz w:val="21"/>
                      <w:szCs w:val="21"/>
                    </w:rPr>
                  </w:pPr>
                  <w:r>
                    <w:rPr>
                      <w:sz w:val="21"/>
                      <w:szCs w:val="21"/>
                    </w:rPr>
                    <w:t>重点管控单元</w:t>
                  </w:r>
                </w:p>
              </w:tc>
              <w:tc>
                <w:tcPr>
                  <w:tcW w:w="1436" w:type="pct"/>
                  <w:shd w:val="clear" w:color="auto" w:fill="auto"/>
                  <w:vAlign w:val="center"/>
                </w:tcPr>
                <w:p w14:paraId="135E9AA4">
                  <w:pPr>
                    <w:pStyle w:val="8"/>
                    <w:spacing w:before="0" w:after="0" w:line="240" w:lineRule="auto"/>
                    <w:ind w:right="0"/>
                    <w:jc w:val="center"/>
                    <w:rPr>
                      <w:sz w:val="21"/>
                      <w:szCs w:val="21"/>
                    </w:rPr>
                  </w:pPr>
                  <w:r>
                    <w:rPr>
                      <w:sz w:val="21"/>
                      <w:szCs w:val="21"/>
                    </w:rPr>
                    <w:t>是</w:t>
                  </w:r>
                </w:p>
              </w:tc>
              <w:tc>
                <w:tcPr>
                  <w:tcW w:w="1667" w:type="pct"/>
                  <w:shd w:val="clear" w:color="auto" w:fill="auto"/>
                  <w:vAlign w:val="center"/>
                </w:tcPr>
                <w:p w14:paraId="2F5F3097">
                  <w:pPr>
                    <w:pStyle w:val="8"/>
                    <w:spacing w:before="0" w:after="0" w:line="240" w:lineRule="auto"/>
                    <w:ind w:right="0"/>
                    <w:jc w:val="center"/>
                    <w:rPr>
                      <w:sz w:val="21"/>
                      <w:szCs w:val="21"/>
                    </w:rPr>
                  </w:pPr>
                  <w:r>
                    <w:rPr>
                      <w:sz w:val="21"/>
                      <w:szCs w:val="21"/>
                    </w:rPr>
                    <w:t>25886.6平方米</w:t>
                  </w:r>
                </w:p>
              </w:tc>
            </w:tr>
            <w:tr w14:paraId="06CD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pct"/>
                  <w:shd w:val="clear" w:color="auto" w:fill="auto"/>
                  <w:vAlign w:val="center"/>
                </w:tcPr>
                <w:p w14:paraId="7F14F138">
                  <w:pPr>
                    <w:pStyle w:val="8"/>
                    <w:spacing w:before="0" w:after="0" w:line="240" w:lineRule="auto"/>
                    <w:ind w:right="0"/>
                    <w:jc w:val="center"/>
                    <w:rPr>
                      <w:sz w:val="21"/>
                      <w:szCs w:val="21"/>
                    </w:rPr>
                  </w:pPr>
                  <w:r>
                    <w:rPr>
                      <w:sz w:val="21"/>
                      <w:szCs w:val="21"/>
                    </w:rPr>
                    <w:t>一般管控单元</w:t>
                  </w:r>
                </w:p>
              </w:tc>
              <w:tc>
                <w:tcPr>
                  <w:tcW w:w="1436" w:type="pct"/>
                  <w:shd w:val="clear" w:color="auto" w:fill="auto"/>
                  <w:vAlign w:val="center"/>
                </w:tcPr>
                <w:p w14:paraId="6176E1F6">
                  <w:pPr>
                    <w:pStyle w:val="8"/>
                    <w:spacing w:before="0" w:after="0" w:line="240" w:lineRule="auto"/>
                    <w:ind w:right="0"/>
                    <w:jc w:val="center"/>
                    <w:rPr>
                      <w:sz w:val="21"/>
                      <w:szCs w:val="21"/>
                    </w:rPr>
                  </w:pPr>
                  <w:r>
                    <w:rPr>
                      <w:sz w:val="21"/>
                      <w:szCs w:val="21"/>
                    </w:rPr>
                    <w:t>否</w:t>
                  </w:r>
                </w:p>
              </w:tc>
              <w:tc>
                <w:tcPr>
                  <w:tcW w:w="1667" w:type="pct"/>
                  <w:shd w:val="clear" w:color="auto" w:fill="auto"/>
                  <w:vAlign w:val="center"/>
                </w:tcPr>
                <w:p w14:paraId="28C77482">
                  <w:pPr>
                    <w:pStyle w:val="8"/>
                    <w:spacing w:before="0" w:after="0" w:line="240" w:lineRule="auto"/>
                    <w:ind w:right="0"/>
                    <w:jc w:val="center"/>
                    <w:rPr>
                      <w:sz w:val="21"/>
                      <w:szCs w:val="21"/>
                    </w:rPr>
                  </w:pPr>
                  <w:r>
                    <w:rPr>
                      <w:sz w:val="21"/>
                      <w:szCs w:val="21"/>
                    </w:rPr>
                    <w:t>0</w:t>
                  </w:r>
                </w:p>
              </w:tc>
            </w:tr>
          </w:tbl>
          <w:p w14:paraId="1EED3C39">
            <w:pPr>
              <w:pStyle w:val="8"/>
            </w:pPr>
          </w:p>
          <w:p w14:paraId="4A0864D3">
            <w:pPr>
              <w:pStyle w:val="8"/>
            </w:pPr>
          </w:p>
          <w:p w14:paraId="02B86CFE">
            <w:pPr>
              <w:pStyle w:val="8"/>
            </w:pPr>
          </w:p>
          <w:p w14:paraId="63C79DEA">
            <w:pPr>
              <w:pStyle w:val="8"/>
            </w:pPr>
          </w:p>
          <w:p w14:paraId="74C33D2B">
            <w:pPr>
              <w:pStyle w:val="8"/>
            </w:pPr>
          </w:p>
          <w:p w14:paraId="2919D99B">
            <w:pPr>
              <w:pStyle w:val="8"/>
            </w:pPr>
          </w:p>
          <w:p w14:paraId="12DFDCE8">
            <w:pPr>
              <w:pStyle w:val="8"/>
            </w:pPr>
          </w:p>
          <w:p w14:paraId="4102C981">
            <w:pPr>
              <w:pStyle w:val="8"/>
            </w:pPr>
          </w:p>
          <w:p w14:paraId="4CBFF7E2">
            <w:pPr>
              <w:pStyle w:val="8"/>
            </w:pPr>
          </w:p>
          <w:p w14:paraId="2E61C4FE">
            <w:pPr>
              <w:pStyle w:val="8"/>
            </w:pPr>
          </w:p>
          <w:p w14:paraId="106828F3">
            <w:pPr>
              <w:pStyle w:val="8"/>
            </w:pPr>
          </w:p>
          <w:p w14:paraId="06F7BC76">
            <w:pPr>
              <w:pStyle w:val="8"/>
            </w:pPr>
          </w:p>
          <w:p w14:paraId="6905BE9A">
            <w:pPr>
              <w:pStyle w:val="8"/>
            </w:pPr>
          </w:p>
          <w:p w14:paraId="1C6DFB94">
            <w:pPr>
              <w:pStyle w:val="8"/>
            </w:pPr>
          </w:p>
          <w:p w14:paraId="42592A3E">
            <w:pPr>
              <w:pStyle w:val="8"/>
            </w:pPr>
          </w:p>
          <w:p w14:paraId="71B65F51">
            <w:pPr>
              <w:pStyle w:val="8"/>
            </w:pPr>
          </w:p>
          <w:p w14:paraId="7C739B9C">
            <w:pPr>
              <w:pStyle w:val="8"/>
            </w:pPr>
          </w:p>
          <w:p w14:paraId="7A25B32B">
            <w:pPr>
              <w:pStyle w:val="8"/>
            </w:pPr>
          </w:p>
          <w:p w14:paraId="1357706F">
            <w:pPr>
              <w:pStyle w:val="8"/>
            </w:pPr>
          </w:p>
          <w:p w14:paraId="1F57BDA9">
            <w:pPr>
              <w:pStyle w:val="8"/>
            </w:pPr>
          </w:p>
          <w:p w14:paraId="0413C2E8">
            <w:pPr>
              <w:pStyle w:val="8"/>
            </w:pPr>
          </w:p>
          <w:p w14:paraId="0528EED7">
            <w:pPr>
              <w:pStyle w:val="8"/>
            </w:pPr>
          </w:p>
          <w:p w14:paraId="0E5F5632">
            <w:pPr>
              <w:pStyle w:val="8"/>
            </w:pPr>
          </w:p>
          <w:p w14:paraId="7A7A7674">
            <w:pPr>
              <w:pStyle w:val="8"/>
            </w:pPr>
          </w:p>
          <w:p w14:paraId="471F4C7B">
            <w:pPr>
              <w:pStyle w:val="8"/>
            </w:pPr>
          </w:p>
          <w:p w14:paraId="16C5ECC4">
            <w:pPr>
              <w:pStyle w:val="8"/>
            </w:pPr>
          </w:p>
          <w:p w14:paraId="4218EC20">
            <w:pPr>
              <w:pStyle w:val="8"/>
            </w:pPr>
          </w:p>
          <w:p w14:paraId="3DDC4BDA">
            <w:pPr>
              <w:pStyle w:val="8"/>
            </w:pPr>
          </w:p>
        </w:tc>
      </w:tr>
    </w:tbl>
    <w:p w14:paraId="2A92FE60">
      <w:pPr>
        <w:pStyle w:val="71"/>
        <w:adjustRightInd w:val="0"/>
        <w:snapToGrid w:val="0"/>
        <w:spacing w:after="0" w:line="240" w:lineRule="auto"/>
        <w:ind w:firstLine="482"/>
        <w:jc w:val="center"/>
        <w:rPr>
          <w:rFonts w:ascii="Times New Roman" w:hAnsi="Times New Roman"/>
          <w:b/>
          <w:sz w:val="24"/>
          <w:szCs w:val="24"/>
          <w:lang w:eastAsia="zh-CN"/>
        </w:rPr>
        <w:sectPr>
          <w:pgSz w:w="11906" w:h="16838"/>
          <w:pgMar w:top="1701" w:right="1531" w:bottom="1701" w:left="1531" w:header="851" w:footer="1077" w:gutter="0"/>
          <w:pgNumType w:start="1"/>
          <w:cols w:space="720" w:num="1"/>
          <w:docGrid w:linePitch="312" w:charSpace="0"/>
        </w:sectPr>
      </w:pPr>
    </w:p>
    <w:p w14:paraId="5B14C7F6">
      <w:pPr>
        <w:pStyle w:val="8"/>
        <w:spacing w:before="0" w:after="0" w:line="240" w:lineRule="auto"/>
        <w:ind w:right="0"/>
        <w:jc w:val="center"/>
        <w:rPr>
          <w:rFonts w:eastAsia="黑体"/>
          <w:sz w:val="21"/>
          <w:szCs w:val="21"/>
        </w:rPr>
      </w:pPr>
      <w:r>
        <w:rPr>
          <w:rFonts w:eastAsia="黑体"/>
          <w:sz w:val="21"/>
          <w:szCs w:val="21"/>
        </w:rPr>
        <w:t>表1-8  项目与安康市“三线一单”管控要求符合性分析一览表</w:t>
      </w:r>
    </w:p>
    <w:tbl>
      <w:tblPr>
        <w:tblStyle w:val="26"/>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162"/>
        <w:gridCol w:w="1162"/>
        <w:gridCol w:w="6581"/>
        <w:gridCol w:w="2025"/>
        <w:gridCol w:w="1167"/>
      </w:tblGrid>
      <w:tr w14:paraId="1B70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pct"/>
            <w:gridSpan w:val="3"/>
            <w:vAlign w:val="center"/>
          </w:tcPr>
          <w:p w14:paraId="4748038E">
            <w:pPr>
              <w:pStyle w:val="69"/>
              <w:rPr>
                <w:szCs w:val="21"/>
              </w:rPr>
            </w:pPr>
            <w:r>
              <w:rPr>
                <w:szCs w:val="21"/>
              </w:rPr>
              <w:t>管控单元</w:t>
            </w:r>
          </w:p>
        </w:tc>
        <w:tc>
          <w:tcPr>
            <w:tcW w:w="2470" w:type="pct"/>
            <w:vAlign w:val="center"/>
          </w:tcPr>
          <w:p w14:paraId="30BD3A99">
            <w:pPr>
              <w:pStyle w:val="69"/>
              <w:rPr>
                <w:szCs w:val="21"/>
              </w:rPr>
            </w:pPr>
            <w:r>
              <w:rPr>
                <w:szCs w:val="21"/>
              </w:rPr>
              <w:t>管控要求</w:t>
            </w:r>
          </w:p>
        </w:tc>
        <w:tc>
          <w:tcPr>
            <w:tcW w:w="760" w:type="pct"/>
            <w:vAlign w:val="center"/>
          </w:tcPr>
          <w:p w14:paraId="667DDB84">
            <w:pPr>
              <w:tabs>
                <w:tab w:val="left" w:pos="265"/>
              </w:tabs>
              <w:autoSpaceDE w:val="0"/>
              <w:autoSpaceDN w:val="0"/>
              <w:rPr>
                <w:szCs w:val="21"/>
              </w:rPr>
            </w:pPr>
            <w:r>
              <w:rPr>
                <w:szCs w:val="21"/>
              </w:rPr>
              <w:t>本项目情况</w:t>
            </w:r>
          </w:p>
        </w:tc>
        <w:tc>
          <w:tcPr>
            <w:tcW w:w="438" w:type="pct"/>
            <w:vAlign w:val="center"/>
          </w:tcPr>
          <w:p w14:paraId="055B524A">
            <w:pPr>
              <w:pStyle w:val="69"/>
              <w:rPr>
                <w:szCs w:val="21"/>
              </w:rPr>
            </w:pPr>
            <w:r>
              <w:rPr>
                <w:szCs w:val="21"/>
              </w:rPr>
              <w:t>是否符合</w:t>
            </w:r>
          </w:p>
        </w:tc>
      </w:tr>
      <w:tr w14:paraId="0BA8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460" w:type="pct"/>
            <w:vMerge w:val="restart"/>
            <w:vAlign w:val="center"/>
          </w:tcPr>
          <w:p w14:paraId="48DBA063">
            <w:pPr>
              <w:pStyle w:val="69"/>
              <w:rPr>
                <w:kern w:val="0"/>
                <w:szCs w:val="21"/>
              </w:rPr>
            </w:pPr>
            <w:r>
              <w:rPr>
                <w:kern w:val="0"/>
                <w:szCs w:val="21"/>
              </w:rPr>
              <w:t>安 康</w:t>
            </w:r>
          </w:p>
          <w:p w14:paraId="2CA4D234">
            <w:pPr>
              <w:pStyle w:val="69"/>
              <w:rPr>
                <w:kern w:val="0"/>
                <w:szCs w:val="21"/>
              </w:rPr>
            </w:pPr>
            <w:r>
              <w:rPr>
                <w:kern w:val="0"/>
                <w:szCs w:val="21"/>
              </w:rPr>
              <w:t>高 新</w:t>
            </w:r>
          </w:p>
          <w:p w14:paraId="4A20DF5E">
            <w:pPr>
              <w:pStyle w:val="69"/>
              <w:rPr>
                <w:kern w:val="0"/>
                <w:szCs w:val="21"/>
              </w:rPr>
            </w:pPr>
            <w:r>
              <w:rPr>
                <w:kern w:val="0"/>
                <w:szCs w:val="21"/>
              </w:rPr>
              <w:t>技 术</w:t>
            </w:r>
          </w:p>
          <w:p w14:paraId="6A26081D">
            <w:pPr>
              <w:pStyle w:val="69"/>
              <w:rPr>
                <w:kern w:val="0"/>
                <w:szCs w:val="21"/>
              </w:rPr>
            </w:pPr>
            <w:r>
              <w:rPr>
                <w:kern w:val="0"/>
                <w:szCs w:val="21"/>
              </w:rPr>
              <w:t>产 业</w:t>
            </w:r>
          </w:p>
          <w:p w14:paraId="5012411D">
            <w:pPr>
              <w:pStyle w:val="69"/>
              <w:rPr>
                <w:kern w:val="0"/>
                <w:szCs w:val="21"/>
              </w:rPr>
            </w:pPr>
            <w:r>
              <w:rPr>
                <w:kern w:val="0"/>
                <w:szCs w:val="21"/>
              </w:rPr>
              <w:t>开 发</w:t>
            </w:r>
          </w:p>
          <w:p w14:paraId="6758C3AF">
            <w:pPr>
              <w:pStyle w:val="69"/>
              <w:rPr>
                <w:szCs w:val="21"/>
              </w:rPr>
            </w:pPr>
            <w:r>
              <w:rPr>
                <w:kern w:val="0"/>
                <w:szCs w:val="21"/>
              </w:rPr>
              <w:t>区</w:t>
            </w:r>
          </w:p>
        </w:tc>
        <w:tc>
          <w:tcPr>
            <w:tcW w:w="436" w:type="pct"/>
            <w:vMerge w:val="restart"/>
            <w:vAlign w:val="center"/>
          </w:tcPr>
          <w:p w14:paraId="5357FBB9">
            <w:pPr>
              <w:pStyle w:val="69"/>
              <w:rPr>
                <w:kern w:val="0"/>
                <w:szCs w:val="21"/>
              </w:rPr>
            </w:pPr>
            <w:r>
              <w:rPr>
                <w:kern w:val="0"/>
                <w:szCs w:val="21"/>
              </w:rPr>
              <w:t>大 气</w:t>
            </w:r>
          </w:p>
          <w:p w14:paraId="7160B84D">
            <w:pPr>
              <w:pStyle w:val="69"/>
              <w:rPr>
                <w:kern w:val="0"/>
                <w:szCs w:val="21"/>
              </w:rPr>
            </w:pPr>
            <w:r>
              <w:rPr>
                <w:kern w:val="0"/>
                <w:szCs w:val="21"/>
              </w:rPr>
              <w:t>环 境</w:t>
            </w:r>
          </w:p>
          <w:p w14:paraId="268B68D8">
            <w:pPr>
              <w:pStyle w:val="69"/>
              <w:rPr>
                <w:kern w:val="0"/>
                <w:szCs w:val="21"/>
              </w:rPr>
            </w:pPr>
            <w:r>
              <w:rPr>
                <w:kern w:val="0"/>
                <w:szCs w:val="21"/>
              </w:rPr>
              <w:t>受 体</w:t>
            </w:r>
          </w:p>
          <w:p w14:paraId="4D41FE82">
            <w:pPr>
              <w:pStyle w:val="69"/>
              <w:rPr>
                <w:kern w:val="0"/>
                <w:szCs w:val="21"/>
              </w:rPr>
            </w:pPr>
            <w:r>
              <w:rPr>
                <w:kern w:val="0"/>
                <w:szCs w:val="21"/>
              </w:rPr>
              <w:t>敏 感</w:t>
            </w:r>
          </w:p>
          <w:p w14:paraId="77CDAB79">
            <w:pPr>
              <w:pStyle w:val="69"/>
              <w:rPr>
                <w:kern w:val="0"/>
                <w:szCs w:val="21"/>
              </w:rPr>
            </w:pPr>
            <w:r>
              <w:rPr>
                <w:kern w:val="0"/>
                <w:szCs w:val="21"/>
              </w:rPr>
              <w:t>重 点</w:t>
            </w:r>
          </w:p>
          <w:p w14:paraId="28383087">
            <w:pPr>
              <w:pStyle w:val="69"/>
              <w:rPr>
                <w:kern w:val="0"/>
                <w:szCs w:val="21"/>
              </w:rPr>
            </w:pPr>
            <w:r>
              <w:rPr>
                <w:kern w:val="0"/>
                <w:szCs w:val="21"/>
              </w:rPr>
              <w:t>管 控</w:t>
            </w:r>
          </w:p>
          <w:p w14:paraId="0EAA705B">
            <w:pPr>
              <w:pStyle w:val="69"/>
              <w:rPr>
                <w:szCs w:val="21"/>
              </w:rPr>
            </w:pPr>
            <w:r>
              <w:rPr>
                <w:kern w:val="0"/>
                <w:szCs w:val="21"/>
              </w:rPr>
              <w:t>区</w:t>
            </w:r>
          </w:p>
          <w:p w14:paraId="3BA50736">
            <w:pPr>
              <w:pStyle w:val="69"/>
              <w:rPr>
                <w:szCs w:val="21"/>
              </w:rPr>
            </w:pPr>
          </w:p>
        </w:tc>
        <w:tc>
          <w:tcPr>
            <w:tcW w:w="436" w:type="pct"/>
            <w:vAlign w:val="center"/>
          </w:tcPr>
          <w:p w14:paraId="45126647">
            <w:pPr>
              <w:pStyle w:val="69"/>
              <w:rPr>
                <w:szCs w:val="21"/>
              </w:rPr>
            </w:pPr>
            <w:r>
              <w:rPr>
                <w:szCs w:val="21"/>
              </w:rPr>
              <w:t>空间布局约束</w:t>
            </w:r>
          </w:p>
        </w:tc>
        <w:tc>
          <w:tcPr>
            <w:tcW w:w="2470" w:type="pct"/>
            <w:vAlign w:val="center"/>
          </w:tcPr>
          <w:p w14:paraId="6DEA8C74">
            <w:pPr>
              <w:pStyle w:val="69"/>
              <w:jc w:val="both"/>
              <w:rPr>
                <w:szCs w:val="21"/>
              </w:rPr>
            </w:pPr>
            <w:r>
              <w:rPr>
                <w:szCs w:val="21"/>
              </w:rPr>
              <w:t>1.严格控制新增《陕西省“两高”项目管理暂行目录》行业项目（民生等项目除外，后续对“两高”范围国家如有新规定的，从其规定）。2.推动重污染企业搬迁入园或依法关闭。实施工业企业退城搬迁改造。3.新建居民住宅、商业综合体等必须使用清洁化能源取暖。4.城市建成区禁止建设、使用燃煤锅炉</w:t>
            </w:r>
          </w:p>
        </w:tc>
        <w:tc>
          <w:tcPr>
            <w:tcW w:w="760" w:type="pct"/>
            <w:vMerge w:val="restart"/>
            <w:vAlign w:val="center"/>
          </w:tcPr>
          <w:p w14:paraId="5A1B3619">
            <w:pPr>
              <w:tabs>
                <w:tab w:val="left" w:pos="265"/>
              </w:tabs>
              <w:autoSpaceDE w:val="0"/>
              <w:autoSpaceDN w:val="0"/>
              <w:rPr>
                <w:szCs w:val="21"/>
              </w:rPr>
            </w:pPr>
            <w:r>
              <w:rPr>
                <w:szCs w:val="21"/>
              </w:rPr>
              <w:t>本项目为</w:t>
            </w:r>
            <w:r>
              <w:rPr>
                <w:rFonts w:hint="eastAsia"/>
                <w:szCs w:val="21"/>
              </w:rPr>
              <w:t>市政道路项目</w:t>
            </w:r>
            <w:r>
              <w:rPr>
                <w:szCs w:val="21"/>
              </w:rPr>
              <w:t>，不属于“两高”范围内项目，不涉及燃煤锅炉，建设内容无服务设施，不涉及餐饮服务等。</w:t>
            </w:r>
          </w:p>
        </w:tc>
        <w:tc>
          <w:tcPr>
            <w:tcW w:w="438" w:type="pct"/>
            <w:vMerge w:val="restart"/>
            <w:vAlign w:val="center"/>
          </w:tcPr>
          <w:p w14:paraId="60F755F1">
            <w:pPr>
              <w:pStyle w:val="69"/>
              <w:rPr>
                <w:szCs w:val="21"/>
              </w:rPr>
            </w:pPr>
            <w:r>
              <w:rPr>
                <w:szCs w:val="21"/>
              </w:rPr>
              <w:t>符合</w:t>
            </w:r>
          </w:p>
        </w:tc>
      </w:tr>
      <w:tr w14:paraId="1223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460" w:type="pct"/>
            <w:vMerge w:val="continue"/>
            <w:vAlign w:val="center"/>
          </w:tcPr>
          <w:p w14:paraId="676E26E7">
            <w:pPr>
              <w:pStyle w:val="69"/>
              <w:rPr>
                <w:szCs w:val="21"/>
              </w:rPr>
            </w:pPr>
          </w:p>
        </w:tc>
        <w:tc>
          <w:tcPr>
            <w:tcW w:w="436" w:type="pct"/>
            <w:vMerge w:val="continue"/>
            <w:vAlign w:val="center"/>
          </w:tcPr>
          <w:p w14:paraId="07D76229">
            <w:pPr>
              <w:pStyle w:val="69"/>
              <w:rPr>
                <w:szCs w:val="21"/>
              </w:rPr>
            </w:pPr>
          </w:p>
        </w:tc>
        <w:tc>
          <w:tcPr>
            <w:tcW w:w="436" w:type="pct"/>
            <w:vAlign w:val="center"/>
          </w:tcPr>
          <w:p w14:paraId="6CDD6422">
            <w:pPr>
              <w:pStyle w:val="69"/>
              <w:rPr>
                <w:szCs w:val="21"/>
              </w:rPr>
            </w:pPr>
            <w:r>
              <w:rPr>
                <w:szCs w:val="21"/>
              </w:rPr>
              <w:t>污染物排放管控</w:t>
            </w:r>
          </w:p>
        </w:tc>
        <w:tc>
          <w:tcPr>
            <w:tcW w:w="2470" w:type="pct"/>
            <w:vAlign w:val="center"/>
          </w:tcPr>
          <w:p w14:paraId="045750C2">
            <w:pPr>
              <w:pStyle w:val="69"/>
              <w:jc w:val="both"/>
              <w:rPr>
                <w:szCs w:val="21"/>
              </w:rPr>
            </w:pPr>
            <w:r>
              <w:rPr>
                <w:szCs w:val="21"/>
              </w:rPr>
              <w:t>1.城市建成区产生油烟的餐饮服务单位全部安装油烟净化装置并保持正常运行和定期维护。深入推进餐饮油烟污染治理，拟开设餐饮服务的建筑应设计建设专用烟道。2.持续因地制宜实施“煤改气”、“油改气”、电能、地热、生物质等清洁能源取暖措施。3.鼓励将老旧车辆和非道路移动机械替换为清洁能源车辆。推进新能源或清洁能源汽车使用。4.城市建成区划定范围内禁止露天烧烤。</w:t>
            </w:r>
          </w:p>
        </w:tc>
        <w:tc>
          <w:tcPr>
            <w:tcW w:w="760" w:type="pct"/>
            <w:vMerge w:val="continue"/>
            <w:vAlign w:val="center"/>
          </w:tcPr>
          <w:p w14:paraId="24C1E53D">
            <w:pPr>
              <w:pStyle w:val="69"/>
              <w:rPr>
                <w:szCs w:val="21"/>
              </w:rPr>
            </w:pPr>
          </w:p>
        </w:tc>
        <w:tc>
          <w:tcPr>
            <w:tcW w:w="438" w:type="pct"/>
            <w:vMerge w:val="continue"/>
            <w:vAlign w:val="center"/>
          </w:tcPr>
          <w:p w14:paraId="3D8428EE">
            <w:pPr>
              <w:pStyle w:val="69"/>
              <w:rPr>
                <w:szCs w:val="21"/>
              </w:rPr>
            </w:pPr>
          </w:p>
        </w:tc>
      </w:tr>
      <w:tr w14:paraId="01E3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460" w:type="pct"/>
            <w:vMerge w:val="continue"/>
            <w:vAlign w:val="center"/>
          </w:tcPr>
          <w:p w14:paraId="6608F2BA">
            <w:pPr>
              <w:pStyle w:val="69"/>
              <w:rPr>
                <w:szCs w:val="21"/>
              </w:rPr>
            </w:pPr>
          </w:p>
        </w:tc>
        <w:tc>
          <w:tcPr>
            <w:tcW w:w="436" w:type="pct"/>
            <w:vMerge w:val="restart"/>
            <w:vAlign w:val="center"/>
          </w:tcPr>
          <w:p w14:paraId="0054C62E">
            <w:pPr>
              <w:pStyle w:val="69"/>
              <w:rPr>
                <w:szCs w:val="21"/>
              </w:rPr>
            </w:pPr>
            <w:r>
              <w:rPr>
                <w:szCs w:val="21"/>
              </w:rPr>
              <w:t>水</w:t>
            </w:r>
          </w:p>
          <w:p w14:paraId="4F4388CF">
            <w:pPr>
              <w:pStyle w:val="69"/>
              <w:rPr>
                <w:szCs w:val="21"/>
              </w:rPr>
            </w:pPr>
            <w:r>
              <w:rPr>
                <w:szCs w:val="21"/>
              </w:rPr>
              <w:t>环 境</w:t>
            </w:r>
          </w:p>
          <w:p w14:paraId="6CE44C95">
            <w:pPr>
              <w:pStyle w:val="69"/>
              <w:rPr>
                <w:szCs w:val="21"/>
              </w:rPr>
            </w:pPr>
            <w:r>
              <w:rPr>
                <w:szCs w:val="21"/>
              </w:rPr>
              <w:t>城 镇</w:t>
            </w:r>
          </w:p>
          <w:p w14:paraId="0D5AE120">
            <w:pPr>
              <w:pStyle w:val="69"/>
              <w:rPr>
                <w:szCs w:val="21"/>
              </w:rPr>
            </w:pPr>
            <w:r>
              <w:rPr>
                <w:szCs w:val="21"/>
              </w:rPr>
              <w:t>生 活</w:t>
            </w:r>
          </w:p>
          <w:p w14:paraId="727B38CD">
            <w:pPr>
              <w:pStyle w:val="69"/>
              <w:rPr>
                <w:szCs w:val="21"/>
              </w:rPr>
            </w:pPr>
            <w:r>
              <w:rPr>
                <w:szCs w:val="21"/>
              </w:rPr>
              <w:t>污 染</w:t>
            </w:r>
          </w:p>
          <w:p w14:paraId="7C3F08CE">
            <w:pPr>
              <w:pStyle w:val="69"/>
              <w:rPr>
                <w:szCs w:val="21"/>
              </w:rPr>
            </w:pPr>
            <w:r>
              <w:rPr>
                <w:szCs w:val="21"/>
              </w:rPr>
              <w:t>重 点</w:t>
            </w:r>
          </w:p>
          <w:p w14:paraId="1941BC40">
            <w:pPr>
              <w:pStyle w:val="69"/>
              <w:rPr>
                <w:szCs w:val="21"/>
              </w:rPr>
            </w:pPr>
            <w:r>
              <w:rPr>
                <w:szCs w:val="21"/>
              </w:rPr>
              <w:t>管 控</w:t>
            </w:r>
          </w:p>
          <w:p w14:paraId="09DFAF02">
            <w:pPr>
              <w:pStyle w:val="69"/>
              <w:rPr>
                <w:szCs w:val="21"/>
              </w:rPr>
            </w:pPr>
            <w:r>
              <w:rPr>
                <w:szCs w:val="21"/>
              </w:rPr>
              <w:t>区</w:t>
            </w:r>
          </w:p>
        </w:tc>
        <w:tc>
          <w:tcPr>
            <w:tcW w:w="436" w:type="pct"/>
            <w:vAlign w:val="center"/>
          </w:tcPr>
          <w:p w14:paraId="65498557">
            <w:pPr>
              <w:pStyle w:val="69"/>
              <w:rPr>
                <w:szCs w:val="21"/>
              </w:rPr>
            </w:pPr>
            <w:r>
              <w:rPr>
                <w:szCs w:val="21"/>
              </w:rPr>
              <w:t>空间布局约束</w:t>
            </w:r>
          </w:p>
        </w:tc>
        <w:tc>
          <w:tcPr>
            <w:tcW w:w="2470" w:type="pct"/>
            <w:vAlign w:val="center"/>
          </w:tcPr>
          <w:p w14:paraId="508D3B7D">
            <w:pPr>
              <w:pStyle w:val="69"/>
              <w:rPr>
                <w:szCs w:val="21"/>
              </w:rPr>
            </w:pPr>
            <w:r>
              <w:rPr>
                <w:szCs w:val="21"/>
              </w:rPr>
              <w:t>1.推进城镇污水处理设施建设与提标改造，提高污水收集率和处理率。建设人工湿地水质净化工程，对处理达标后的尾水进一步净化。完善镇级污水处理设施运行和保障机制。到 2025 年，实现镇级污水处理设施基本全覆盖。新建污水处理设施配套管网应同步设计、同步建设、同步投运，积极探索“厂网一体化”机制。</w:t>
            </w:r>
          </w:p>
        </w:tc>
        <w:tc>
          <w:tcPr>
            <w:tcW w:w="760" w:type="pct"/>
            <w:vMerge w:val="restart"/>
            <w:vAlign w:val="center"/>
          </w:tcPr>
          <w:p w14:paraId="552FFEEE">
            <w:pPr>
              <w:pStyle w:val="69"/>
              <w:rPr>
                <w:szCs w:val="21"/>
              </w:rPr>
            </w:pPr>
            <w:r>
              <w:rPr>
                <w:szCs w:val="21"/>
              </w:rPr>
              <w:t>本项目为</w:t>
            </w:r>
            <w:r>
              <w:rPr>
                <w:rFonts w:hint="eastAsia"/>
                <w:szCs w:val="21"/>
              </w:rPr>
              <w:t>市政道路项目</w:t>
            </w:r>
            <w:r>
              <w:rPr>
                <w:szCs w:val="21"/>
              </w:rPr>
              <w:t>，施工期对水污染物提出防治措施，确保达标排放，项目在建设内容包括了雨污水管网的建设，运营期不产生污染物</w:t>
            </w:r>
          </w:p>
        </w:tc>
        <w:tc>
          <w:tcPr>
            <w:tcW w:w="438" w:type="pct"/>
            <w:vMerge w:val="restart"/>
            <w:vAlign w:val="center"/>
          </w:tcPr>
          <w:p w14:paraId="2D53C61B">
            <w:pPr>
              <w:pStyle w:val="69"/>
              <w:rPr>
                <w:szCs w:val="21"/>
              </w:rPr>
            </w:pPr>
            <w:r>
              <w:rPr>
                <w:szCs w:val="21"/>
              </w:rPr>
              <w:t>符合</w:t>
            </w:r>
          </w:p>
        </w:tc>
      </w:tr>
      <w:tr w14:paraId="68C2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8" w:hRule="atLeast"/>
          <w:jc w:val="center"/>
        </w:trPr>
        <w:tc>
          <w:tcPr>
            <w:tcW w:w="460" w:type="pct"/>
            <w:vMerge w:val="continue"/>
            <w:vAlign w:val="center"/>
          </w:tcPr>
          <w:p w14:paraId="1A051275">
            <w:pPr>
              <w:pStyle w:val="69"/>
              <w:rPr>
                <w:szCs w:val="21"/>
              </w:rPr>
            </w:pPr>
          </w:p>
        </w:tc>
        <w:tc>
          <w:tcPr>
            <w:tcW w:w="436" w:type="pct"/>
            <w:vMerge w:val="continue"/>
            <w:vAlign w:val="center"/>
          </w:tcPr>
          <w:p w14:paraId="4FA1CBC0">
            <w:pPr>
              <w:pStyle w:val="69"/>
              <w:rPr>
                <w:szCs w:val="21"/>
              </w:rPr>
            </w:pPr>
          </w:p>
        </w:tc>
        <w:tc>
          <w:tcPr>
            <w:tcW w:w="436" w:type="pct"/>
            <w:vAlign w:val="center"/>
          </w:tcPr>
          <w:p w14:paraId="0D126CE7">
            <w:pPr>
              <w:pStyle w:val="69"/>
              <w:rPr>
                <w:szCs w:val="21"/>
              </w:rPr>
            </w:pPr>
            <w:r>
              <w:rPr>
                <w:szCs w:val="21"/>
              </w:rPr>
              <w:t>污染物排放管控</w:t>
            </w:r>
          </w:p>
        </w:tc>
        <w:tc>
          <w:tcPr>
            <w:tcW w:w="2470" w:type="pct"/>
            <w:vAlign w:val="center"/>
          </w:tcPr>
          <w:p w14:paraId="16E89FD4">
            <w:pPr>
              <w:pStyle w:val="69"/>
              <w:jc w:val="left"/>
              <w:rPr>
                <w:szCs w:val="21"/>
              </w:rPr>
            </w:pPr>
            <w:r>
              <w:rPr>
                <w:szCs w:val="21"/>
              </w:rPr>
              <w:t>1.加强城镇污水收集处理设施建设与提标改造。全面推进城镇生活污染治理。适时开展《汉丹江流域（陕西段）重点行业水污染物排放限值》（DB61/942-2014)实施评估工作，排入封闭式水域的污水处理厂因地制宜强化除磷脱氮工艺。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4.加强流域排污口长效监管。建立责任明晰、设置合理、管理规范的排污口长效监督管理机制，推进“排污体-如何排污口-排污管线-污染源”水生态全链条管理制度。落实入河排污口设置审批制度，分流域开展入河排污口排查整治</w:t>
            </w:r>
          </w:p>
        </w:tc>
        <w:tc>
          <w:tcPr>
            <w:tcW w:w="760" w:type="pct"/>
            <w:vMerge w:val="continue"/>
            <w:vAlign w:val="center"/>
          </w:tcPr>
          <w:p w14:paraId="75484D8C">
            <w:pPr>
              <w:pStyle w:val="69"/>
              <w:rPr>
                <w:szCs w:val="21"/>
              </w:rPr>
            </w:pPr>
          </w:p>
        </w:tc>
        <w:tc>
          <w:tcPr>
            <w:tcW w:w="438" w:type="pct"/>
            <w:vMerge w:val="continue"/>
            <w:vAlign w:val="center"/>
          </w:tcPr>
          <w:p w14:paraId="71D3E346">
            <w:pPr>
              <w:pStyle w:val="69"/>
              <w:rPr>
                <w:szCs w:val="21"/>
              </w:rPr>
            </w:pPr>
          </w:p>
        </w:tc>
      </w:tr>
      <w:tr w14:paraId="28A7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60" w:type="pct"/>
            <w:vMerge w:val="continue"/>
            <w:vAlign w:val="center"/>
          </w:tcPr>
          <w:p w14:paraId="1AC535E0">
            <w:pPr>
              <w:pStyle w:val="69"/>
              <w:rPr>
                <w:szCs w:val="21"/>
              </w:rPr>
            </w:pPr>
          </w:p>
        </w:tc>
        <w:tc>
          <w:tcPr>
            <w:tcW w:w="436" w:type="pct"/>
            <w:vMerge w:val="restart"/>
            <w:vAlign w:val="center"/>
          </w:tcPr>
          <w:p w14:paraId="1AB09C42">
            <w:pPr>
              <w:pStyle w:val="69"/>
              <w:rPr>
                <w:szCs w:val="21"/>
              </w:rPr>
            </w:pPr>
            <w:r>
              <w:rPr>
                <w:szCs w:val="21"/>
              </w:rPr>
              <w:t>安 康</w:t>
            </w:r>
          </w:p>
          <w:p w14:paraId="04674734">
            <w:pPr>
              <w:pStyle w:val="69"/>
              <w:rPr>
                <w:szCs w:val="21"/>
              </w:rPr>
            </w:pPr>
            <w:r>
              <w:rPr>
                <w:szCs w:val="21"/>
              </w:rPr>
              <w:t>高 新</w:t>
            </w:r>
          </w:p>
          <w:p w14:paraId="0923445A">
            <w:pPr>
              <w:pStyle w:val="69"/>
              <w:rPr>
                <w:szCs w:val="21"/>
              </w:rPr>
            </w:pPr>
            <w:r>
              <w:rPr>
                <w:szCs w:val="21"/>
              </w:rPr>
              <w:t>技 术</w:t>
            </w:r>
          </w:p>
          <w:p w14:paraId="2901D57D">
            <w:pPr>
              <w:pStyle w:val="69"/>
              <w:rPr>
                <w:szCs w:val="21"/>
              </w:rPr>
            </w:pPr>
            <w:r>
              <w:rPr>
                <w:szCs w:val="21"/>
              </w:rPr>
              <w:t>产 业</w:t>
            </w:r>
          </w:p>
          <w:p w14:paraId="4667D701">
            <w:pPr>
              <w:pStyle w:val="69"/>
              <w:rPr>
                <w:szCs w:val="21"/>
              </w:rPr>
            </w:pPr>
            <w:r>
              <w:rPr>
                <w:szCs w:val="21"/>
              </w:rPr>
              <w:t>开 发</w:t>
            </w:r>
          </w:p>
          <w:p w14:paraId="18B01CDA">
            <w:pPr>
              <w:pStyle w:val="69"/>
              <w:rPr>
                <w:szCs w:val="21"/>
              </w:rPr>
            </w:pPr>
            <w:r>
              <w:rPr>
                <w:szCs w:val="21"/>
              </w:rPr>
              <w:t>区、土</w:t>
            </w:r>
          </w:p>
          <w:p w14:paraId="374FA8B8">
            <w:pPr>
              <w:pStyle w:val="69"/>
              <w:rPr>
                <w:szCs w:val="21"/>
              </w:rPr>
            </w:pPr>
            <w:r>
              <w:rPr>
                <w:szCs w:val="21"/>
              </w:rPr>
              <w:t>地 资</w:t>
            </w:r>
          </w:p>
          <w:p w14:paraId="0608664D">
            <w:pPr>
              <w:pStyle w:val="69"/>
              <w:rPr>
                <w:szCs w:val="21"/>
              </w:rPr>
            </w:pPr>
            <w:r>
              <w:rPr>
                <w:szCs w:val="21"/>
              </w:rPr>
              <w:t>源 重</w:t>
            </w:r>
          </w:p>
          <w:p w14:paraId="0B494815">
            <w:pPr>
              <w:pStyle w:val="69"/>
              <w:rPr>
                <w:szCs w:val="21"/>
              </w:rPr>
            </w:pPr>
            <w:r>
              <w:rPr>
                <w:szCs w:val="21"/>
              </w:rPr>
              <w:t>点 管</w:t>
            </w:r>
          </w:p>
          <w:p w14:paraId="155EF246">
            <w:pPr>
              <w:pStyle w:val="69"/>
              <w:rPr>
                <w:szCs w:val="21"/>
              </w:rPr>
            </w:pPr>
            <w:r>
              <w:rPr>
                <w:szCs w:val="21"/>
              </w:rPr>
              <w:t>控区、</w:t>
            </w:r>
          </w:p>
          <w:p w14:paraId="76811415">
            <w:pPr>
              <w:pStyle w:val="69"/>
              <w:rPr>
                <w:szCs w:val="21"/>
              </w:rPr>
            </w:pPr>
            <w:r>
              <w:rPr>
                <w:szCs w:val="21"/>
              </w:rPr>
              <w:t>高 污</w:t>
            </w:r>
          </w:p>
          <w:p w14:paraId="50EC73B9">
            <w:pPr>
              <w:pStyle w:val="69"/>
              <w:rPr>
                <w:szCs w:val="21"/>
              </w:rPr>
            </w:pPr>
            <w:r>
              <w:rPr>
                <w:szCs w:val="21"/>
              </w:rPr>
              <w:t>染 燃</w:t>
            </w:r>
          </w:p>
          <w:p w14:paraId="1A20510F">
            <w:pPr>
              <w:pStyle w:val="69"/>
              <w:rPr>
                <w:szCs w:val="21"/>
              </w:rPr>
            </w:pPr>
            <w:r>
              <w:rPr>
                <w:szCs w:val="21"/>
              </w:rPr>
              <w:t>料 禁</w:t>
            </w:r>
          </w:p>
          <w:p w14:paraId="64D25F8C">
            <w:pPr>
              <w:pStyle w:val="69"/>
              <w:rPr>
                <w:szCs w:val="21"/>
              </w:rPr>
            </w:pPr>
            <w:r>
              <w:rPr>
                <w:szCs w:val="21"/>
              </w:rPr>
              <w:t>燃区</w:t>
            </w:r>
          </w:p>
        </w:tc>
        <w:tc>
          <w:tcPr>
            <w:tcW w:w="436" w:type="pct"/>
            <w:vAlign w:val="center"/>
          </w:tcPr>
          <w:p w14:paraId="75A8796A">
            <w:pPr>
              <w:pStyle w:val="69"/>
              <w:rPr>
                <w:szCs w:val="21"/>
              </w:rPr>
            </w:pPr>
            <w:r>
              <w:rPr>
                <w:szCs w:val="21"/>
              </w:rPr>
              <w:t>空间布局约束</w:t>
            </w:r>
          </w:p>
        </w:tc>
        <w:tc>
          <w:tcPr>
            <w:tcW w:w="2470" w:type="pct"/>
            <w:vAlign w:val="center"/>
          </w:tcPr>
          <w:p w14:paraId="5B46C580">
            <w:pPr>
              <w:pStyle w:val="69"/>
              <w:jc w:val="both"/>
              <w:rPr>
                <w:szCs w:val="21"/>
              </w:rPr>
            </w:pPr>
            <w:r>
              <w:rPr>
                <w:szCs w:val="21"/>
              </w:rPr>
              <w:t>1.以新兴工业、科技产业和特色服务业为发展方向，以富硒食品、生物医药、新型材料、特色服务及环保产业为主导。2.现有水泥企业应逐步搬出开发区，硫酸、冶炼及水泥生产等高耗能、高污染企业不得入区。3.执行本清单安康市生态环境要素分区总体准入要求中“5.1大气环境受体敏感重点管控区的空间布局约束”。4.执行本清单安康市生态环境要素分区总体准入要求中“5.2 大气环境高排放重点管控区的空间布局约束”。5.执行本清单安康市生态环境要素分区总体准入要求中“5.5 水环境城镇生活污染重点管控区的空间布局约束”。6.农用地优先保护区执行本清单安康市生态环境要素分区总体准入要求中“4.2 农用地优先保护区的空间布局约束”。7.农用地污染风险重点管控区执行本清单安康市生态环境要素分区总体准入要求中“5.6 农用地污染风险重点管控区的空间布局约束”。</w:t>
            </w:r>
          </w:p>
        </w:tc>
        <w:tc>
          <w:tcPr>
            <w:tcW w:w="760" w:type="pct"/>
            <w:vMerge w:val="restart"/>
            <w:vAlign w:val="center"/>
          </w:tcPr>
          <w:p w14:paraId="4513B237">
            <w:pPr>
              <w:pStyle w:val="69"/>
              <w:rPr>
                <w:szCs w:val="21"/>
              </w:rPr>
            </w:pPr>
            <w:r>
              <w:rPr>
                <w:szCs w:val="21"/>
              </w:rPr>
              <w:t>本项目为</w:t>
            </w:r>
            <w:r>
              <w:rPr>
                <w:rFonts w:hint="eastAsia"/>
                <w:szCs w:val="21"/>
              </w:rPr>
              <w:t>市政道路项目</w:t>
            </w:r>
            <w:r>
              <w:rPr>
                <w:szCs w:val="21"/>
              </w:rPr>
              <w:t>，不属于“两高”项目，施工期对水污染物提出防治措施，确保达标排放，项目在建设内容包括了雨污水管网的建设，运营期不产生污染物</w:t>
            </w:r>
          </w:p>
        </w:tc>
        <w:tc>
          <w:tcPr>
            <w:tcW w:w="438" w:type="pct"/>
            <w:vMerge w:val="restart"/>
            <w:vAlign w:val="center"/>
          </w:tcPr>
          <w:p w14:paraId="1FA8C558">
            <w:pPr>
              <w:pStyle w:val="69"/>
              <w:rPr>
                <w:szCs w:val="21"/>
              </w:rPr>
            </w:pPr>
            <w:r>
              <w:rPr>
                <w:szCs w:val="21"/>
              </w:rPr>
              <w:t>符合</w:t>
            </w:r>
          </w:p>
        </w:tc>
      </w:tr>
      <w:tr w14:paraId="0A64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60" w:type="pct"/>
            <w:vMerge w:val="continue"/>
            <w:vAlign w:val="center"/>
          </w:tcPr>
          <w:p w14:paraId="3D08359E">
            <w:pPr>
              <w:pStyle w:val="69"/>
              <w:rPr>
                <w:kern w:val="0"/>
                <w:szCs w:val="21"/>
              </w:rPr>
            </w:pPr>
          </w:p>
        </w:tc>
        <w:tc>
          <w:tcPr>
            <w:tcW w:w="436" w:type="pct"/>
            <w:vMerge w:val="continue"/>
            <w:vAlign w:val="center"/>
          </w:tcPr>
          <w:p w14:paraId="7EFDCE3A">
            <w:pPr>
              <w:pStyle w:val="69"/>
              <w:rPr>
                <w:szCs w:val="21"/>
              </w:rPr>
            </w:pPr>
          </w:p>
        </w:tc>
        <w:tc>
          <w:tcPr>
            <w:tcW w:w="436" w:type="pct"/>
            <w:vAlign w:val="center"/>
          </w:tcPr>
          <w:p w14:paraId="69DD937C">
            <w:pPr>
              <w:pStyle w:val="69"/>
              <w:rPr>
                <w:szCs w:val="21"/>
              </w:rPr>
            </w:pPr>
            <w:r>
              <w:rPr>
                <w:szCs w:val="21"/>
              </w:rPr>
              <w:t>污染物排放管控</w:t>
            </w:r>
          </w:p>
        </w:tc>
        <w:tc>
          <w:tcPr>
            <w:tcW w:w="2470" w:type="pct"/>
            <w:vAlign w:val="center"/>
          </w:tcPr>
          <w:p w14:paraId="746FE52B">
            <w:pPr>
              <w:rPr>
                <w:szCs w:val="21"/>
              </w:rPr>
            </w:pPr>
            <w:r>
              <w:rPr>
                <w:szCs w:val="21"/>
              </w:rPr>
              <w:t>1.统筹考虑园区生产用热（汽），尽量使用清洁能源，如需建燃煤锅炉外排烟气必须经除尘、脱硫处理；2.执行本清单安康市生态环境要素分区总体准入要求中“5.1 大气环境受体敏感重点管控区的污染物排放管控”；3.执行本清单安康市生态环境要素分区总体准入要求中“5.2 大气环境高排放重点管控区的污染物排放管控”；4.执行本清单安康市生态环境要素分区总体准入要求中“5.5 水环境城镇生活污染重点管控区的污染物排放管控”。5.农用地污染风险重点管控区执行本清单安康市生态环境要素分区总体准入要求中“5.6 农用地污染风险重点管控区的污染物排放管控”。</w:t>
            </w:r>
          </w:p>
        </w:tc>
        <w:tc>
          <w:tcPr>
            <w:tcW w:w="760" w:type="pct"/>
            <w:vMerge w:val="continue"/>
            <w:vAlign w:val="center"/>
          </w:tcPr>
          <w:p w14:paraId="03B79CC2">
            <w:pPr>
              <w:pStyle w:val="69"/>
              <w:rPr>
                <w:szCs w:val="21"/>
              </w:rPr>
            </w:pPr>
          </w:p>
        </w:tc>
        <w:tc>
          <w:tcPr>
            <w:tcW w:w="438" w:type="pct"/>
            <w:vMerge w:val="continue"/>
            <w:vAlign w:val="center"/>
          </w:tcPr>
          <w:p w14:paraId="360574F3">
            <w:pPr>
              <w:pStyle w:val="69"/>
              <w:rPr>
                <w:szCs w:val="21"/>
              </w:rPr>
            </w:pPr>
          </w:p>
        </w:tc>
      </w:tr>
      <w:tr w14:paraId="64EF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60" w:type="pct"/>
            <w:vMerge w:val="continue"/>
            <w:vAlign w:val="center"/>
          </w:tcPr>
          <w:p w14:paraId="4948B514">
            <w:pPr>
              <w:pStyle w:val="69"/>
              <w:rPr>
                <w:kern w:val="0"/>
                <w:szCs w:val="21"/>
              </w:rPr>
            </w:pPr>
          </w:p>
        </w:tc>
        <w:tc>
          <w:tcPr>
            <w:tcW w:w="436" w:type="pct"/>
            <w:vMerge w:val="continue"/>
            <w:vAlign w:val="center"/>
          </w:tcPr>
          <w:p w14:paraId="05579D7B">
            <w:pPr>
              <w:pStyle w:val="69"/>
              <w:rPr>
                <w:szCs w:val="21"/>
              </w:rPr>
            </w:pPr>
          </w:p>
        </w:tc>
        <w:tc>
          <w:tcPr>
            <w:tcW w:w="436" w:type="pct"/>
            <w:vAlign w:val="center"/>
          </w:tcPr>
          <w:p w14:paraId="0D4129AA">
            <w:pPr>
              <w:pStyle w:val="69"/>
              <w:rPr>
                <w:szCs w:val="21"/>
              </w:rPr>
            </w:pPr>
            <w:r>
              <w:rPr>
                <w:szCs w:val="21"/>
              </w:rPr>
              <w:t>环 境</w:t>
            </w:r>
          </w:p>
          <w:p w14:paraId="17E81828">
            <w:pPr>
              <w:pStyle w:val="69"/>
              <w:rPr>
                <w:szCs w:val="21"/>
              </w:rPr>
            </w:pPr>
            <w:r>
              <w:rPr>
                <w:szCs w:val="21"/>
              </w:rPr>
              <w:t>风 险</w:t>
            </w:r>
          </w:p>
          <w:p w14:paraId="3DF36F41">
            <w:pPr>
              <w:pStyle w:val="69"/>
              <w:rPr>
                <w:szCs w:val="21"/>
              </w:rPr>
            </w:pPr>
            <w:r>
              <w:rPr>
                <w:szCs w:val="21"/>
              </w:rPr>
              <w:t>防控</w:t>
            </w:r>
          </w:p>
        </w:tc>
        <w:tc>
          <w:tcPr>
            <w:tcW w:w="2470" w:type="pct"/>
            <w:vAlign w:val="center"/>
          </w:tcPr>
          <w:p w14:paraId="3EFFD759">
            <w:pPr>
              <w:rPr>
                <w:szCs w:val="21"/>
              </w:rPr>
            </w:pPr>
            <w:r>
              <w:rPr>
                <w:szCs w:val="21"/>
              </w:rPr>
              <w:t>安康高新技术产业开发区 1.已在园区的企业，应检查风险防范措施、执行情况。尚未入驻的企业，应对危险源进行分析评价，提出相应风险管理措施和风险防范预案。园区应组织有关单位对企业风险管理措施和风险防范预案进行定期审查。2.农用地污染风险重点管控区执行本清单安康市生态环境要素分区总体准入要求中“5.6 农用地污染风险重点管控区的环境风险防控”。</w:t>
            </w:r>
          </w:p>
        </w:tc>
        <w:tc>
          <w:tcPr>
            <w:tcW w:w="760" w:type="pct"/>
            <w:vAlign w:val="center"/>
          </w:tcPr>
          <w:p w14:paraId="77F536CA">
            <w:pPr>
              <w:pStyle w:val="69"/>
              <w:rPr>
                <w:szCs w:val="21"/>
              </w:rPr>
            </w:pPr>
            <w:r>
              <w:rPr>
                <w:szCs w:val="21"/>
              </w:rPr>
              <w:t>本项目为</w:t>
            </w:r>
            <w:r>
              <w:rPr>
                <w:rFonts w:hint="eastAsia"/>
                <w:szCs w:val="21"/>
              </w:rPr>
              <w:t>市政道路项目</w:t>
            </w:r>
            <w:r>
              <w:rPr>
                <w:szCs w:val="21"/>
              </w:rPr>
              <w:t>，不属于上述要求的类型项目</w:t>
            </w:r>
          </w:p>
        </w:tc>
        <w:tc>
          <w:tcPr>
            <w:tcW w:w="438" w:type="pct"/>
            <w:vAlign w:val="center"/>
          </w:tcPr>
          <w:p w14:paraId="1543CBD6">
            <w:pPr>
              <w:pStyle w:val="69"/>
              <w:rPr>
                <w:szCs w:val="21"/>
              </w:rPr>
            </w:pPr>
            <w:r>
              <w:rPr>
                <w:szCs w:val="21"/>
              </w:rPr>
              <w:t>符合</w:t>
            </w:r>
          </w:p>
        </w:tc>
      </w:tr>
      <w:tr w14:paraId="4C23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460" w:type="pct"/>
            <w:vMerge w:val="continue"/>
            <w:vAlign w:val="center"/>
          </w:tcPr>
          <w:p w14:paraId="54E69C0C">
            <w:pPr>
              <w:pStyle w:val="69"/>
              <w:rPr>
                <w:kern w:val="0"/>
                <w:szCs w:val="21"/>
              </w:rPr>
            </w:pPr>
          </w:p>
        </w:tc>
        <w:tc>
          <w:tcPr>
            <w:tcW w:w="436" w:type="pct"/>
            <w:vMerge w:val="continue"/>
            <w:vAlign w:val="center"/>
          </w:tcPr>
          <w:p w14:paraId="2DFD6109">
            <w:pPr>
              <w:pStyle w:val="69"/>
              <w:rPr>
                <w:szCs w:val="21"/>
              </w:rPr>
            </w:pPr>
          </w:p>
        </w:tc>
        <w:tc>
          <w:tcPr>
            <w:tcW w:w="436" w:type="pct"/>
            <w:vAlign w:val="center"/>
          </w:tcPr>
          <w:p w14:paraId="6C806697">
            <w:pPr>
              <w:pStyle w:val="69"/>
              <w:rPr>
                <w:szCs w:val="21"/>
              </w:rPr>
            </w:pPr>
            <w:r>
              <w:rPr>
                <w:szCs w:val="21"/>
              </w:rPr>
              <w:t>资 源</w:t>
            </w:r>
          </w:p>
          <w:p w14:paraId="14ECA445">
            <w:pPr>
              <w:pStyle w:val="69"/>
              <w:rPr>
                <w:szCs w:val="21"/>
              </w:rPr>
            </w:pPr>
            <w:r>
              <w:rPr>
                <w:szCs w:val="21"/>
              </w:rPr>
              <w:t>开 发</w:t>
            </w:r>
          </w:p>
          <w:p w14:paraId="5566B6D1">
            <w:pPr>
              <w:pStyle w:val="69"/>
              <w:rPr>
                <w:szCs w:val="21"/>
              </w:rPr>
            </w:pPr>
            <w:r>
              <w:rPr>
                <w:szCs w:val="21"/>
              </w:rPr>
              <w:t>效 率</w:t>
            </w:r>
          </w:p>
          <w:p w14:paraId="60806244">
            <w:pPr>
              <w:pStyle w:val="69"/>
              <w:rPr>
                <w:szCs w:val="21"/>
              </w:rPr>
            </w:pPr>
            <w:r>
              <w:rPr>
                <w:szCs w:val="21"/>
              </w:rPr>
              <w:t>要求</w:t>
            </w:r>
          </w:p>
        </w:tc>
        <w:tc>
          <w:tcPr>
            <w:tcW w:w="2470" w:type="pct"/>
            <w:vAlign w:val="center"/>
          </w:tcPr>
          <w:p w14:paraId="3846AB96">
            <w:pPr>
              <w:rPr>
                <w:szCs w:val="21"/>
              </w:rPr>
            </w:pPr>
            <w:r>
              <w:rPr>
                <w:szCs w:val="21"/>
              </w:rPr>
              <w:t>土地资源重点管控区：1.按照布局集中、用地集约、产业集聚、效益集</w:t>
            </w:r>
          </w:p>
          <w:p w14:paraId="0A316E04">
            <w:pPr>
              <w:rPr>
                <w:szCs w:val="21"/>
              </w:rPr>
            </w:pPr>
            <w:r>
              <w:rPr>
                <w:szCs w:val="21"/>
              </w:rPr>
              <w:t>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高污染燃料禁燃区：1.禁止销售、燃用高污染燃料。禁燃区散煤销售网点一律取消。2.已建成使用高污染燃料的各类设备应当拆除或者改用管道天然气、液化石油气、电或者其他清洁能源。3.现有燃用高污染燃料设备在拆除或改造之前，应确保排放的大气污染物达到国家规定的大气污染物排放标准。安康高新技术产业开发区 1.执行本清单安康市生态环境要素分区总体准入要求中“5.8 土地资源重点管控区的资源利用效率”；2.执行本清单安康市生态环境要素分区准入要求中“5.9 高污染燃料禁燃 区的资源利用效率要求”。</w:t>
            </w:r>
          </w:p>
        </w:tc>
        <w:tc>
          <w:tcPr>
            <w:tcW w:w="760" w:type="pct"/>
            <w:vAlign w:val="center"/>
          </w:tcPr>
          <w:p w14:paraId="25563EBC">
            <w:pPr>
              <w:pStyle w:val="69"/>
              <w:rPr>
                <w:szCs w:val="21"/>
              </w:rPr>
            </w:pPr>
            <w:r>
              <w:rPr>
                <w:szCs w:val="21"/>
              </w:rPr>
              <w:t>本项目为</w:t>
            </w:r>
            <w:r>
              <w:rPr>
                <w:rFonts w:hint="eastAsia"/>
                <w:szCs w:val="21"/>
              </w:rPr>
              <w:t>市政道路项目</w:t>
            </w:r>
            <w:r>
              <w:rPr>
                <w:szCs w:val="21"/>
              </w:rPr>
              <w:t>，属于鼓励类项目，不属于限制和禁止类，不属于工业类型项目，不销售和燃用高污染燃料。</w:t>
            </w:r>
          </w:p>
        </w:tc>
        <w:tc>
          <w:tcPr>
            <w:tcW w:w="438" w:type="pct"/>
            <w:vAlign w:val="center"/>
          </w:tcPr>
          <w:p w14:paraId="78B17D5F">
            <w:pPr>
              <w:pStyle w:val="69"/>
              <w:rPr>
                <w:szCs w:val="21"/>
              </w:rPr>
            </w:pPr>
            <w:r>
              <w:rPr>
                <w:szCs w:val="21"/>
              </w:rPr>
              <w:t>符合</w:t>
            </w:r>
          </w:p>
        </w:tc>
      </w:tr>
    </w:tbl>
    <w:p w14:paraId="7782C046">
      <w:pPr>
        <w:pStyle w:val="8"/>
        <w:sectPr>
          <w:pgSz w:w="16838" w:h="11906" w:orient="landscape"/>
          <w:pgMar w:top="1531" w:right="1701" w:bottom="1531" w:left="1701" w:header="851" w:footer="1077" w:gutter="0"/>
          <w:pgNumType w:start="1"/>
          <w:cols w:space="720" w:num="1"/>
          <w:docGrid w:linePitch="312" w:charSpace="0"/>
        </w:sectPr>
      </w:pPr>
    </w:p>
    <w:p w14:paraId="02427837">
      <w:pPr>
        <w:pStyle w:val="69"/>
        <w:spacing w:line="360" w:lineRule="auto"/>
        <w:ind w:firstLine="480" w:firstLineChars="200"/>
        <w:jc w:val="left"/>
        <w:rPr>
          <w:sz w:val="24"/>
        </w:rPr>
      </w:pPr>
      <w:r>
        <w:rPr>
          <w:rFonts w:hint="eastAsia"/>
          <w:sz w:val="24"/>
        </w:rPr>
        <w:t>③一说明。</w:t>
      </w:r>
    </w:p>
    <w:p w14:paraId="4B0A7A78">
      <w:pPr>
        <w:pStyle w:val="69"/>
        <w:spacing w:line="360" w:lineRule="auto"/>
        <w:ind w:firstLine="480" w:firstLineChars="200"/>
        <w:jc w:val="left"/>
        <w:rPr>
          <w:sz w:val="24"/>
        </w:rPr>
      </w:pPr>
      <w:r>
        <w:rPr>
          <w:rFonts w:hint="eastAsia"/>
          <w:sz w:val="24"/>
        </w:rPr>
        <w:t>本项目项目位于安康市生态环境管控单元重点管控单元内，不在优先管控单元内，不涉及生态保护红线；施工期废水在临时占地内经沉淀池沉淀处理后回用，不外排；施工人员生活污水依托租用民房的化粪池处理，清掏回用农田，不外排。营运期不排放污染物。因此本项目符合安康市“三线一单”生态环境分区管控方案的要求。</w:t>
      </w:r>
    </w:p>
    <w:p w14:paraId="6C09390A">
      <w:pPr>
        <w:pStyle w:val="71"/>
        <w:widowControl w:val="0"/>
        <w:adjustRightInd w:val="0"/>
        <w:snapToGrid w:val="0"/>
        <w:spacing w:after="0" w:line="240" w:lineRule="auto"/>
        <w:jc w:val="center"/>
        <w:rPr>
          <w:rFonts w:ascii="Times New Roman" w:hAnsi="Times New Roman"/>
          <w:b/>
          <w:sz w:val="21"/>
          <w:szCs w:val="21"/>
          <w:lang w:eastAsia="zh-CN"/>
        </w:rPr>
      </w:pPr>
    </w:p>
    <w:p w14:paraId="3A730383">
      <w:pPr>
        <w:pStyle w:val="71"/>
        <w:widowControl w:val="0"/>
        <w:adjustRightInd w:val="0"/>
        <w:snapToGrid w:val="0"/>
        <w:spacing w:after="0" w:line="240" w:lineRule="auto"/>
        <w:jc w:val="center"/>
        <w:rPr>
          <w:rFonts w:ascii="Times New Roman" w:hAnsi="Times New Roman"/>
          <w:b/>
          <w:sz w:val="21"/>
          <w:szCs w:val="21"/>
          <w:lang w:eastAsia="zh-CN"/>
        </w:rPr>
        <w:sectPr>
          <w:pgSz w:w="11906" w:h="16838"/>
          <w:pgMar w:top="1701" w:right="1531" w:bottom="1701" w:left="1531" w:header="851" w:footer="1077" w:gutter="0"/>
          <w:pgNumType w:start="1"/>
          <w:cols w:space="720" w:num="1"/>
          <w:docGrid w:linePitch="312" w:charSpace="0"/>
        </w:sectPr>
      </w:pPr>
    </w:p>
    <w:p w14:paraId="400822A1">
      <w:pPr>
        <w:pStyle w:val="22"/>
        <w:numPr>
          <w:ilvl w:val="0"/>
          <w:numId w:val="1"/>
        </w:numPr>
        <w:jc w:val="center"/>
        <w:outlineLvl w:val="0"/>
        <w:rPr>
          <w:rFonts w:ascii="黑体" w:hAnsi="黑体" w:eastAsia="黑体"/>
          <w:snapToGrid w:val="0"/>
          <w:sz w:val="30"/>
          <w:szCs w:val="30"/>
        </w:rPr>
      </w:pPr>
      <w:r>
        <w:rPr>
          <w:rFonts w:hint="eastAsia" w:ascii="黑体" w:hAnsi="黑体" w:eastAsia="黑体"/>
          <w:snapToGrid w:val="0"/>
          <w:sz w:val="30"/>
          <w:szCs w:val="30"/>
        </w:rPr>
        <w:t>建设内容</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8347"/>
      </w:tblGrid>
      <w:tr w14:paraId="7FFEAC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Align w:val="center"/>
          </w:tcPr>
          <w:p w14:paraId="132554DB">
            <w:pPr>
              <w:pStyle w:val="22"/>
              <w:adjustRightInd w:val="0"/>
              <w:snapToGrid w:val="0"/>
              <w:spacing w:before="0" w:beforeAutospacing="0" w:after="0" w:afterAutospacing="0"/>
              <w:jc w:val="center"/>
              <w:rPr>
                <w:rFonts w:cs="宋体"/>
                <w:sz w:val="21"/>
                <w:szCs w:val="21"/>
              </w:rPr>
            </w:pPr>
            <w:r>
              <w:rPr>
                <w:rFonts w:cs="宋体"/>
                <w:sz w:val="21"/>
                <w:szCs w:val="21"/>
              </w:rPr>
              <w:t>地理位置</w:t>
            </w:r>
          </w:p>
        </w:tc>
        <w:tc>
          <w:tcPr>
            <w:tcW w:w="8347" w:type="dxa"/>
          </w:tcPr>
          <w:p w14:paraId="1A350B49">
            <w:pPr>
              <w:adjustRightInd w:val="0"/>
              <w:snapToGrid w:val="0"/>
              <w:spacing w:line="360" w:lineRule="auto"/>
              <w:ind w:firstLine="480" w:firstLineChars="200"/>
              <w:rPr>
                <w:bCs/>
                <w:sz w:val="24"/>
              </w:rPr>
            </w:pPr>
            <w:r>
              <w:rPr>
                <w:rFonts w:hint="eastAsia"/>
                <w:bCs/>
                <w:sz w:val="24"/>
              </w:rPr>
              <w:t>安康高铁西站站前市政工程，主要由高铁一路、高铁二路和匝道桥等组成，是站前客流疏散与集合的重要道路，为站前交通路网的重要组成部分，属于高铁站的附属道路。高铁一路东起高新七路，西至站前南路；高铁二路东起高新七路，西至站前北路；匝道桥位于既有道路与安康西站进站口连接处</w:t>
            </w:r>
            <w:r>
              <w:rPr>
                <w:bCs/>
                <w:sz w:val="24"/>
              </w:rPr>
              <w:t>。全长</w:t>
            </w:r>
            <w:r>
              <w:rPr>
                <w:rFonts w:hint="eastAsia"/>
                <w:bCs/>
                <w:sz w:val="24"/>
              </w:rPr>
              <w:t>823</w:t>
            </w:r>
            <w:r>
              <w:rPr>
                <w:bCs/>
                <w:sz w:val="24"/>
              </w:rPr>
              <w:t>m。具体地理位置见附图1。</w:t>
            </w:r>
          </w:p>
        </w:tc>
      </w:tr>
      <w:tr w14:paraId="10A0BF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7" w:type="dxa"/>
            <w:vAlign w:val="center"/>
          </w:tcPr>
          <w:p w14:paraId="681BB2A8">
            <w:pPr>
              <w:pStyle w:val="22"/>
              <w:adjustRightInd w:val="0"/>
              <w:snapToGrid w:val="0"/>
              <w:spacing w:before="0" w:beforeAutospacing="0" w:after="0" w:afterAutospacing="0"/>
              <w:jc w:val="center"/>
              <w:rPr>
                <w:rFonts w:cs="宋体"/>
                <w:sz w:val="21"/>
                <w:szCs w:val="21"/>
              </w:rPr>
            </w:pPr>
            <w:r>
              <w:rPr>
                <w:sz w:val="21"/>
                <w:szCs w:val="21"/>
              </w:rPr>
              <w:t>项目组成及规模</w:t>
            </w:r>
          </w:p>
        </w:tc>
        <w:tc>
          <w:tcPr>
            <w:tcW w:w="8347" w:type="dxa"/>
          </w:tcPr>
          <w:p w14:paraId="09A1D6F0">
            <w:pPr>
              <w:adjustRightInd w:val="0"/>
              <w:snapToGrid w:val="0"/>
              <w:spacing w:line="360" w:lineRule="auto"/>
              <w:ind w:firstLine="480" w:firstLineChars="200"/>
              <w:rPr>
                <w:bCs/>
                <w:sz w:val="24"/>
              </w:rPr>
            </w:pPr>
            <w:r>
              <w:rPr>
                <w:bCs/>
                <w:sz w:val="24"/>
              </w:rPr>
              <w:t>1、项目基本概况</w:t>
            </w:r>
          </w:p>
          <w:p w14:paraId="20BF6AFD">
            <w:pPr>
              <w:adjustRightInd w:val="0"/>
              <w:snapToGrid w:val="0"/>
              <w:spacing w:line="360" w:lineRule="auto"/>
              <w:ind w:firstLine="480" w:firstLineChars="200"/>
              <w:rPr>
                <w:bCs/>
                <w:sz w:val="24"/>
              </w:rPr>
            </w:pPr>
            <w:r>
              <w:rPr>
                <w:bCs/>
                <w:sz w:val="24"/>
              </w:rPr>
              <w:t>（1）项目名称：</w:t>
            </w:r>
            <w:r>
              <w:rPr>
                <w:rFonts w:hint="eastAsia"/>
                <w:bCs/>
                <w:sz w:val="24"/>
              </w:rPr>
              <w:t>安康西站站前路（高铁一路-匝道桥-高铁二路）市政工程</w:t>
            </w:r>
          </w:p>
          <w:p w14:paraId="6A782F6B">
            <w:pPr>
              <w:adjustRightInd w:val="0"/>
              <w:snapToGrid w:val="0"/>
              <w:spacing w:line="360" w:lineRule="auto"/>
              <w:ind w:firstLine="480" w:firstLineChars="200"/>
              <w:rPr>
                <w:bCs/>
                <w:sz w:val="24"/>
              </w:rPr>
            </w:pPr>
            <w:r>
              <w:rPr>
                <w:bCs/>
                <w:sz w:val="24"/>
              </w:rPr>
              <w:t>（2）建设地点：安康高新区</w:t>
            </w:r>
            <w:r>
              <w:rPr>
                <w:rFonts w:hint="eastAsia"/>
                <w:bCs/>
                <w:sz w:val="24"/>
              </w:rPr>
              <w:t>；高铁一路东起高新七路，西至站前南路；高铁二路东起高新七路，西至站前北路；匝道桥位于既有道路与安康西站进站口连接处</w:t>
            </w:r>
          </w:p>
          <w:p w14:paraId="1FC00EF7">
            <w:pPr>
              <w:adjustRightInd w:val="0"/>
              <w:snapToGrid w:val="0"/>
              <w:spacing w:line="360" w:lineRule="auto"/>
              <w:ind w:firstLine="480" w:firstLineChars="200"/>
              <w:rPr>
                <w:bCs/>
                <w:sz w:val="24"/>
              </w:rPr>
            </w:pPr>
            <w:r>
              <w:rPr>
                <w:bCs/>
                <w:sz w:val="24"/>
              </w:rPr>
              <w:t>（3）建设单位：陕西安康高新产业发展投资（集团）有限公司</w:t>
            </w:r>
          </w:p>
          <w:p w14:paraId="260ACD35">
            <w:pPr>
              <w:adjustRightInd w:val="0"/>
              <w:snapToGrid w:val="0"/>
              <w:spacing w:line="360" w:lineRule="auto"/>
              <w:ind w:firstLine="480" w:firstLineChars="200"/>
              <w:rPr>
                <w:bCs/>
                <w:sz w:val="24"/>
              </w:rPr>
            </w:pPr>
            <w:r>
              <w:rPr>
                <w:bCs/>
                <w:sz w:val="24"/>
              </w:rPr>
              <w:t>（4）建设性质：新建</w:t>
            </w:r>
          </w:p>
          <w:p w14:paraId="076F3BEE">
            <w:pPr>
              <w:adjustRightInd w:val="0"/>
              <w:snapToGrid w:val="0"/>
              <w:spacing w:line="360" w:lineRule="auto"/>
              <w:ind w:firstLine="480" w:firstLineChars="200"/>
              <w:rPr>
                <w:bCs/>
                <w:sz w:val="24"/>
              </w:rPr>
            </w:pPr>
            <w:r>
              <w:rPr>
                <w:bCs/>
                <w:sz w:val="24"/>
              </w:rPr>
              <w:t>（5）道路等级：城市</w:t>
            </w:r>
            <w:r>
              <w:rPr>
                <w:rFonts w:hint="eastAsia"/>
                <w:bCs/>
                <w:sz w:val="24"/>
              </w:rPr>
              <w:t>次干路</w:t>
            </w:r>
          </w:p>
          <w:p w14:paraId="515ACC7D">
            <w:pPr>
              <w:adjustRightInd w:val="0"/>
              <w:snapToGrid w:val="0"/>
              <w:spacing w:line="360" w:lineRule="auto"/>
              <w:ind w:firstLine="480" w:firstLineChars="200"/>
              <w:rPr>
                <w:bCs/>
                <w:sz w:val="24"/>
              </w:rPr>
            </w:pPr>
            <w:r>
              <w:rPr>
                <w:bCs/>
                <w:sz w:val="24"/>
              </w:rPr>
              <w:t>（6）建设里程：</w:t>
            </w:r>
            <w:r>
              <w:rPr>
                <w:rFonts w:hint="eastAsia"/>
                <w:bCs/>
                <w:sz w:val="24"/>
              </w:rPr>
              <w:t>823</w:t>
            </w:r>
            <w:r>
              <w:rPr>
                <w:bCs/>
                <w:sz w:val="24"/>
              </w:rPr>
              <w:t>m</w:t>
            </w:r>
          </w:p>
          <w:p w14:paraId="2363A5A3">
            <w:pPr>
              <w:pStyle w:val="65"/>
              <w:ind w:firstLine="480"/>
            </w:pPr>
            <w:r>
              <w:t>（7）项目投资：项目总投资18515.81万元</w:t>
            </w:r>
          </w:p>
          <w:p w14:paraId="40D629F8">
            <w:pPr>
              <w:adjustRightInd w:val="0"/>
              <w:snapToGrid w:val="0"/>
              <w:spacing w:line="360" w:lineRule="auto"/>
              <w:ind w:firstLine="480" w:firstLineChars="200"/>
              <w:rPr>
                <w:bCs/>
                <w:sz w:val="24"/>
              </w:rPr>
            </w:pPr>
            <w:r>
              <w:rPr>
                <w:rFonts w:hint="eastAsia"/>
                <w:bCs/>
                <w:sz w:val="24"/>
              </w:rPr>
              <w:t>2、项目建设内容</w:t>
            </w:r>
          </w:p>
          <w:p w14:paraId="7314DB11">
            <w:pPr>
              <w:spacing w:line="360" w:lineRule="auto"/>
              <w:ind w:firstLine="480" w:firstLineChars="200"/>
              <w:rPr>
                <w:bCs/>
                <w:sz w:val="24"/>
              </w:rPr>
            </w:pPr>
            <w:r>
              <w:rPr>
                <w:rFonts w:hint="eastAsia"/>
                <w:bCs/>
                <w:sz w:val="24"/>
              </w:rPr>
              <w:t>本项目含高铁一路、高铁一路和进站匝道桥，项目道路全长823</w:t>
            </w:r>
            <w:r>
              <w:rPr>
                <w:bCs/>
                <w:sz w:val="24"/>
              </w:rPr>
              <w:t>m</w:t>
            </w:r>
            <w:r>
              <w:rPr>
                <w:rFonts w:hint="eastAsia"/>
                <w:bCs/>
                <w:sz w:val="24"/>
              </w:rPr>
              <w:t>。配套建设绿化、给排水、雨水/电信、电力、照明等工程。</w:t>
            </w:r>
            <w:r>
              <w:rPr>
                <w:bCs/>
                <w:sz w:val="24"/>
              </w:rPr>
              <w:t>工程组成见表2-1。</w:t>
            </w:r>
          </w:p>
          <w:p w14:paraId="0225226D">
            <w:pPr>
              <w:pStyle w:val="18"/>
              <w:ind w:left="840" w:hanging="420"/>
            </w:pPr>
            <w:r>
              <w:t>表2-1   项目组成一览表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516"/>
              <w:gridCol w:w="731"/>
              <w:gridCol w:w="6151"/>
            </w:tblGrid>
            <w:tr w14:paraId="1F89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jc w:val="center"/>
              </w:trPr>
              <w:tc>
                <w:tcPr>
                  <w:tcW w:w="445" w:type="pct"/>
                  <w:tcBorders>
                    <w:tl2br w:val="nil"/>
                    <w:tr2bl w:val="nil"/>
                  </w:tcBorders>
                  <w:shd w:val="clear" w:color="auto" w:fill="auto"/>
                  <w:vAlign w:val="center"/>
                </w:tcPr>
                <w:p w14:paraId="65A65DD4">
                  <w:pPr>
                    <w:rPr>
                      <w:szCs w:val="21"/>
                    </w:rPr>
                  </w:pPr>
                  <w:r>
                    <w:rPr>
                      <w:szCs w:val="21"/>
                    </w:rPr>
                    <w:t>名称</w:t>
                  </w:r>
                </w:p>
              </w:tc>
              <w:tc>
                <w:tcPr>
                  <w:tcW w:w="4555" w:type="pct"/>
                  <w:gridSpan w:val="3"/>
                  <w:tcBorders>
                    <w:tl2br w:val="nil"/>
                    <w:tr2bl w:val="nil"/>
                  </w:tcBorders>
                  <w:shd w:val="clear" w:color="auto" w:fill="auto"/>
                  <w:vAlign w:val="center"/>
                </w:tcPr>
                <w:p w14:paraId="3A6A6AA1">
                  <w:pPr>
                    <w:jc w:val="center"/>
                    <w:rPr>
                      <w:szCs w:val="21"/>
                    </w:rPr>
                  </w:pPr>
                  <w:r>
                    <w:rPr>
                      <w:szCs w:val="21"/>
                    </w:rPr>
                    <w:t>建设内容及规模</w:t>
                  </w:r>
                </w:p>
              </w:tc>
            </w:tr>
            <w:tr w14:paraId="31A6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restart"/>
                  <w:tcBorders>
                    <w:tl2br w:val="nil"/>
                    <w:tr2bl w:val="nil"/>
                  </w:tcBorders>
                  <w:shd w:val="clear" w:color="auto" w:fill="auto"/>
                  <w:vAlign w:val="center"/>
                </w:tcPr>
                <w:p w14:paraId="79118D12">
                  <w:pPr>
                    <w:rPr>
                      <w:szCs w:val="21"/>
                    </w:rPr>
                  </w:pPr>
                  <w:r>
                    <w:rPr>
                      <w:szCs w:val="21"/>
                    </w:rPr>
                    <w:t>主体工程</w:t>
                  </w:r>
                </w:p>
              </w:tc>
              <w:tc>
                <w:tcPr>
                  <w:tcW w:w="768" w:type="pct"/>
                  <w:gridSpan w:val="2"/>
                  <w:tcBorders>
                    <w:tl2br w:val="nil"/>
                    <w:tr2bl w:val="nil"/>
                  </w:tcBorders>
                  <w:shd w:val="clear" w:color="auto" w:fill="auto"/>
                  <w:vAlign w:val="center"/>
                </w:tcPr>
                <w:p w14:paraId="315DEED1">
                  <w:pPr>
                    <w:jc w:val="center"/>
                    <w:rPr>
                      <w:szCs w:val="21"/>
                    </w:rPr>
                  </w:pPr>
                  <w:r>
                    <w:rPr>
                      <w:szCs w:val="21"/>
                    </w:rPr>
                    <w:t>路基工程</w:t>
                  </w:r>
                </w:p>
              </w:tc>
              <w:tc>
                <w:tcPr>
                  <w:tcW w:w="3787" w:type="pct"/>
                  <w:tcBorders>
                    <w:tl2br w:val="nil"/>
                    <w:tr2bl w:val="nil"/>
                  </w:tcBorders>
                  <w:shd w:val="clear" w:color="auto" w:fill="auto"/>
                  <w:vAlign w:val="center"/>
                </w:tcPr>
                <w:p w14:paraId="47EE8F0C">
                  <w:pPr>
                    <w:jc w:val="left"/>
                    <w:rPr>
                      <w:szCs w:val="21"/>
                    </w:rPr>
                  </w:pPr>
                  <w:r>
                    <w:rPr>
                      <w:rFonts w:hint="eastAsia"/>
                      <w:b/>
                      <w:bCs/>
                      <w:szCs w:val="21"/>
                    </w:rPr>
                    <w:t>高铁一路：</w:t>
                  </w:r>
                  <w:r>
                    <w:rPr>
                      <w:rFonts w:hint="eastAsia"/>
                      <w:szCs w:val="21"/>
                    </w:rPr>
                    <w:t>呈东西走向，东起高新七路，西至站前南路，道路等级为城市次干路，设计速度为30km/h，双向6车道，红线宽度为26~23.5米，道路长度为0.156km</w:t>
                  </w:r>
                </w:p>
                <w:p w14:paraId="7B9F8464">
                  <w:pPr>
                    <w:jc w:val="left"/>
                    <w:rPr>
                      <w:szCs w:val="21"/>
                    </w:rPr>
                  </w:pPr>
                  <w:r>
                    <w:rPr>
                      <w:rFonts w:hint="eastAsia"/>
                      <w:b/>
                      <w:bCs/>
                      <w:szCs w:val="21"/>
                    </w:rPr>
                    <w:t>高铁二路：</w:t>
                  </w:r>
                  <w:r>
                    <w:rPr>
                      <w:rFonts w:hint="eastAsia"/>
                      <w:szCs w:val="21"/>
                    </w:rPr>
                    <w:t>呈东西走向，东起高新七路，西至站前北路，道路等级为城市次干路，设计速度为30km/h，双向6车道，红线宽度为26~23.5米，道路长度为0.155km。</w:t>
                  </w:r>
                </w:p>
              </w:tc>
            </w:tr>
            <w:tr w14:paraId="34D8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45" w:type="pct"/>
                  <w:vMerge w:val="continue"/>
                  <w:tcBorders>
                    <w:tl2br w:val="nil"/>
                    <w:tr2bl w:val="nil"/>
                  </w:tcBorders>
                  <w:shd w:val="clear" w:color="auto" w:fill="auto"/>
                  <w:vAlign w:val="center"/>
                </w:tcPr>
                <w:p w14:paraId="753AA1E9">
                  <w:pPr>
                    <w:rPr>
                      <w:szCs w:val="21"/>
                    </w:rPr>
                  </w:pPr>
                </w:p>
              </w:tc>
              <w:tc>
                <w:tcPr>
                  <w:tcW w:w="768" w:type="pct"/>
                  <w:gridSpan w:val="2"/>
                  <w:tcBorders>
                    <w:tl2br w:val="nil"/>
                    <w:tr2bl w:val="nil"/>
                  </w:tcBorders>
                  <w:shd w:val="clear" w:color="auto" w:fill="auto"/>
                  <w:vAlign w:val="center"/>
                </w:tcPr>
                <w:p w14:paraId="6562709D">
                  <w:pPr>
                    <w:jc w:val="center"/>
                    <w:rPr>
                      <w:szCs w:val="21"/>
                    </w:rPr>
                  </w:pPr>
                  <w:r>
                    <w:rPr>
                      <w:rFonts w:hint="eastAsia"/>
                      <w:szCs w:val="21"/>
                    </w:rPr>
                    <w:t>匝道桥</w:t>
                  </w:r>
                </w:p>
              </w:tc>
              <w:tc>
                <w:tcPr>
                  <w:tcW w:w="3787" w:type="pct"/>
                  <w:tcBorders>
                    <w:tl2br w:val="nil"/>
                    <w:tr2bl w:val="nil"/>
                  </w:tcBorders>
                  <w:shd w:val="clear" w:color="auto" w:fill="auto"/>
                  <w:vAlign w:val="center"/>
                </w:tcPr>
                <w:p w14:paraId="0C871260">
                  <w:pPr>
                    <w:jc w:val="left"/>
                    <w:rPr>
                      <w:szCs w:val="21"/>
                    </w:rPr>
                  </w:pPr>
                  <w:r>
                    <w:rPr>
                      <w:rFonts w:hint="eastAsia"/>
                      <w:szCs w:val="21"/>
                    </w:rPr>
                    <w:t>安康高铁西站进站匝道桥梁，属于高铁站规划附属桥梁，主要作用为连接既有道路及高铁站进站口，全长512m。桥梁上部结构采用钢箱梁，下部结构桥台采用U台，桥墩采用花瓶墩，墩台采用桩基础。</w:t>
                  </w:r>
                </w:p>
              </w:tc>
            </w:tr>
            <w:tr w14:paraId="6C2A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45" w:type="pct"/>
                  <w:vMerge w:val="continue"/>
                  <w:tcBorders>
                    <w:tl2br w:val="nil"/>
                    <w:tr2bl w:val="nil"/>
                  </w:tcBorders>
                  <w:shd w:val="clear" w:color="auto" w:fill="auto"/>
                  <w:vAlign w:val="center"/>
                </w:tcPr>
                <w:p w14:paraId="6A021EC6">
                  <w:pPr>
                    <w:rPr>
                      <w:szCs w:val="21"/>
                    </w:rPr>
                  </w:pPr>
                </w:p>
              </w:tc>
              <w:tc>
                <w:tcPr>
                  <w:tcW w:w="768" w:type="pct"/>
                  <w:gridSpan w:val="2"/>
                  <w:tcBorders>
                    <w:tl2br w:val="nil"/>
                    <w:tr2bl w:val="nil"/>
                  </w:tcBorders>
                  <w:shd w:val="clear" w:color="auto" w:fill="auto"/>
                  <w:vAlign w:val="center"/>
                </w:tcPr>
                <w:p w14:paraId="6E6374AF">
                  <w:pPr>
                    <w:jc w:val="center"/>
                    <w:rPr>
                      <w:szCs w:val="21"/>
                    </w:rPr>
                  </w:pPr>
                  <w:r>
                    <w:rPr>
                      <w:rFonts w:hint="eastAsia"/>
                      <w:szCs w:val="21"/>
                    </w:rPr>
                    <w:t>路面工程</w:t>
                  </w:r>
                </w:p>
              </w:tc>
              <w:tc>
                <w:tcPr>
                  <w:tcW w:w="3787" w:type="pct"/>
                  <w:tcBorders>
                    <w:tl2br w:val="nil"/>
                    <w:tr2bl w:val="nil"/>
                  </w:tcBorders>
                  <w:shd w:val="clear" w:color="auto" w:fill="auto"/>
                  <w:vAlign w:val="center"/>
                </w:tcPr>
                <w:p w14:paraId="788046D8">
                  <w:pPr>
                    <w:jc w:val="left"/>
                    <w:rPr>
                      <w:szCs w:val="21"/>
                    </w:rPr>
                  </w:pPr>
                  <w:r>
                    <w:rPr>
                      <w:rFonts w:hint="eastAsia"/>
                      <w:szCs w:val="21"/>
                    </w:rPr>
                    <w:t>本工程采用沥青混凝土路面，</w:t>
                  </w:r>
                  <w:r>
                    <w:rPr>
                      <w:szCs w:val="21"/>
                    </w:rPr>
                    <w:t>机动车道总厚度</w:t>
                  </w:r>
                  <w:r>
                    <w:rPr>
                      <w:rFonts w:hint="eastAsia"/>
                      <w:szCs w:val="21"/>
                    </w:rPr>
                    <w:t>88.0</w:t>
                  </w:r>
                  <w:r>
                    <w:rPr>
                      <w:szCs w:val="21"/>
                    </w:rPr>
                    <w:t>cm；人行道采用透水砖，总厚度</w:t>
                  </w:r>
                  <w:r>
                    <w:rPr>
                      <w:rFonts w:hint="eastAsia"/>
                      <w:szCs w:val="21"/>
                    </w:rPr>
                    <w:t>34</w:t>
                  </w:r>
                  <w:r>
                    <w:rPr>
                      <w:szCs w:val="21"/>
                    </w:rPr>
                    <w:t>cm。</w:t>
                  </w:r>
                </w:p>
              </w:tc>
            </w:tr>
            <w:tr w14:paraId="6D5A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445" w:type="pct"/>
                  <w:vMerge w:val="restart"/>
                  <w:tcBorders>
                    <w:tl2br w:val="nil"/>
                    <w:tr2bl w:val="nil"/>
                  </w:tcBorders>
                  <w:shd w:val="clear" w:color="auto" w:fill="auto"/>
                  <w:vAlign w:val="center"/>
                </w:tcPr>
                <w:p w14:paraId="3C769BF8">
                  <w:pPr>
                    <w:rPr>
                      <w:szCs w:val="21"/>
                    </w:rPr>
                  </w:pPr>
                  <w:r>
                    <w:rPr>
                      <w:szCs w:val="21"/>
                    </w:rPr>
                    <w:t>管道工程</w:t>
                  </w:r>
                </w:p>
              </w:tc>
              <w:tc>
                <w:tcPr>
                  <w:tcW w:w="768" w:type="pct"/>
                  <w:gridSpan w:val="2"/>
                  <w:tcBorders>
                    <w:tl2br w:val="nil"/>
                    <w:tr2bl w:val="nil"/>
                  </w:tcBorders>
                  <w:shd w:val="clear" w:color="auto" w:fill="auto"/>
                  <w:vAlign w:val="center"/>
                </w:tcPr>
                <w:p w14:paraId="2D4A4F90">
                  <w:pPr>
                    <w:jc w:val="center"/>
                    <w:rPr>
                      <w:szCs w:val="21"/>
                    </w:rPr>
                  </w:pPr>
                  <w:r>
                    <w:rPr>
                      <w:szCs w:val="21"/>
                    </w:rPr>
                    <w:t>雨水工程</w:t>
                  </w:r>
                </w:p>
              </w:tc>
              <w:tc>
                <w:tcPr>
                  <w:tcW w:w="3787" w:type="pct"/>
                  <w:tcBorders>
                    <w:tl2br w:val="nil"/>
                    <w:tr2bl w:val="nil"/>
                  </w:tcBorders>
                  <w:shd w:val="clear" w:color="auto" w:fill="auto"/>
                  <w:vAlign w:val="center"/>
                </w:tcPr>
                <w:p w14:paraId="16DB1252">
                  <w:pPr>
                    <w:rPr>
                      <w:szCs w:val="21"/>
                    </w:rPr>
                  </w:pPr>
                  <w:r>
                    <w:rPr>
                      <w:rFonts w:hint="eastAsia"/>
                      <w:szCs w:val="21"/>
                    </w:rPr>
                    <w:t>高铁一路、高铁二路设计雨水管道均沿道路南侧单侧布置，排水接入高新七路雨水管道，雨水管线距道路中心线的距离为8m。雨水主管道管径为d500mm~d2000mm，用户预埋管管径d500mm、d600mm，雨水口连接管d300mm。</w:t>
                  </w:r>
                </w:p>
              </w:tc>
            </w:tr>
            <w:tr w14:paraId="5142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43FE7925">
                  <w:pPr>
                    <w:rPr>
                      <w:szCs w:val="21"/>
                    </w:rPr>
                  </w:pPr>
                </w:p>
              </w:tc>
              <w:tc>
                <w:tcPr>
                  <w:tcW w:w="768" w:type="pct"/>
                  <w:gridSpan w:val="2"/>
                  <w:tcBorders>
                    <w:tl2br w:val="nil"/>
                    <w:tr2bl w:val="nil"/>
                  </w:tcBorders>
                  <w:shd w:val="clear" w:color="auto" w:fill="auto"/>
                  <w:vAlign w:val="center"/>
                </w:tcPr>
                <w:p w14:paraId="147A514B">
                  <w:pPr>
                    <w:jc w:val="center"/>
                    <w:rPr>
                      <w:szCs w:val="21"/>
                    </w:rPr>
                  </w:pPr>
                  <w:r>
                    <w:rPr>
                      <w:szCs w:val="21"/>
                    </w:rPr>
                    <w:t>污水工程</w:t>
                  </w:r>
                </w:p>
              </w:tc>
              <w:tc>
                <w:tcPr>
                  <w:tcW w:w="3787" w:type="pct"/>
                  <w:tcBorders>
                    <w:tl2br w:val="nil"/>
                    <w:tr2bl w:val="nil"/>
                  </w:tcBorders>
                  <w:shd w:val="clear" w:color="auto" w:fill="auto"/>
                  <w:vAlign w:val="center"/>
                </w:tcPr>
                <w:p w14:paraId="338D5D59">
                  <w:pPr>
                    <w:rPr>
                      <w:szCs w:val="21"/>
                    </w:rPr>
                  </w:pPr>
                  <w:r>
                    <w:rPr>
                      <w:rFonts w:hint="eastAsia"/>
                      <w:szCs w:val="21"/>
                    </w:rPr>
                    <w:t>高铁一路、高铁二路污水管道均沿道路北侧单侧布置，排水流向由西到东，接入高新七路污水管道，污水管线距道路中心线的距离为8m。全段设计主管径及用户预埋管管径均为d400mm；全部采用开槽施工。</w:t>
                  </w:r>
                </w:p>
              </w:tc>
            </w:tr>
            <w:tr w14:paraId="2ACE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10ABA6AD">
                  <w:pPr>
                    <w:rPr>
                      <w:szCs w:val="21"/>
                    </w:rPr>
                  </w:pPr>
                </w:p>
              </w:tc>
              <w:tc>
                <w:tcPr>
                  <w:tcW w:w="768" w:type="pct"/>
                  <w:gridSpan w:val="2"/>
                  <w:tcBorders>
                    <w:tl2br w:val="nil"/>
                    <w:tr2bl w:val="nil"/>
                  </w:tcBorders>
                  <w:shd w:val="clear" w:color="auto" w:fill="auto"/>
                  <w:vAlign w:val="center"/>
                </w:tcPr>
                <w:p w14:paraId="24260734">
                  <w:pPr>
                    <w:jc w:val="center"/>
                    <w:rPr>
                      <w:szCs w:val="21"/>
                    </w:rPr>
                  </w:pPr>
                  <w:r>
                    <w:rPr>
                      <w:szCs w:val="21"/>
                    </w:rPr>
                    <w:t>给水工程</w:t>
                  </w:r>
                </w:p>
              </w:tc>
              <w:tc>
                <w:tcPr>
                  <w:tcW w:w="3787" w:type="pct"/>
                  <w:tcBorders>
                    <w:tl2br w:val="nil"/>
                    <w:tr2bl w:val="nil"/>
                  </w:tcBorders>
                  <w:shd w:val="clear" w:color="auto" w:fill="auto"/>
                  <w:vAlign w:val="center"/>
                </w:tcPr>
                <w:p w14:paraId="61EF0CE3">
                  <w:pPr>
                    <w:rPr>
                      <w:szCs w:val="21"/>
                    </w:rPr>
                  </w:pPr>
                  <w:r>
                    <w:rPr>
                      <w:rFonts w:hint="eastAsia"/>
                      <w:szCs w:val="21"/>
                    </w:rPr>
                    <w:t>高铁一路、高铁二路给水管道均沿道路单侧布置，东西走向，距道路中心线11米。给水管材采用球墨铸铁管，设计主管管径采用DN200mm，支管及消火栓连接管管径采用DN200mm、DN150mm。</w:t>
                  </w:r>
                </w:p>
              </w:tc>
            </w:tr>
            <w:tr w14:paraId="1932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467CBE8A">
                  <w:pPr>
                    <w:rPr>
                      <w:szCs w:val="21"/>
                    </w:rPr>
                  </w:pPr>
                </w:p>
              </w:tc>
              <w:tc>
                <w:tcPr>
                  <w:tcW w:w="768" w:type="pct"/>
                  <w:gridSpan w:val="2"/>
                  <w:tcBorders>
                    <w:tl2br w:val="nil"/>
                    <w:tr2bl w:val="nil"/>
                  </w:tcBorders>
                  <w:shd w:val="clear" w:color="auto" w:fill="auto"/>
                  <w:vAlign w:val="center"/>
                </w:tcPr>
                <w:p w14:paraId="3AA693F7">
                  <w:pPr>
                    <w:jc w:val="center"/>
                    <w:rPr>
                      <w:szCs w:val="21"/>
                    </w:rPr>
                  </w:pPr>
                  <w:r>
                    <w:rPr>
                      <w:rFonts w:hint="eastAsia"/>
                      <w:szCs w:val="21"/>
                    </w:rPr>
                    <w:t>电力管线</w:t>
                  </w:r>
                </w:p>
              </w:tc>
              <w:tc>
                <w:tcPr>
                  <w:tcW w:w="3787" w:type="pct"/>
                  <w:tcBorders>
                    <w:tl2br w:val="nil"/>
                    <w:tr2bl w:val="nil"/>
                  </w:tcBorders>
                  <w:shd w:val="clear" w:color="auto" w:fill="auto"/>
                  <w:vAlign w:val="center"/>
                </w:tcPr>
                <w:p w14:paraId="238750C9">
                  <w:pPr>
                    <w:rPr>
                      <w:szCs w:val="21"/>
                    </w:rPr>
                  </w:pPr>
                  <w:r>
                    <w:rPr>
                      <w:rFonts w:hint="eastAsia"/>
                      <w:szCs w:val="21"/>
                    </w:rPr>
                    <w:t>本工程电力电缆沿电缆沟敷设，采用净尺寸为B×H=1.0m×1.3m混凝土电缆沟，管沟位于道路南侧人行道下，管沟中心线距道路南侧红线0.4m，沟顶覆土0.4米，以电缆沟和直埋排管为主。</w:t>
                  </w:r>
                </w:p>
              </w:tc>
            </w:tr>
            <w:tr w14:paraId="5E4A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526C99AF">
                  <w:pPr>
                    <w:rPr>
                      <w:szCs w:val="21"/>
                    </w:rPr>
                  </w:pPr>
                </w:p>
              </w:tc>
              <w:tc>
                <w:tcPr>
                  <w:tcW w:w="768" w:type="pct"/>
                  <w:gridSpan w:val="2"/>
                  <w:tcBorders>
                    <w:tl2br w:val="nil"/>
                    <w:tr2bl w:val="nil"/>
                  </w:tcBorders>
                  <w:shd w:val="clear" w:color="auto" w:fill="auto"/>
                  <w:vAlign w:val="center"/>
                </w:tcPr>
                <w:p w14:paraId="2B50B381">
                  <w:pPr>
                    <w:jc w:val="center"/>
                    <w:rPr>
                      <w:szCs w:val="21"/>
                    </w:rPr>
                  </w:pPr>
                  <w:r>
                    <w:rPr>
                      <w:rFonts w:hint="eastAsia"/>
                      <w:szCs w:val="21"/>
                    </w:rPr>
                    <w:t>通信管线</w:t>
                  </w:r>
                </w:p>
              </w:tc>
              <w:tc>
                <w:tcPr>
                  <w:tcW w:w="3787" w:type="pct"/>
                  <w:tcBorders>
                    <w:tl2br w:val="nil"/>
                    <w:tr2bl w:val="nil"/>
                  </w:tcBorders>
                  <w:shd w:val="clear" w:color="auto" w:fill="auto"/>
                  <w:vAlign w:val="center"/>
                </w:tcPr>
                <w:p w14:paraId="5203290A">
                  <w:pPr>
                    <w:rPr>
                      <w:szCs w:val="21"/>
                    </w:rPr>
                  </w:pPr>
                  <w:r>
                    <w:rPr>
                      <w:rFonts w:hint="eastAsia"/>
                      <w:szCs w:val="21"/>
                    </w:rPr>
                    <w:t>本工程的通信管线沿道路北侧人行道下敷设，管道中心线距道路北侧红线1.25m，沟顶覆土0.7米；本工程通信管道主管群12孔（6波+6梅），横向过接管6孔（3波+3梅）。</w:t>
                  </w:r>
                </w:p>
              </w:tc>
            </w:tr>
            <w:tr w14:paraId="2FC2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445" w:type="pct"/>
                  <w:tcBorders>
                    <w:tl2br w:val="nil"/>
                    <w:tr2bl w:val="nil"/>
                  </w:tcBorders>
                  <w:shd w:val="clear" w:color="auto" w:fill="auto"/>
                  <w:vAlign w:val="center"/>
                </w:tcPr>
                <w:p w14:paraId="5F9C6C89">
                  <w:pPr>
                    <w:rPr>
                      <w:szCs w:val="21"/>
                    </w:rPr>
                  </w:pPr>
                  <w:r>
                    <w:rPr>
                      <w:szCs w:val="21"/>
                    </w:rPr>
                    <w:t>附属工程</w:t>
                  </w:r>
                </w:p>
              </w:tc>
              <w:tc>
                <w:tcPr>
                  <w:tcW w:w="768" w:type="pct"/>
                  <w:gridSpan w:val="2"/>
                  <w:tcBorders>
                    <w:tl2br w:val="nil"/>
                    <w:tr2bl w:val="nil"/>
                  </w:tcBorders>
                  <w:shd w:val="clear" w:color="auto" w:fill="auto"/>
                  <w:vAlign w:val="center"/>
                </w:tcPr>
                <w:p w14:paraId="0EFCACD3">
                  <w:pPr>
                    <w:jc w:val="center"/>
                    <w:rPr>
                      <w:szCs w:val="21"/>
                    </w:rPr>
                  </w:pPr>
                  <w:r>
                    <w:rPr>
                      <w:szCs w:val="21"/>
                    </w:rPr>
                    <w:t>照明工程</w:t>
                  </w:r>
                </w:p>
              </w:tc>
              <w:tc>
                <w:tcPr>
                  <w:tcW w:w="3787" w:type="pct"/>
                  <w:tcBorders>
                    <w:tl2br w:val="nil"/>
                    <w:tr2bl w:val="nil"/>
                  </w:tcBorders>
                  <w:shd w:val="clear" w:color="auto" w:fill="auto"/>
                  <w:vAlign w:val="center"/>
                </w:tcPr>
                <w:p w14:paraId="17F5E1C1">
                  <w:pPr>
                    <w:rPr>
                      <w:szCs w:val="21"/>
                    </w:rPr>
                  </w:pPr>
                  <w:r>
                    <w:rPr>
                      <w:rFonts w:hint="eastAsia"/>
                      <w:szCs w:val="21"/>
                    </w:rPr>
                    <w:t>照明：道路照明灯具采用12m杆高双臂路灯在人行道双侧对称布置，灯具功率为150W+40W，光源为LED灯，灯杆间距30米左右。</w:t>
                  </w:r>
                </w:p>
                <w:p w14:paraId="0E7EC118">
                  <w:pPr>
                    <w:rPr>
                      <w:szCs w:val="21"/>
                    </w:rPr>
                  </w:pPr>
                  <w:r>
                    <w:rPr>
                      <w:rFonts w:hint="eastAsia"/>
                      <w:szCs w:val="21"/>
                    </w:rPr>
                    <w:t>路灯线路：采用</w:t>
                  </w:r>
                  <w:r>
                    <w:rPr>
                      <w:szCs w:val="21"/>
                    </w:rPr>
                    <w:t>YJV-1.0kV</w:t>
                  </w:r>
                  <w:r>
                    <w:rPr>
                      <w:rFonts w:hint="eastAsia"/>
                      <w:szCs w:val="21"/>
                    </w:rPr>
                    <w:t>型电力电缆，穿</w:t>
                  </w:r>
                  <w:r>
                    <w:rPr>
                      <w:rFonts w:ascii="Cambria Math" w:hAnsi="Cambria Math" w:cs="Cambria Math"/>
                      <w:szCs w:val="21"/>
                    </w:rPr>
                    <w:t>∅</w:t>
                  </w:r>
                  <w:r>
                    <w:rPr>
                      <w:szCs w:val="21"/>
                    </w:rPr>
                    <w:t xml:space="preserve"> 90</w:t>
                  </w:r>
                  <w:r>
                    <w:rPr>
                      <w:rFonts w:hint="eastAsia"/>
                      <w:szCs w:val="21"/>
                    </w:rPr>
                    <w:t>（壁厚</w:t>
                  </w:r>
                  <w:r>
                    <w:rPr>
                      <w:szCs w:val="21"/>
                    </w:rPr>
                    <w:t>4.3</w:t>
                  </w:r>
                  <w:r>
                    <w:rPr>
                      <w:rFonts w:hint="eastAsia"/>
                      <w:szCs w:val="21"/>
                    </w:rPr>
                    <w:t>毫米）</w:t>
                  </w:r>
                  <w:r>
                    <w:rPr>
                      <w:szCs w:val="21"/>
                    </w:rPr>
                    <w:t>PE80</w:t>
                  </w:r>
                  <w:r>
                    <w:rPr>
                      <w:rFonts w:hint="eastAsia"/>
                      <w:szCs w:val="21"/>
                    </w:rPr>
                    <w:t>管埋地敷设，埋深</w:t>
                  </w:r>
                  <w:r>
                    <w:rPr>
                      <w:szCs w:val="21"/>
                    </w:rPr>
                    <w:t>0.8</w:t>
                  </w:r>
                  <w:r>
                    <w:rPr>
                      <w:rFonts w:hint="eastAsia"/>
                      <w:szCs w:val="21"/>
                    </w:rPr>
                    <w:t>米。电缆穿过道路或构筑物时采用穿</w:t>
                  </w:r>
                  <w:r>
                    <w:rPr>
                      <w:rFonts w:ascii="Cambria Math" w:hAnsi="Cambria Math" w:cs="Cambria Math"/>
                      <w:szCs w:val="21"/>
                    </w:rPr>
                    <w:t>∅</w:t>
                  </w:r>
                  <w:r>
                    <w:rPr>
                      <w:szCs w:val="21"/>
                    </w:rPr>
                    <w:t xml:space="preserve"> 90</w:t>
                  </w:r>
                  <w:r>
                    <w:rPr>
                      <w:rFonts w:hint="eastAsia"/>
                      <w:szCs w:val="21"/>
                    </w:rPr>
                    <w:t>（壁厚</w:t>
                  </w:r>
                  <w:r>
                    <w:rPr>
                      <w:szCs w:val="21"/>
                    </w:rPr>
                    <w:t>5.4</w:t>
                  </w:r>
                  <w:r>
                    <w:rPr>
                      <w:rFonts w:hint="eastAsia"/>
                      <w:szCs w:val="21"/>
                    </w:rPr>
                    <w:t>毫米）</w:t>
                  </w:r>
                  <w:r>
                    <w:rPr>
                      <w:szCs w:val="21"/>
                    </w:rPr>
                    <w:t>PE100</w:t>
                  </w:r>
                  <w:r>
                    <w:rPr>
                      <w:rFonts w:hint="eastAsia"/>
                      <w:szCs w:val="21"/>
                    </w:rPr>
                    <w:t>管埋地敷设，埋设深度</w:t>
                  </w:r>
                  <w:r>
                    <w:rPr>
                      <w:szCs w:val="21"/>
                    </w:rPr>
                    <w:t>1.0m</w:t>
                  </w:r>
                  <w:r>
                    <w:rPr>
                      <w:rFonts w:hint="eastAsia"/>
                      <w:szCs w:val="21"/>
                    </w:rPr>
                    <w:t>；保护管超出路基、街道路面两边</w:t>
                  </w:r>
                  <w:r>
                    <w:rPr>
                      <w:szCs w:val="21"/>
                    </w:rPr>
                    <w:t>0.8m</w:t>
                  </w:r>
                  <w:r>
                    <w:rPr>
                      <w:rFonts w:hint="eastAsia"/>
                      <w:szCs w:val="21"/>
                    </w:rPr>
                    <w:t>。</w:t>
                  </w:r>
                </w:p>
              </w:tc>
            </w:tr>
            <w:tr w14:paraId="7A32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restart"/>
                  <w:tcBorders>
                    <w:tl2br w:val="nil"/>
                    <w:tr2bl w:val="nil"/>
                  </w:tcBorders>
                  <w:shd w:val="clear" w:color="auto" w:fill="auto"/>
                  <w:vAlign w:val="center"/>
                </w:tcPr>
                <w:p w14:paraId="58BA5E97">
                  <w:pPr>
                    <w:rPr>
                      <w:szCs w:val="21"/>
                      <w:highlight w:val="yellow"/>
                    </w:rPr>
                  </w:pPr>
                  <w:r>
                    <w:rPr>
                      <w:szCs w:val="21"/>
                    </w:rPr>
                    <w:t>临时工程</w:t>
                  </w:r>
                </w:p>
              </w:tc>
              <w:tc>
                <w:tcPr>
                  <w:tcW w:w="768" w:type="pct"/>
                  <w:gridSpan w:val="2"/>
                  <w:tcBorders>
                    <w:tl2br w:val="nil"/>
                    <w:tr2bl w:val="nil"/>
                  </w:tcBorders>
                  <w:shd w:val="clear" w:color="auto" w:fill="auto"/>
                  <w:vAlign w:val="center"/>
                </w:tcPr>
                <w:p w14:paraId="00CBBC7F">
                  <w:pPr>
                    <w:jc w:val="center"/>
                    <w:rPr>
                      <w:szCs w:val="21"/>
                    </w:rPr>
                  </w:pPr>
                  <w:r>
                    <w:rPr>
                      <w:szCs w:val="21"/>
                    </w:rPr>
                    <w:t>施工营地</w:t>
                  </w:r>
                </w:p>
              </w:tc>
              <w:tc>
                <w:tcPr>
                  <w:tcW w:w="3787" w:type="pct"/>
                  <w:tcBorders>
                    <w:tl2br w:val="nil"/>
                    <w:tr2bl w:val="nil"/>
                  </w:tcBorders>
                  <w:shd w:val="clear" w:color="auto" w:fill="auto"/>
                  <w:vAlign w:val="center"/>
                </w:tcPr>
                <w:p w14:paraId="230B0E5C">
                  <w:pPr>
                    <w:rPr>
                      <w:szCs w:val="21"/>
                    </w:rPr>
                  </w:pPr>
                  <w:r>
                    <w:rPr>
                      <w:szCs w:val="21"/>
                    </w:rPr>
                    <w:t>项目不设置施工营地，</w:t>
                  </w:r>
                  <w:r>
                    <w:rPr>
                      <w:rFonts w:hint="eastAsia"/>
                      <w:szCs w:val="21"/>
                    </w:rPr>
                    <w:t>只在项目现场设置施工管理彩钢房，人员住宿等租赁</w:t>
                  </w:r>
                  <w:r>
                    <w:rPr>
                      <w:szCs w:val="21"/>
                    </w:rPr>
                    <w:t>当地房屋</w:t>
                  </w:r>
                  <w:r>
                    <w:rPr>
                      <w:rFonts w:hint="eastAsia"/>
                      <w:szCs w:val="21"/>
                    </w:rPr>
                    <w:t>。</w:t>
                  </w:r>
                </w:p>
              </w:tc>
            </w:tr>
            <w:tr w14:paraId="457E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0200B5CF">
                  <w:pPr>
                    <w:rPr>
                      <w:szCs w:val="21"/>
                      <w:highlight w:val="yellow"/>
                    </w:rPr>
                  </w:pPr>
                </w:p>
              </w:tc>
              <w:tc>
                <w:tcPr>
                  <w:tcW w:w="768" w:type="pct"/>
                  <w:gridSpan w:val="2"/>
                  <w:tcBorders>
                    <w:tl2br w:val="nil"/>
                    <w:tr2bl w:val="nil"/>
                  </w:tcBorders>
                  <w:shd w:val="clear" w:color="auto" w:fill="auto"/>
                  <w:vAlign w:val="center"/>
                </w:tcPr>
                <w:p w14:paraId="704B782C">
                  <w:pPr>
                    <w:jc w:val="center"/>
                    <w:rPr>
                      <w:szCs w:val="21"/>
                    </w:rPr>
                  </w:pPr>
                  <w:r>
                    <w:rPr>
                      <w:szCs w:val="21"/>
                    </w:rPr>
                    <w:t>施工场地</w:t>
                  </w:r>
                </w:p>
              </w:tc>
              <w:tc>
                <w:tcPr>
                  <w:tcW w:w="3787" w:type="pct"/>
                  <w:tcBorders>
                    <w:tl2br w:val="nil"/>
                    <w:tr2bl w:val="nil"/>
                  </w:tcBorders>
                  <w:shd w:val="clear" w:color="auto" w:fill="auto"/>
                  <w:vAlign w:val="center"/>
                </w:tcPr>
                <w:p w14:paraId="1A4E361C">
                  <w:pPr>
                    <w:rPr>
                      <w:szCs w:val="21"/>
                    </w:rPr>
                  </w:pPr>
                  <w:r>
                    <w:rPr>
                      <w:szCs w:val="21"/>
                    </w:rPr>
                    <w:t>项目外购商品沥青混凝土、水泥混凝土、水稳物料，不单独设置沥青拌合站、水稳拌合站、混凝土拌合站。机械设备临时停放、原材料临时堆放、临时表土堆放场均设置在</w:t>
                  </w:r>
                  <w:r>
                    <w:rPr>
                      <w:rFonts w:hint="eastAsia"/>
                      <w:szCs w:val="21"/>
                    </w:rPr>
                    <w:t>本项目或高铁西站</w:t>
                  </w:r>
                  <w:r>
                    <w:rPr>
                      <w:szCs w:val="21"/>
                    </w:rPr>
                    <w:t>永久性占地内，不单独设置临时占地</w:t>
                  </w:r>
                  <w:r>
                    <w:rPr>
                      <w:rFonts w:hint="eastAsia"/>
                      <w:szCs w:val="21"/>
                    </w:rPr>
                    <w:t>。</w:t>
                  </w:r>
                </w:p>
              </w:tc>
            </w:tr>
            <w:tr w14:paraId="64D3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25CBD818">
                  <w:pPr>
                    <w:rPr>
                      <w:szCs w:val="21"/>
                      <w:highlight w:val="yellow"/>
                    </w:rPr>
                  </w:pPr>
                </w:p>
              </w:tc>
              <w:tc>
                <w:tcPr>
                  <w:tcW w:w="768" w:type="pct"/>
                  <w:gridSpan w:val="2"/>
                  <w:tcBorders>
                    <w:tl2br w:val="nil"/>
                    <w:tr2bl w:val="nil"/>
                  </w:tcBorders>
                  <w:shd w:val="clear" w:color="auto" w:fill="auto"/>
                  <w:vAlign w:val="center"/>
                </w:tcPr>
                <w:p w14:paraId="182DD2E2">
                  <w:pPr>
                    <w:jc w:val="center"/>
                    <w:rPr>
                      <w:szCs w:val="21"/>
                    </w:rPr>
                  </w:pPr>
                  <w:r>
                    <w:rPr>
                      <w:szCs w:val="21"/>
                    </w:rPr>
                    <w:t>施工便道</w:t>
                  </w:r>
                </w:p>
              </w:tc>
              <w:tc>
                <w:tcPr>
                  <w:tcW w:w="3787" w:type="pct"/>
                  <w:tcBorders>
                    <w:tl2br w:val="nil"/>
                    <w:tr2bl w:val="nil"/>
                  </w:tcBorders>
                  <w:shd w:val="clear" w:color="auto" w:fill="auto"/>
                  <w:vAlign w:val="center"/>
                </w:tcPr>
                <w:p w14:paraId="30FFEA7D">
                  <w:pPr>
                    <w:rPr>
                      <w:szCs w:val="21"/>
                    </w:rPr>
                  </w:pPr>
                  <w:r>
                    <w:rPr>
                      <w:szCs w:val="21"/>
                    </w:rPr>
                    <w:t>项目周边有的市政道路、国道或村道，本次施工利用现有道路，不单独设置施工便道</w:t>
                  </w:r>
                  <w:r>
                    <w:rPr>
                      <w:rFonts w:hint="eastAsia"/>
                      <w:szCs w:val="21"/>
                    </w:rPr>
                    <w:t>。</w:t>
                  </w:r>
                </w:p>
              </w:tc>
            </w:tr>
            <w:tr w14:paraId="399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23FC8852">
                  <w:pPr>
                    <w:rPr>
                      <w:szCs w:val="21"/>
                      <w:highlight w:val="yellow"/>
                    </w:rPr>
                  </w:pPr>
                </w:p>
              </w:tc>
              <w:tc>
                <w:tcPr>
                  <w:tcW w:w="768" w:type="pct"/>
                  <w:gridSpan w:val="2"/>
                  <w:tcBorders>
                    <w:tl2br w:val="nil"/>
                    <w:tr2bl w:val="nil"/>
                  </w:tcBorders>
                  <w:shd w:val="clear" w:color="auto" w:fill="auto"/>
                  <w:vAlign w:val="center"/>
                </w:tcPr>
                <w:p w14:paraId="2A067DD8">
                  <w:pPr>
                    <w:jc w:val="center"/>
                    <w:rPr>
                      <w:szCs w:val="21"/>
                    </w:rPr>
                  </w:pPr>
                  <w:r>
                    <w:rPr>
                      <w:szCs w:val="21"/>
                    </w:rPr>
                    <w:t>取弃土场</w:t>
                  </w:r>
                </w:p>
              </w:tc>
              <w:tc>
                <w:tcPr>
                  <w:tcW w:w="3787" w:type="pct"/>
                  <w:tcBorders>
                    <w:tl2br w:val="nil"/>
                    <w:tr2bl w:val="nil"/>
                  </w:tcBorders>
                  <w:shd w:val="clear" w:color="auto" w:fill="auto"/>
                  <w:vAlign w:val="center"/>
                </w:tcPr>
                <w:p w14:paraId="561688F4">
                  <w:pPr>
                    <w:rPr>
                      <w:szCs w:val="21"/>
                    </w:rPr>
                  </w:pPr>
                  <w:r>
                    <w:rPr>
                      <w:szCs w:val="21"/>
                    </w:rPr>
                    <w:t>本项目不设置取土场和弃土场。项目所需土石料全部依托周边现有合法商业料场；项目产生的挖方回用。</w:t>
                  </w:r>
                </w:p>
              </w:tc>
            </w:tr>
            <w:tr w14:paraId="77CC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restart"/>
                  <w:tcBorders>
                    <w:tl2br w:val="nil"/>
                    <w:tr2bl w:val="nil"/>
                  </w:tcBorders>
                  <w:shd w:val="clear" w:color="auto" w:fill="auto"/>
                  <w:vAlign w:val="center"/>
                </w:tcPr>
                <w:p w14:paraId="083D1870">
                  <w:pPr>
                    <w:rPr>
                      <w:szCs w:val="21"/>
                    </w:rPr>
                  </w:pPr>
                  <w:r>
                    <w:rPr>
                      <w:szCs w:val="21"/>
                    </w:rPr>
                    <w:t>环保工程</w:t>
                  </w:r>
                </w:p>
              </w:tc>
              <w:tc>
                <w:tcPr>
                  <w:tcW w:w="318" w:type="pct"/>
                  <w:vMerge w:val="restart"/>
                  <w:tcBorders>
                    <w:tl2br w:val="nil"/>
                    <w:tr2bl w:val="nil"/>
                  </w:tcBorders>
                  <w:shd w:val="clear" w:color="auto" w:fill="auto"/>
                  <w:vAlign w:val="center"/>
                </w:tcPr>
                <w:p w14:paraId="2ADF483F">
                  <w:pPr>
                    <w:jc w:val="center"/>
                    <w:rPr>
                      <w:szCs w:val="21"/>
                    </w:rPr>
                  </w:pPr>
                  <w:r>
                    <w:rPr>
                      <w:szCs w:val="21"/>
                    </w:rPr>
                    <w:t>施工期</w:t>
                  </w:r>
                </w:p>
              </w:tc>
              <w:tc>
                <w:tcPr>
                  <w:tcW w:w="450" w:type="pct"/>
                  <w:tcBorders>
                    <w:tl2br w:val="nil"/>
                    <w:tr2bl w:val="nil"/>
                  </w:tcBorders>
                  <w:shd w:val="clear" w:color="auto" w:fill="auto"/>
                  <w:vAlign w:val="center"/>
                </w:tcPr>
                <w:p w14:paraId="52E35E45">
                  <w:pPr>
                    <w:jc w:val="center"/>
                    <w:rPr>
                      <w:szCs w:val="21"/>
                    </w:rPr>
                  </w:pPr>
                  <w:r>
                    <w:rPr>
                      <w:szCs w:val="21"/>
                    </w:rPr>
                    <w:t>废气</w:t>
                  </w:r>
                </w:p>
              </w:tc>
              <w:tc>
                <w:tcPr>
                  <w:tcW w:w="3787" w:type="pct"/>
                  <w:tcBorders>
                    <w:tl2br w:val="nil"/>
                    <w:tr2bl w:val="nil"/>
                  </w:tcBorders>
                  <w:shd w:val="clear" w:color="auto" w:fill="auto"/>
                  <w:vAlign w:val="center"/>
                </w:tcPr>
                <w:p w14:paraId="77A45E8C">
                  <w:pPr>
                    <w:jc w:val="left"/>
                    <w:rPr>
                      <w:szCs w:val="21"/>
                    </w:rPr>
                  </w:pPr>
                  <w:r>
                    <w:rPr>
                      <w:rFonts w:hint="eastAsia"/>
                      <w:szCs w:val="21"/>
                    </w:rPr>
                    <w:t>施工场地</w:t>
                  </w:r>
                  <w:r>
                    <w:rPr>
                      <w:szCs w:val="21"/>
                    </w:rPr>
                    <w:t>出入口设置洗车台对出入车辆</w:t>
                  </w:r>
                  <w:r>
                    <w:rPr>
                      <w:rFonts w:hint="eastAsia"/>
                      <w:szCs w:val="21"/>
                    </w:rPr>
                    <w:t>进行</w:t>
                  </w:r>
                  <w:r>
                    <w:rPr>
                      <w:szCs w:val="21"/>
                    </w:rPr>
                    <w:t>清洗；</w:t>
                  </w:r>
                  <w:r>
                    <w:rPr>
                      <w:rFonts w:hint="eastAsia"/>
                      <w:szCs w:val="21"/>
                    </w:rPr>
                    <w:t>裸露地面及时硬化或者覆盖，场地内和运输便道采取洒水降尘措施；土方等</w:t>
                  </w:r>
                  <w:r>
                    <w:rPr>
                      <w:szCs w:val="21"/>
                    </w:rPr>
                    <w:t>易产尘物料</w:t>
                  </w:r>
                  <w:r>
                    <w:rPr>
                      <w:rFonts w:hint="eastAsia"/>
                      <w:szCs w:val="21"/>
                    </w:rPr>
                    <w:t>运输车辆进行覆盖或采用密闭车斗，严禁沿路撒漏，不得超载，不得超速行驶；</w:t>
                  </w:r>
                  <w:r>
                    <w:rPr>
                      <w:szCs w:val="21"/>
                    </w:rPr>
                    <w:t>选用符合国家标准的施工机械设备和运输车辆</w:t>
                  </w:r>
                  <w:r>
                    <w:rPr>
                      <w:rFonts w:hint="eastAsia"/>
                      <w:szCs w:val="21"/>
                    </w:rPr>
                    <w:t>。</w:t>
                  </w:r>
                </w:p>
              </w:tc>
            </w:tr>
            <w:tr w14:paraId="7594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692C41E0">
                  <w:pPr>
                    <w:rPr>
                      <w:szCs w:val="21"/>
                      <w:highlight w:val="yellow"/>
                    </w:rPr>
                  </w:pPr>
                </w:p>
              </w:tc>
              <w:tc>
                <w:tcPr>
                  <w:tcW w:w="318" w:type="pct"/>
                  <w:vMerge w:val="continue"/>
                  <w:tcBorders>
                    <w:tl2br w:val="nil"/>
                    <w:tr2bl w:val="nil"/>
                  </w:tcBorders>
                  <w:shd w:val="clear" w:color="auto" w:fill="auto"/>
                  <w:vAlign w:val="center"/>
                </w:tcPr>
                <w:p w14:paraId="61E822E3">
                  <w:pPr>
                    <w:jc w:val="center"/>
                    <w:rPr>
                      <w:szCs w:val="21"/>
                      <w:highlight w:val="yellow"/>
                    </w:rPr>
                  </w:pPr>
                </w:p>
              </w:tc>
              <w:tc>
                <w:tcPr>
                  <w:tcW w:w="450" w:type="pct"/>
                  <w:tcBorders>
                    <w:tl2br w:val="nil"/>
                    <w:tr2bl w:val="nil"/>
                  </w:tcBorders>
                  <w:shd w:val="clear" w:color="auto" w:fill="auto"/>
                  <w:vAlign w:val="center"/>
                </w:tcPr>
                <w:p w14:paraId="218F499D">
                  <w:pPr>
                    <w:jc w:val="center"/>
                    <w:rPr>
                      <w:szCs w:val="21"/>
                    </w:rPr>
                  </w:pPr>
                  <w:r>
                    <w:rPr>
                      <w:szCs w:val="21"/>
                    </w:rPr>
                    <w:t>废水</w:t>
                  </w:r>
                </w:p>
              </w:tc>
              <w:tc>
                <w:tcPr>
                  <w:tcW w:w="3787" w:type="pct"/>
                  <w:tcBorders>
                    <w:tl2br w:val="nil"/>
                    <w:tr2bl w:val="nil"/>
                  </w:tcBorders>
                  <w:shd w:val="clear" w:color="auto" w:fill="auto"/>
                  <w:vAlign w:val="center"/>
                </w:tcPr>
                <w:p w14:paraId="1107DC23">
                  <w:pPr>
                    <w:jc w:val="left"/>
                    <w:rPr>
                      <w:szCs w:val="21"/>
                    </w:rPr>
                  </w:pPr>
                  <w:r>
                    <w:rPr>
                      <w:szCs w:val="21"/>
                    </w:rPr>
                    <w:t>车辆冲洗废水设置沉淀池收集，沉淀后回用于洒水降尘；施工人员生活污水依托附近村庄处置</w:t>
                  </w:r>
                  <w:r>
                    <w:rPr>
                      <w:rFonts w:hint="eastAsia"/>
                      <w:szCs w:val="21"/>
                    </w:rPr>
                    <w:t>。</w:t>
                  </w:r>
                </w:p>
              </w:tc>
            </w:tr>
            <w:tr w14:paraId="1EC7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6C1CA3F6">
                  <w:pPr>
                    <w:rPr>
                      <w:szCs w:val="21"/>
                      <w:highlight w:val="yellow"/>
                    </w:rPr>
                  </w:pPr>
                </w:p>
              </w:tc>
              <w:tc>
                <w:tcPr>
                  <w:tcW w:w="318" w:type="pct"/>
                  <w:vMerge w:val="continue"/>
                  <w:tcBorders>
                    <w:tl2br w:val="nil"/>
                    <w:tr2bl w:val="nil"/>
                  </w:tcBorders>
                  <w:shd w:val="clear" w:color="auto" w:fill="auto"/>
                  <w:vAlign w:val="center"/>
                </w:tcPr>
                <w:p w14:paraId="21CAFEB1">
                  <w:pPr>
                    <w:jc w:val="center"/>
                    <w:rPr>
                      <w:szCs w:val="21"/>
                      <w:highlight w:val="yellow"/>
                    </w:rPr>
                  </w:pPr>
                </w:p>
              </w:tc>
              <w:tc>
                <w:tcPr>
                  <w:tcW w:w="450" w:type="pct"/>
                  <w:tcBorders>
                    <w:tl2br w:val="nil"/>
                    <w:tr2bl w:val="nil"/>
                  </w:tcBorders>
                  <w:shd w:val="clear" w:color="auto" w:fill="auto"/>
                  <w:vAlign w:val="center"/>
                </w:tcPr>
                <w:p w14:paraId="03999C8E">
                  <w:pPr>
                    <w:jc w:val="center"/>
                    <w:rPr>
                      <w:szCs w:val="21"/>
                    </w:rPr>
                  </w:pPr>
                  <w:r>
                    <w:rPr>
                      <w:szCs w:val="21"/>
                    </w:rPr>
                    <w:t>噪声</w:t>
                  </w:r>
                </w:p>
              </w:tc>
              <w:tc>
                <w:tcPr>
                  <w:tcW w:w="3787" w:type="pct"/>
                  <w:tcBorders>
                    <w:tl2br w:val="nil"/>
                    <w:tr2bl w:val="nil"/>
                  </w:tcBorders>
                  <w:shd w:val="clear" w:color="auto" w:fill="auto"/>
                  <w:vAlign w:val="center"/>
                </w:tcPr>
                <w:p w14:paraId="3717954E">
                  <w:pPr>
                    <w:rPr>
                      <w:szCs w:val="21"/>
                    </w:rPr>
                  </w:pPr>
                  <w:r>
                    <w:rPr>
                      <w:szCs w:val="21"/>
                    </w:rPr>
                    <w:t>加强施工现场管理，合理安排施工时间；施工场地周围设置临时围挡，选用低噪声设备，并加强机械设备的维护保养</w:t>
                  </w:r>
                  <w:r>
                    <w:rPr>
                      <w:rFonts w:hint="eastAsia"/>
                      <w:szCs w:val="21"/>
                    </w:rPr>
                    <w:t>。</w:t>
                  </w:r>
                </w:p>
              </w:tc>
            </w:tr>
            <w:tr w14:paraId="4C3F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45" w:type="pct"/>
                  <w:vMerge w:val="continue"/>
                  <w:tcBorders>
                    <w:tl2br w:val="nil"/>
                    <w:tr2bl w:val="nil"/>
                  </w:tcBorders>
                  <w:shd w:val="clear" w:color="auto" w:fill="auto"/>
                  <w:vAlign w:val="center"/>
                </w:tcPr>
                <w:p w14:paraId="6B7D8059">
                  <w:pPr>
                    <w:rPr>
                      <w:szCs w:val="21"/>
                      <w:highlight w:val="yellow"/>
                    </w:rPr>
                  </w:pPr>
                </w:p>
              </w:tc>
              <w:tc>
                <w:tcPr>
                  <w:tcW w:w="318" w:type="pct"/>
                  <w:vMerge w:val="continue"/>
                  <w:tcBorders>
                    <w:tl2br w:val="nil"/>
                    <w:tr2bl w:val="nil"/>
                  </w:tcBorders>
                  <w:shd w:val="clear" w:color="auto" w:fill="auto"/>
                  <w:vAlign w:val="center"/>
                </w:tcPr>
                <w:p w14:paraId="48B1BEDB">
                  <w:pPr>
                    <w:jc w:val="center"/>
                    <w:rPr>
                      <w:szCs w:val="21"/>
                      <w:highlight w:val="yellow"/>
                    </w:rPr>
                  </w:pPr>
                </w:p>
              </w:tc>
              <w:tc>
                <w:tcPr>
                  <w:tcW w:w="450" w:type="pct"/>
                  <w:tcBorders>
                    <w:tl2br w:val="nil"/>
                    <w:tr2bl w:val="nil"/>
                  </w:tcBorders>
                  <w:shd w:val="clear" w:color="auto" w:fill="auto"/>
                  <w:vAlign w:val="center"/>
                </w:tcPr>
                <w:p w14:paraId="65F3C062">
                  <w:pPr>
                    <w:jc w:val="center"/>
                    <w:rPr>
                      <w:szCs w:val="21"/>
                    </w:rPr>
                  </w:pPr>
                  <w:r>
                    <w:rPr>
                      <w:szCs w:val="21"/>
                    </w:rPr>
                    <w:t>固废</w:t>
                  </w:r>
                </w:p>
              </w:tc>
              <w:tc>
                <w:tcPr>
                  <w:tcW w:w="3787" w:type="pct"/>
                  <w:tcBorders>
                    <w:tl2br w:val="nil"/>
                    <w:tr2bl w:val="nil"/>
                  </w:tcBorders>
                  <w:shd w:val="clear" w:color="auto" w:fill="auto"/>
                  <w:vAlign w:val="center"/>
                </w:tcPr>
                <w:p w14:paraId="53284DDC">
                  <w:pPr>
                    <w:rPr>
                      <w:szCs w:val="21"/>
                    </w:rPr>
                  </w:pPr>
                  <w:r>
                    <w:rPr>
                      <w:szCs w:val="21"/>
                    </w:rPr>
                    <w:t>建筑垃圾运至行政主管部门指定场所；生活垃圾集中收集，由环卫部门定期清运处置</w:t>
                  </w:r>
                  <w:r>
                    <w:rPr>
                      <w:rFonts w:hint="eastAsia"/>
                      <w:szCs w:val="21"/>
                    </w:rPr>
                    <w:t>。</w:t>
                  </w:r>
                </w:p>
              </w:tc>
            </w:tr>
            <w:tr w14:paraId="17EB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49380B25">
                  <w:pPr>
                    <w:rPr>
                      <w:szCs w:val="21"/>
                      <w:highlight w:val="yellow"/>
                    </w:rPr>
                  </w:pPr>
                </w:p>
              </w:tc>
              <w:tc>
                <w:tcPr>
                  <w:tcW w:w="318" w:type="pct"/>
                  <w:vMerge w:val="continue"/>
                  <w:tcBorders>
                    <w:tl2br w:val="nil"/>
                    <w:tr2bl w:val="nil"/>
                  </w:tcBorders>
                  <w:shd w:val="clear" w:color="auto" w:fill="auto"/>
                  <w:vAlign w:val="center"/>
                </w:tcPr>
                <w:p w14:paraId="06106EC6">
                  <w:pPr>
                    <w:jc w:val="center"/>
                    <w:rPr>
                      <w:szCs w:val="21"/>
                      <w:highlight w:val="yellow"/>
                    </w:rPr>
                  </w:pPr>
                </w:p>
              </w:tc>
              <w:tc>
                <w:tcPr>
                  <w:tcW w:w="450" w:type="pct"/>
                  <w:tcBorders>
                    <w:tl2br w:val="nil"/>
                    <w:tr2bl w:val="nil"/>
                  </w:tcBorders>
                  <w:shd w:val="clear" w:color="auto" w:fill="auto"/>
                  <w:vAlign w:val="center"/>
                </w:tcPr>
                <w:p w14:paraId="3F765DB9">
                  <w:pPr>
                    <w:jc w:val="center"/>
                    <w:rPr>
                      <w:szCs w:val="21"/>
                    </w:rPr>
                  </w:pPr>
                  <w:r>
                    <w:rPr>
                      <w:szCs w:val="21"/>
                    </w:rPr>
                    <w:t>生态</w:t>
                  </w:r>
                </w:p>
              </w:tc>
              <w:tc>
                <w:tcPr>
                  <w:tcW w:w="3787" w:type="pct"/>
                  <w:tcBorders>
                    <w:tl2br w:val="nil"/>
                    <w:tr2bl w:val="nil"/>
                  </w:tcBorders>
                  <w:shd w:val="clear" w:color="auto" w:fill="auto"/>
                  <w:vAlign w:val="center"/>
                </w:tcPr>
                <w:p w14:paraId="3AF65A19">
                  <w:pPr>
                    <w:rPr>
                      <w:szCs w:val="21"/>
                    </w:rPr>
                  </w:pPr>
                  <w:r>
                    <w:rPr>
                      <w:szCs w:val="21"/>
                    </w:rPr>
                    <w:t>加强管理，严格按照划定的道路红线施工并采取防护措施；</w:t>
                  </w:r>
                  <w:r>
                    <w:rPr>
                      <w:rFonts w:hint="eastAsia"/>
                      <w:szCs w:val="21"/>
                    </w:rPr>
                    <w:t>分</w:t>
                  </w:r>
                  <w:r>
                    <w:rPr>
                      <w:szCs w:val="21"/>
                    </w:rPr>
                    <w:t>段施工、及时回填；施工结束后进行道路的绿化恢复工作</w:t>
                  </w:r>
                  <w:r>
                    <w:rPr>
                      <w:rFonts w:hint="eastAsia"/>
                      <w:szCs w:val="21"/>
                    </w:rPr>
                    <w:t>。</w:t>
                  </w:r>
                </w:p>
              </w:tc>
            </w:tr>
            <w:tr w14:paraId="7ACC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45" w:type="pct"/>
                  <w:vMerge w:val="continue"/>
                  <w:tcBorders>
                    <w:tl2br w:val="nil"/>
                    <w:tr2bl w:val="nil"/>
                  </w:tcBorders>
                  <w:shd w:val="clear" w:color="auto" w:fill="auto"/>
                  <w:vAlign w:val="center"/>
                </w:tcPr>
                <w:p w14:paraId="3904ED24">
                  <w:pPr>
                    <w:rPr>
                      <w:szCs w:val="21"/>
                      <w:highlight w:val="yellow"/>
                    </w:rPr>
                  </w:pPr>
                </w:p>
              </w:tc>
              <w:tc>
                <w:tcPr>
                  <w:tcW w:w="318" w:type="pct"/>
                  <w:vMerge w:val="restart"/>
                  <w:tcBorders>
                    <w:tl2br w:val="nil"/>
                    <w:tr2bl w:val="nil"/>
                  </w:tcBorders>
                  <w:shd w:val="clear" w:color="auto" w:fill="auto"/>
                  <w:vAlign w:val="center"/>
                </w:tcPr>
                <w:p w14:paraId="0D0A4291">
                  <w:pPr>
                    <w:jc w:val="center"/>
                    <w:rPr>
                      <w:szCs w:val="21"/>
                    </w:rPr>
                  </w:pPr>
                  <w:r>
                    <w:rPr>
                      <w:szCs w:val="21"/>
                    </w:rPr>
                    <w:t>运营期</w:t>
                  </w:r>
                </w:p>
              </w:tc>
              <w:tc>
                <w:tcPr>
                  <w:tcW w:w="450" w:type="pct"/>
                  <w:tcBorders>
                    <w:tl2br w:val="nil"/>
                    <w:tr2bl w:val="nil"/>
                  </w:tcBorders>
                  <w:shd w:val="clear" w:color="auto" w:fill="auto"/>
                  <w:vAlign w:val="center"/>
                </w:tcPr>
                <w:p w14:paraId="5DA868E6">
                  <w:pPr>
                    <w:jc w:val="center"/>
                    <w:rPr>
                      <w:szCs w:val="21"/>
                    </w:rPr>
                  </w:pPr>
                  <w:r>
                    <w:rPr>
                      <w:szCs w:val="21"/>
                    </w:rPr>
                    <w:t>废气</w:t>
                  </w:r>
                </w:p>
              </w:tc>
              <w:tc>
                <w:tcPr>
                  <w:tcW w:w="3787" w:type="pct"/>
                  <w:tcBorders>
                    <w:tl2br w:val="nil"/>
                    <w:tr2bl w:val="nil"/>
                  </w:tcBorders>
                  <w:shd w:val="clear" w:color="auto" w:fill="auto"/>
                  <w:vAlign w:val="center"/>
                </w:tcPr>
                <w:p w14:paraId="20CD308C">
                  <w:pPr>
                    <w:rPr>
                      <w:szCs w:val="21"/>
                    </w:rPr>
                  </w:pPr>
                  <w:r>
                    <w:rPr>
                      <w:szCs w:val="21"/>
                    </w:rPr>
                    <w:t>项目无服务设施，运营期不产生废气</w:t>
                  </w:r>
                  <w:r>
                    <w:rPr>
                      <w:rFonts w:hint="eastAsia"/>
                      <w:szCs w:val="21"/>
                    </w:rPr>
                    <w:t>。</w:t>
                  </w:r>
                </w:p>
              </w:tc>
            </w:tr>
            <w:tr w14:paraId="489A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45" w:type="pct"/>
                  <w:vMerge w:val="continue"/>
                  <w:tcBorders>
                    <w:tl2br w:val="nil"/>
                    <w:tr2bl w:val="nil"/>
                  </w:tcBorders>
                  <w:shd w:val="clear" w:color="auto" w:fill="auto"/>
                  <w:vAlign w:val="center"/>
                </w:tcPr>
                <w:p w14:paraId="08F5DE65">
                  <w:pPr>
                    <w:rPr>
                      <w:szCs w:val="21"/>
                      <w:highlight w:val="yellow"/>
                    </w:rPr>
                  </w:pPr>
                </w:p>
              </w:tc>
              <w:tc>
                <w:tcPr>
                  <w:tcW w:w="318" w:type="pct"/>
                  <w:vMerge w:val="continue"/>
                  <w:tcBorders>
                    <w:tl2br w:val="nil"/>
                    <w:tr2bl w:val="nil"/>
                  </w:tcBorders>
                  <w:shd w:val="clear" w:color="auto" w:fill="auto"/>
                  <w:vAlign w:val="center"/>
                </w:tcPr>
                <w:p w14:paraId="5B617160">
                  <w:pPr>
                    <w:jc w:val="center"/>
                    <w:rPr>
                      <w:szCs w:val="21"/>
                    </w:rPr>
                  </w:pPr>
                </w:p>
              </w:tc>
              <w:tc>
                <w:tcPr>
                  <w:tcW w:w="450" w:type="pct"/>
                  <w:tcBorders>
                    <w:tl2br w:val="nil"/>
                    <w:tr2bl w:val="nil"/>
                  </w:tcBorders>
                  <w:shd w:val="clear" w:color="auto" w:fill="auto"/>
                  <w:vAlign w:val="center"/>
                </w:tcPr>
                <w:p w14:paraId="444761EA">
                  <w:pPr>
                    <w:jc w:val="center"/>
                    <w:rPr>
                      <w:szCs w:val="21"/>
                    </w:rPr>
                  </w:pPr>
                  <w:r>
                    <w:rPr>
                      <w:szCs w:val="21"/>
                    </w:rPr>
                    <w:t>废水</w:t>
                  </w:r>
                </w:p>
              </w:tc>
              <w:tc>
                <w:tcPr>
                  <w:tcW w:w="3787" w:type="pct"/>
                  <w:tcBorders>
                    <w:tl2br w:val="nil"/>
                    <w:tr2bl w:val="nil"/>
                  </w:tcBorders>
                  <w:shd w:val="clear" w:color="auto" w:fill="auto"/>
                  <w:vAlign w:val="center"/>
                </w:tcPr>
                <w:p w14:paraId="01843962">
                  <w:pPr>
                    <w:rPr>
                      <w:szCs w:val="21"/>
                    </w:rPr>
                  </w:pPr>
                  <w:r>
                    <w:rPr>
                      <w:szCs w:val="21"/>
                    </w:rPr>
                    <w:t>项目无服务设施，运营期不产生废水</w:t>
                  </w:r>
                  <w:r>
                    <w:rPr>
                      <w:rFonts w:hint="eastAsia"/>
                      <w:szCs w:val="21"/>
                    </w:rPr>
                    <w:t>。</w:t>
                  </w:r>
                </w:p>
              </w:tc>
            </w:tr>
            <w:tr w14:paraId="4B6B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445" w:type="pct"/>
                  <w:vMerge w:val="continue"/>
                  <w:tcBorders>
                    <w:tl2br w:val="nil"/>
                    <w:tr2bl w:val="nil"/>
                  </w:tcBorders>
                  <w:shd w:val="clear" w:color="auto" w:fill="auto"/>
                  <w:vAlign w:val="center"/>
                </w:tcPr>
                <w:p w14:paraId="5C46D5AB">
                  <w:pPr>
                    <w:rPr>
                      <w:szCs w:val="21"/>
                      <w:highlight w:val="yellow"/>
                    </w:rPr>
                  </w:pPr>
                </w:p>
              </w:tc>
              <w:tc>
                <w:tcPr>
                  <w:tcW w:w="318" w:type="pct"/>
                  <w:vMerge w:val="continue"/>
                  <w:tcBorders>
                    <w:tl2br w:val="nil"/>
                    <w:tr2bl w:val="nil"/>
                  </w:tcBorders>
                  <w:shd w:val="clear" w:color="auto" w:fill="auto"/>
                  <w:vAlign w:val="center"/>
                </w:tcPr>
                <w:p w14:paraId="247FE5C0">
                  <w:pPr>
                    <w:jc w:val="center"/>
                    <w:rPr>
                      <w:szCs w:val="21"/>
                    </w:rPr>
                  </w:pPr>
                </w:p>
              </w:tc>
              <w:tc>
                <w:tcPr>
                  <w:tcW w:w="450" w:type="pct"/>
                  <w:tcBorders>
                    <w:tl2br w:val="nil"/>
                    <w:tr2bl w:val="nil"/>
                  </w:tcBorders>
                  <w:shd w:val="clear" w:color="auto" w:fill="auto"/>
                  <w:vAlign w:val="center"/>
                </w:tcPr>
                <w:p w14:paraId="599DCE6A">
                  <w:pPr>
                    <w:jc w:val="center"/>
                    <w:rPr>
                      <w:szCs w:val="21"/>
                    </w:rPr>
                  </w:pPr>
                  <w:r>
                    <w:rPr>
                      <w:szCs w:val="21"/>
                    </w:rPr>
                    <w:t>噪声</w:t>
                  </w:r>
                </w:p>
              </w:tc>
              <w:tc>
                <w:tcPr>
                  <w:tcW w:w="3787" w:type="pct"/>
                  <w:tcBorders>
                    <w:tl2br w:val="nil"/>
                    <w:tr2bl w:val="nil"/>
                  </w:tcBorders>
                  <w:shd w:val="clear" w:color="auto" w:fill="auto"/>
                  <w:vAlign w:val="center"/>
                </w:tcPr>
                <w:p w14:paraId="1604A648">
                  <w:pPr>
                    <w:rPr>
                      <w:szCs w:val="21"/>
                    </w:rPr>
                  </w:pPr>
                  <w:r>
                    <w:rPr>
                      <w:rFonts w:hint="eastAsia"/>
                      <w:szCs w:val="21"/>
                    </w:rPr>
                    <w:t>本项目评价范围内不涉及声环境保护目标，营运期暂不设置噪声防治措施。</w:t>
                  </w:r>
                </w:p>
              </w:tc>
            </w:tr>
            <w:tr w14:paraId="646C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020830AC">
                  <w:pPr>
                    <w:rPr>
                      <w:szCs w:val="21"/>
                      <w:highlight w:val="yellow"/>
                    </w:rPr>
                  </w:pPr>
                </w:p>
              </w:tc>
              <w:tc>
                <w:tcPr>
                  <w:tcW w:w="318" w:type="pct"/>
                  <w:vMerge w:val="continue"/>
                  <w:tcBorders>
                    <w:tl2br w:val="nil"/>
                    <w:tr2bl w:val="nil"/>
                  </w:tcBorders>
                  <w:shd w:val="clear" w:color="auto" w:fill="auto"/>
                  <w:vAlign w:val="center"/>
                </w:tcPr>
                <w:p w14:paraId="0F3FF547">
                  <w:pPr>
                    <w:jc w:val="center"/>
                    <w:rPr>
                      <w:szCs w:val="21"/>
                    </w:rPr>
                  </w:pPr>
                </w:p>
              </w:tc>
              <w:tc>
                <w:tcPr>
                  <w:tcW w:w="450" w:type="pct"/>
                  <w:tcBorders>
                    <w:tl2br w:val="nil"/>
                    <w:tr2bl w:val="nil"/>
                  </w:tcBorders>
                  <w:shd w:val="clear" w:color="auto" w:fill="auto"/>
                  <w:vAlign w:val="center"/>
                </w:tcPr>
                <w:p w14:paraId="23B16084">
                  <w:pPr>
                    <w:jc w:val="center"/>
                    <w:rPr>
                      <w:szCs w:val="21"/>
                    </w:rPr>
                  </w:pPr>
                  <w:r>
                    <w:rPr>
                      <w:szCs w:val="21"/>
                    </w:rPr>
                    <w:t>固废</w:t>
                  </w:r>
                </w:p>
              </w:tc>
              <w:tc>
                <w:tcPr>
                  <w:tcW w:w="3787" w:type="pct"/>
                  <w:tcBorders>
                    <w:tl2br w:val="nil"/>
                    <w:tr2bl w:val="nil"/>
                  </w:tcBorders>
                  <w:shd w:val="clear" w:color="auto" w:fill="auto"/>
                  <w:vAlign w:val="center"/>
                </w:tcPr>
                <w:p w14:paraId="66D06983">
                  <w:pPr>
                    <w:rPr>
                      <w:szCs w:val="21"/>
                    </w:rPr>
                  </w:pPr>
                  <w:r>
                    <w:rPr>
                      <w:szCs w:val="21"/>
                    </w:rPr>
                    <w:t>加强管理，道路沿线设置生活垃圾收集设施，道路定期清扫</w:t>
                  </w:r>
                  <w:r>
                    <w:rPr>
                      <w:rFonts w:hint="eastAsia"/>
                      <w:szCs w:val="21"/>
                    </w:rPr>
                    <w:t>。</w:t>
                  </w:r>
                </w:p>
              </w:tc>
            </w:tr>
            <w:tr w14:paraId="0BD8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45" w:type="pct"/>
                  <w:vMerge w:val="continue"/>
                  <w:tcBorders>
                    <w:tl2br w:val="nil"/>
                    <w:tr2bl w:val="nil"/>
                  </w:tcBorders>
                  <w:shd w:val="clear" w:color="auto" w:fill="auto"/>
                  <w:vAlign w:val="center"/>
                </w:tcPr>
                <w:p w14:paraId="3BB44FB0">
                  <w:pPr>
                    <w:rPr>
                      <w:szCs w:val="21"/>
                    </w:rPr>
                  </w:pPr>
                </w:p>
              </w:tc>
              <w:tc>
                <w:tcPr>
                  <w:tcW w:w="318" w:type="pct"/>
                  <w:vMerge w:val="continue"/>
                  <w:tcBorders>
                    <w:tl2br w:val="nil"/>
                    <w:tr2bl w:val="nil"/>
                  </w:tcBorders>
                  <w:shd w:val="clear" w:color="auto" w:fill="auto"/>
                  <w:vAlign w:val="center"/>
                </w:tcPr>
                <w:p w14:paraId="0F61DADF">
                  <w:pPr>
                    <w:jc w:val="center"/>
                    <w:rPr>
                      <w:szCs w:val="21"/>
                    </w:rPr>
                  </w:pPr>
                </w:p>
              </w:tc>
              <w:tc>
                <w:tcPr>
                  <w:tcW w:w="450" w:type="pct"/>
                  <w:tcBorders>
                    <w:tl2br w:val="nil"/>
                    <w:tr2bl w:val="nil"/>
                  </w:tcBorders>
                  <w:shd w:val="clear" w:color="auto" w:fill="auto"/>
                  <w:vAlign w:val="center"/>
                </w:tcPr>
                <w:p w14:paraId="38165EE0">
                  <w:pPr>
                    <w:jc w:val="center"/>
                    <w:rPr>
                      <w:szCs w:val="21"/>
                    </w:rPr>
                  </w:pPr>
                  <w:r>
                    <w:rPr>
                      <w:szCs w:val="21"/>
                    </w:rPr>
                    <w:t>生态</w:t>
                  </w:r>
                </w:p>
              </w:tc>
              <w:tc>
                <w:tcPr>
                  <w:tcW w:w="3787" w:type="pct"/>
                  <w:tcBorders>
                    <w:tl2br w:val="nil"/>
                    <w:tr2bl w:val="nil"/>
                  </w:tcBorders>
                  <w:shd w:val="clear" w:color="auto" w:fill="auto"/>
                  <w:vAlign w:val="center"/>
                </w:tcPr>
                <w:p w14:paraId="4D428440">
                  <w:pPr>
                    <w:rPr>
                      <w:szCs w:val="21"/>
                    </w:rPr>
                  </w:pPr>
                  <w:r>
                    <w:rPr>
                      <w:szCs w:val="21"/>
                    </w:rPr>
                    <w:t>按道路绿化设计的要求，完成拟建道路两侧设计的植树种工作。</w:t>
                  </w:r>
                </w:p>
              </w:tc>
            </w:tr>
          </w:tbl>
          <w:p w14:paraId="63AFD698">
            <w:pPr>
              <w:pStyle w:val="15"/>
              <w:ind w:left="0" w:leftChars="0"/>
              <w:rPr>
                <w:rFonts w:eastAsia="宋体" w:cs="Times New Roman"/>
                <w:b w:val="0"/>
                <w:bCs/>
              </w:rPr>
            </w:pPr>
            <w:r>
              <w:rPr>
                <w:rFonts w:eastAsia="宋体" w:cs="Times New Roman"/>
                <w:b w:val="0"/>
                <w:bCs/>
              </w:rPr>
              <w:t>3、主要经济技术指标</w:t>
            </w:r>
          </w:p>
          <w:p w14:paraId="6BC872C3">
            <w:pPr>
              <w:pStyle w:val="15"/>
              <w:ind w:left="0" w:leftChars="0"/>
              <w:rPr>
                <w:rFonts w:eastAsia="宋体" w:cs="Times New Roman"/>
                <w:b w:val="0"/>
                <w:bCs/>
                <w:kern w:val="2"/>
                <w:szCs w:val="24"/>
              </w:rPr>
            </w:pPr>
            <w:r>
              <w:rPr>
                <w:rFonts w:hint="eastAsia" w:eastAsia="宋体" w:cs="Times New Roman"/>
                <w:b w:val="0"/>
                <w:bCs/>
                <w:kern w:val="2"/>
                <w:szCs w:val="24"/>
              </w:rPr>
              <w:t xml:space="preserve">3.1 </w:t>
            </w:r>
            <w:r>
              <w:rPr>
                <w:rFonts w:eastAsia="宋体" w:cs="Times New Roman"/>
                <w:b w:val="0"/>
                <w:bCs/>
                <w:kern w:val="2"/>
                <w:szCs w:val="24"/>
              </w:rPr>
              <w:t>项目技术指标</w:t>
            </w:r>
          </w:p>
          <w:p w14:paraId="03E7921D">
            <w:pPr>
              <w:spacing w:line="360" w:lineRule="auto"/>
              <w:ind w:firstLine="480" w:firstLineChars="200"/>
              <w:rPr>
                <w:bCs/>
                <w:sz w:val="24"/>
              </w:rPr>
            </w:pPr>
            <w:r>
              <w:rPr>
                <w:bCs/>
                <w:sz w:val="24"/>
              </w:rPr>
              <w:t>本次评价道路全长</w:t>
            </w:r>
            <w:r>
              <w:rPr>
                <w:rFonts w:hint="eastAsia"/>
                <w:bCs/>
                <w:sz w:val="24"/>
              </w:rPr>
              <w:t>823</w:t>
            </w:r>
            <w:r>
              <w:rPr>
                <w:bCs/>
                <w:sz w:val="24"/>
              </w:rPr>
              <w:t>m，为城市</w:t>
            </w:r>
            <w:r>
              <w:rPr>
                <w:rFonts w:hint="eastAsia"/>
                <w:bCs/>
                <w:sz w:val="24"/>
              </w:rPr>
              <w:t>次</w:t>
            </w:r>
            <w:r>
              <w:rPr>
                <w:bCs/>
                <w:sz w:val="24"/>
              </w:rPr>
              <w:t>干路，设计时速</w:t>
            </w:r>
            <w:r>
              <w:rPr>
                <w:rFonts w:hint="eastAsia"/>
                <w:bCs/>
                <w:sz w:val="24"/>
              </w:rPr>
              <w:t>3</w:t>
            </w:r>
            <w:r>
              <w:rPr>
                <w:bCs/>
                <w:sz w:val="24"/>
              </w:rPr>
              <w:t>0km/h。主要技术标准如表2-2。</w:t>
            </w:r>
          </w:p>
          <w:p w14:paraId="65DD0BF8">
            <w:pPr>
              <w:pStyle w:val="18"/>
              <w:spacing w:before="0"/>
              <w:ind w:left="840" w:hanging="420"/>
            </w:pPr>
            <w:r>
              <w:t>表2-2    城市</w:t>
            </w:r>
            <w:r>
              <w:rPr>
                <w:rFonts w:hint="eastAsia"/>
              </w:rPr>
              <w:t>次</w:t>
            </w:r>
            <w:r>
              <w:t>干路技术指标</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2219"/>
              <w:gridCol w:w="1155"/>
              <w:gridCol w:w="3914"/>
            </w:tblGrid>
            <w:tr w14:paraId="48FC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6C211417">
                  <w:pPr>
                    <w:pStyle w:val="69"/>
                  </w:pPr>
                  <w:r>
                    <w:rPr>
                      <w:rFonts w:hint="eastAsia"/>
                    </w:rPr>
                    <w:t>序号</w:t>
                  </w:r>
                </w:p>
              </w:tc>
              <w:tc>
                <w:tcPr>
                  <w:tcW w:w="1366" w:type="pct"/>
                  <w:vAlign w:val="center"/>
                </w:tcPr>
                <w:p w14:paraId="4C0C9EE1">
                  <w:pPr>
                    <w:pStyle w:val="69"/>
                  </w:pPr>
                  <w:r>
                    <w:rPr>
                      <w:rFonts w:hint="eastAsia"/>
                    </w:rPr>
                    <w:t>项目名称</w:t>
                  </w:r>
                </w:p>
              </w:tc>
              <w:tc>
                <w:tcPr>
                  <w:tcW w:w="711" w:type="pct"/>
                  <w:vAlign w:val="center"/>
                </w:tcPr>
                <w:p w14:paraId="1B380691">
                  <w:pPr>
                    <w:pStyle w:val="69"/>
                  </w:pPr>
                  <w:r>
                    <w:rPr>
                      <w:rFonts w:hint="eastAsia"/>
                    </w:rPr>
                    <w:t>单位</w:t>
                  </w:r>
                </w:p>
              </w:tc>
              <w:tc>
                <w:tcPr>
                  <w:tcW w:w="2410" w:type="pct"/>
                  <w:vAlign w:val="center"/>
                </w:tcPr>
                <w:p w14:paraId="4F60A092">
                  <w:pPr>
                    <w:pStyle w:val="69"/>
                  </w:pPr>
                  <w:r>
                    <w:rPr>
                      <w:rFonts w:hint="eastAsia"/>
                    </w:rPr>
                    <w:t>技术指标</w:t>
                  </w:r>
                </w:p>
              </w:tc>
            </w:tr>
            <w:tr w14:paraId="7D2D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2A4B5A0C">
                  <w:pPr>
                    <w:pStyle w:val="69"/>
                  </w:pPr>
                  <w:r>
                    <w:rPr>
                      <w:rFonts w:hint="eastAsia"/>
                    </w:rPr>
                    <w:t>1</w:t>
                  </w:r>
                </w:p>
              </w:tc>
              <w:tc>
                <w:tcPr>
                  <w:tcW w:w="1366" w:type="pct"/>
                  <w:vAlign w:val="center"/>
                </w:tcPr>
                <w:p w14:paraId="27CA3C54">
                  <w:pPr>
                    <w:pStyle w:val="69"/>
                  </w:pPr>
                  <w:r>
                    <w:rPr>
                      <w:rFonts w:hint="eastAsia"/>
                    </w:rPr>
                    <w:t>道路等级</w:t>
                  </w:r>
                </w:p>
              </w:tc>
              <w:tc>
                <w:tcPr>
                  <w:tcW w:w="711" w:type="pct"/>
                  <w:vAlign w:val="center"/>
                </w:tcPr>
                <w:p w14:paraId="14791E50">
                  <w:pPr>
                    <w:pStyle w:val="69"/>
                  </w:pPr>
                  <w:r>
                    <w:rPr>
                      <w:rFonts w:hint="eastAsia"/>
                    </w:rPr>
                    <w:t>/</w:t>
                  </w:r>
                </w:p>
              </w:tc>
              <w:tc>
                <w:tcPr>
                  <w:tcW w:w="2410" w:type="pct"/>
                  <w:vAlign w:val="center"/>
                </w:tcPr>
                <w:p w14:paraId="058C9498">
                  <w:pPr>
                    <w:pStyle w:val="69"/>
                  </w:pPr>
                  <w:r>
                    <w:rPr>
                      <w:rFonts w:hint="eastAsia"/>
                    </w:rPr>
                    <w:t>城市次干路</w:t>
                  </w:r>
                </w:p>
              </w:tc>
            </w:tr>
            <w:tr w14:paraId="21C6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4C29E011">
                  <w:pPr>
                    <w:pStyle w:val="69"/>
                  </w:pPr>
                  <w:r>
                    <w:rPr>
                      <w:rFonts w:hint="eastAsia"/>
                    </w:rPr>
                    <w:t>2</w:t>
                  </w:r>
                </w:p>
              </w:tc>
              <w:tc>
                <w:tcPr>
                  <w:tcW w:w="1366" w:type="pct"/>
                  <w:vAlign w:val="center"/>
                </w:tcPr>
                <w:p w14:paraId="7D85D718">
                  <w:pPr>
                    <w:pStyle w:val="69"/>
                  </w:pPr>
                  <w:r>
                    <w:rPr>
                      <w:rFonts w:hint="eastAsia"/>
                    </w:rPr>
                    <w:t>设计速度</w:t>
                  </w:r>
                </w:p>
              </w:tc>
              <w:tc>
                <w:tcPr>
                  <w:tcW w:w="711" w:type="pct"/>
                  <w:vAlign w:val="center"/>
                </w:tcPr>
                <w:p w14:paraId="1299BBA4">
                  <w:pPr>
                    <w:pStyle w:val="69"/>
                  </w:pPr>
                  <w:r>
                    <w:rPr>
                      <w:rFonts w:hint="eastAsia"/>
                    </w:rPr>
                    <w:t>km/h</w:t>
                  </w:r>
                </w:p>
              </w:tc>
              <w:tc>
                <w:tcPr>
                  <w:tcW w:w="2410" w:type="pct"/>
                  <w:vAlign w:val="center"/>
                </w:tcPr>
                <w:p w14:paraId="2EC0493D">
                  <w:pPr>
                    <w:pStyle w:val="69"/>
                  </w:pPr>
                  <w:r>
                    <w:rPr>
                      <w:rFonts w:hint="eastAsia"/>
                    </w:rPr>
                    <w:t>30</w:t>
                  </w:r>
                </w:p>
              </w:tc>
            </w:tr>
            <w:tr w14:paraId="3A8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538337E0">
                  <w:pPr>
                    <w:pStyle w:val="69"/>
                  </w:pPr>
                  <w:r>
                    <w:rPr>
                      <w:rFonts w:hint="eastAsia"/>
                    </w:rPr>
                    <w:t>3</w:t>
                  </w:r>
                </w:p>
              </w:tc>
              <w:tc>
                <w:tcPr>
                  <w:tcW w:w="1366" w:type="pct"/>
                  <w:vAlign w:val="center"/>
                </w:tcPr>
                <w:p w14:paraId="6C036DC8">
                  <w:pPr>
                    <w:pStyle w:val="69"/>
                  </w:pPr>
                  <w:r>
                    <w:rPr>
                      <w:rFonts w:hint="eastAsia"/>
                    </w:rPr>
                    <w:t>红线宽度</w:t>
                  </w:r>
                </w:p>
              </w:tc>
              <w:tc>
                <w:tcPr>
                  <w:tcW w:w="711" w:type="pct"/>
                  <w:vAlign w:val="center"/>
                </w:tcPr>
                <w:p w14:paraId="5A977097">
                  <w:pPr>
                    <w:pStyle w:val="69"/>
                  </w:pPr>
                  <w:r>
                    <w:rPr>
                      <w:rFonts w:hint="eastAsia"/>
                    </w:rPr>
                    <w:t>m</w:t>
                  </w:r>
                </w:p>
              </w:tc>
              <w:tc>
                <w:tcPr>
                  <w:tcW w:w="2410" w:type="pct"/>
                  <w:vAlign w:val="center"/>
                </w:tcPr>
                <w:p w14:paraId="7EC73016">
                  <w:pPr>
                    <w:pStyle w:val="69"/>
                  </w:pPr>
                  <w:r>
                    <w:rPr>
                      <w:rFonts w:hint="eastAsia"/>
                    </w:rPr>
                    <w:t>23.5~26</w:t>
                  </w:r>
                </w:p>
              </w:tc>
            </w:tr>
            <w:tr w14:paraId="1188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435644E9">
                  <w:pPr>
                    <w:pStyle w:val="69"/>
                  </w:pPr>
                  <w:r>
                    <w:rPr>
                      <w:rFonts w:hint="eastAsia"/>
                    </w:rPr>
                    <w:t>4</w:t>
                  </w:r>
                </w:p>
              </w:tc>
              <w:tc>
                <w:tcPr>
                  <w:tcW w:w="1366" w:type="pct"/>
                  <w:vAlign w:val="center"/>
                </w:tcPr>
                <w:p w14:paraId="5F9E6F6A">
                  <w:pPr>
                    <w:pStyle w:val="69"/>
                  </w:pPr>
                  <w:r>
                    <w:rPr>
                      <w:rFonts w:hint="eastAsia"/>
                    </w:rPr>
                    <w:t>路面类型</w:t>
                  </w:r>
                </w:p>
              </w:tc>
              <w:tc>
                <w:tcPr>
                  <w:tcW w:w="711" w:type="pct"/>
                  <w:vAlign w:val="center"/>
                </w:tcPr>
                <w:p w14:paraId="5C252E5E">
                  <w:pPr>
                    <w:pStyle w:val="69"/>
                  </w:pPr>
                  <w:r>
                    <w:rPr>
                      <w:rFonts w:hint="eastAsia"/>
                    </w:rPr>
                    <w:t>/</w:t>
                  </w:r>
                </w:p>
              </w:tc>
              <w:tc>
                <w:tcPr>
                  <w:tcW w:w="2410" w:type="pct"/>
                  <w:vAlign w:val="center"/>
                </w:tcPr>
                <w:p w14:paraId="1970A577">
                  <w:pPr>
                    <w:pStyle w:val="69"/>
                  </w:pPr>
                  <w:r>
                    <w:rPr>
                      <w:rFonts w:hint="eastAsia"/>
                    </w:rPr>
                    <w:t>沥青混凝土</w:t>
                  </w:r>
                </w:p>
              </w:tc>
            </w:tr>
            <w:tr w14:paraId="2990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3EA8C449">
                  <w:pPr>
                    <w:pStyle w:val="69"/>
                  </w:pPr>
                  <w:r>
                    <w:rPr>
                      <w:rFonts w:hint="eastAsia"/>
                    </w:rPr>
                    <w:t>5</w:t>
                  </w:r>
                </w:p>
              </w:tc>
              <w:tc>
                <w:tcPr>
                  <w:tcW w:w="1366" w:type="pct"/>
                  <w:vAlign w:val="center"/>
                </w:tcPr>
                <w:p w14:paraId="6B7EF01F">
                  <w:pPr>
                    <w:pStyle w:val="69"/>
                  </w:pPr>
                  <w:r>
                    <w:rPr>
                      <w:rFonts w:hint="eastAsia"/>
                    </w:rPr>
                    <w:t>荷载标准</w:t>
                  </w:r>
                </w:p>
              </w:tc>
              <w:tc>
                <w:tcPr>
                  <w:tcW w:w="711" w:type="pct"/>
                  <w:vAlign w:val="center"/>
                </w:tcPr>
                <w:p w14:paraId="7FCEB9A9">
                  <w:pPr>
                    <w:pStyle w:val="69"/>
                  </w:pPr>
                  <w:r>
                    <w:rPr>
                      <w:rFonts w:hint="eastAsia"/>
                    </w:rPr>
                    <w:t>/</w:t>
                  </w:r>
                </w:p>
              </w:tc>
              <w:tc>
                <w:tcPr>
                  <w:tcW w:w="2410" w:type="pct"/>
                  <w:vAlign w:val="center"/>
                </w:tcPr>
                <w:p w14:paraId="38B597E2">
                  <w:pPr>
                    <w:pStyle w:val="69"/>
                  </w:pPr>
                  <w:r>
                    <w:rPr>
                      <w:rFonts w:hint="eastAsia"/>
                    </w:rPr>
                    <w:t>BZZ－100标准轴载</w:t>
                  </w:r>
                </w:p>
              </w:tc>
            </w:tr>
            <w:tr w14:paraId="74F6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297C0392">
                  <w:pPr>
                    <w:pStyle w:val="69"/>
                  </w:pPr>
                  <w:r>
                    <w:rPr>
                      <w:rFonts w:hint="eastAsia"/>
                    </w:rPr>
                    <w:t>6</w:t>
                  </w:r>
                </w:p>
              </w:tc>
              <w:tc>
                <w:tcPr>
                  <w:tcW w:w="1366" w:type="pct"/>
                  <w:vAlign w:val="center"/>
                </w:tcPr>
                <w:p w14:paraId="15A1C1D9">
                  <w:pPr>
                    <w:pStyle w:val="69"/>
                  </w:pPr>
                  <w:r>
                    <w:rPr>
                      <w:rFonts w:hint="eastAsia"/>
                      <w:lang w:bidi="ar"/>
                    </w:rPr>
                    <w:t>抗震设防烈度</w:t>
                  </w:r>
                </w:p>
              </w:tc>
              <w:tc>
                <w:tcPr>
                  <w:tcW w:w="711" w:type="pct"/>
                  <w:vAlign w:val="center"/>
                </w:tcPr>
                <w:p w14:paraId="79965215">
                  <w:pPr>
                    <w:pStyle w:val="69"/>
                  </w:pPr>
                  <w:r>
                    <w:rPr>
                      <w:rFonts w:hint="eastAsia"/>
                    </w:rPr>
                    <w:t>度</w:t>
                  </w:r>
                </w:p>
              </w:tc>
              <w:tc>
                <w:tcPr>
                  <w:tcW w:w="2410" w:type="pct"/>
                  <w:vAlign w:val="center"/>
                </w:tcPr>
                <w:p w14:paraId="16D7EEEF">
                  <w:pPr>
                    <w:pStyle w:val="69"/>
                  </w:pPr>
                  <w:r>
                    <w:rPr>
                      <w:rFonts w:hint="eastAsia"/>
                    </w:rPr>
                    <w:t>7</w:t>
                  </w:r>
                </w:p>
              </w:tc>
            </w:tr>
            <w:tr w14:paraId="397B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13" w:type="pct"/>
                  <w:vAlign w:val="center"/>
                </w:tcPr>
                <w:p w14:paraId="1F11054C">
                  <w:pPr>
                    <w:pStyle w:val="69"/>
                  </w:pPr>
                  <w:r>
                    <w:rPr>
                      <w:rFonts w:hint="eastAsia"/>
                    </w:rPr>
                    <w:t>7</w:t>
                  </w:r>
                </w:p>
              </w:tc>
              <w:tc>
                <w:tcPr>
                  <w:tcW w:w="1366" w:type="pct"/>
                  <w:vAlign w:val="center"/>
                </w:tcPr>
                <w:p w14:paraId="6B04FA5E">
                  <w:pPr>
                    <w:jc w:val="center"/>
                  </w:pPr>
                  <w:r>
                    <w:t>地震加速度值</w:t>
                  </w:r>
                </w:p>
              </w:tc>
              <w:tc>
                <w:tcPr>
                  <w:tcW w:w="711" w:type="pct"/>
                  <w:vAlign w:val="center"/>
                </w:tcPr>
                <w:p w14:paraId="3905C61C">
                  <w:pPr>
                    <w:pStyle w:val="69"/>
                  </w:pPr>
                  <w:r>
                    <w:rPr>
                      <w:rFonts w:hint="eastAsia"/>
                    </w:rPr>
                    <w:t>g</w:t>
                  </w:r>
                </w:p>
              </w:tc>
              <w:tc>
                <w:tcPr>
                  <w:tcW w:w="2410" w:type="pct"/>
                  <w:vAlign w:val="center"/>
                </w:tcPr>
                <w:p w14:paraId="2D8DF19F">
                  <w:pPr>
                    <w:pStyle w:val="69"/>
                  </w:pPr>
                  <w:r>
                    <w:rPr>
                      <w:rFonts w:hint="eastAsia"/>
                    </w:rPr>
                    <w:t>0.10</w:t>
                  </w:r>
                </w:p>
              </w:tc>
            </w:tr>
            <w:tr w14:paraId="684D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3" w:type="pct"/>
                  <w:vAlign w:val="center"/>
                </w:tcPr>
                <w:p w14:paraId="4450BC7A">
                  <w:pPr>
                    <w:pStyle w:val="69"/>
                  </w:pPr>
                  <w:r>
                    <w:rPr>
                      <w:rFonts w:hint="eastAsia"/>
                    </w:rPr>
                    <w:t>8</w:t>
                  </w:r>
                </w:p>
              </w:tc>
              <w:tc>
                <w:tcPr>
                  <w:tcW w:w="1366" w:type="pct"/>
                  <w:vAlign w:val="center"/>
                </w:tcPr>
                <w:p w14:paraId="685B5EF2">
                  <w:pPr>
                    <w:pStyle w:val="69"/>
                  </w:pPr>
                  <w:r>
                    <w:rPr>
                      <w:rFonts w:hint="eastAsia"/>
                    </w:rPr>
                    <w:t>最大纵坡</w:t>
                  </w:r>
                </w:p>
              </w:tc>
              <w:tc>
                <w:tcPr>
                  <w:tcW w:w="711" w:type="pct"/>
                  <w:vAlign w:val="center"/>
                </w:tcPr>
                <w:p w14:paraId="145666D3">
                  <w:pPr>
                    <w:pStyle w:val="69"/>
                  </w:pPr>
                  <w:r>
                    <w:rPr>
                      <w:rFonts w:hint="eastAsia"/>
                    </w:rPr>
                    <w:t>/</w:t>
                  </w:r>
                </w:p>
              </w:tc>
              <w:tc>
                <w:tcPr>
                  <w:tcW w:w="2410" w:type="pct"/>
                  <w:vAlign w:val="center"/>
                </w:tcPr>
                <w:p w14:paraId="51B35843">
                  <w:pPr>
                    <w:pStyle w:val="69"/>
                  </w:pPr>
                  <w:r>
                    <w:rPr>
                      <w:rFonts w:hint="eastAsia"/>
                    </w:rPr>
                    <w:t>高铁一路最大纵坡0.96%；高铁二路最大纵坡0.44%</w:t>
                  </w:r>
                </w:p>
              </w:tc>
            </w:tr>
          </w:tbl>
          <w:p w14:paraId="54F305D7">
            <w:pPr>
              <w:spacing w:line="360" w:lineRule="auto"/>
              <w:ind w:firstLine="480" w:firstLineChars="200"/>
              <w:rPr>
                <w:bCs/>
                <w:sz w:val="24"/>
              </w:rPr>
            </w:pPr>
            <w:r>
              <w:rPr>
                <w:rFonts w:hint="eastAsia"/>
                <w:bCs/>
                <w:sz w:val="24"/>
              </w:rPr>
              <w:t xml:space="preserve">3.2 </w:t>
            </w:r>
            <w:r>
              <w:rPr>
                <w:bCs/>
                <w:sz w:val="24"/>
              </w:rPr>
              <w:t>道路平面设计</w:t>
            </w:r>
          </w:p>
          <w:p w14:paraId="2CADADC3">
            <w:pPr>
              <w:spacing w:line="360" w:lineRule="auto"/>
              <w:ind w:firstLine="482" w:firstLineChars="200"/>
              <w:rPr>
                <w:bCs/>
                <w:sz w:val="24"/>
              </w:rPr>
            </w:pPr>
            <w:r>
              <w:rPr>
                <w:rFonts w:hint="eastAsia"/>
                <w:b/>
                <w:sz w:val="24"/>
              </w:rPr>
              <w:t>高铁一路</w:t>
            </w:r>
            <w:r>
              <w:rPr>
                <w:rFonts w:hint="eastAsia"/>
                <w:bCs/>
                <w:sz w:val="24"/>
              </w:rPr>
              <w:t>大致呈东西走向，东起高新七路，西至站前南路，道路等级为城市次干路，设计速度为30km/h，双向6车道，红线宽度为26~23.5米，道路长度为0.156km</w:t>
            </w:r>
          </w:p>
          <w:p w14:paraId="1DEFD3EE">
            <w:pPr>
              <w:spacing w:line="360" w:lineRule="auto"/>
              <w:ind w:firstLine="482" w:firstLineChars="200"/>
              <w:rPr>
                <w:bCs/>
                <w:sz w:val="24"/>
              </w:rPr>
            </w:pPr>
            <w:r>
              <w:rPr>
                <w:rFonts w:hint="eastAsia"/>
                <w:b/>
                <w:sz w:val="24"/>
              </w:rPr>
              <w:t>高铁二路</w:t>
            </w:r>
            <w:r>
              <w:rPr>
                <w:rFonts w:hint="eastAsia"/>
                <w:bCs/>
                <w:sz w:val="24"/>
              </w:rPr>
              <w:t>大致呈东西走向，东起高新七路，西至站前北路，道路等级为城市次干路，设计速度为30km/h，双向6车道，红线宽度为26~23.5米，道路长度为0.155km</w:t>
            </w:r>
          </w:p>
          <w:p w14:paraId="0A33DAB5">
            <w:pPr>
              <w:spacing w:line="360" w:lineRule="auto"/>
              <w:ind w:firstLine="482" w:firstLineChars="200"/>
              <w:rPr>
                <w:bCs/>
                <w:sz w:val="24"/>
              </w:rPr>
            </w:pPr>
            <w:r>
              <w:rPr>
                <w:rFonts w:hint="eastAsia"/>
                <w:b/>
                <w:sz w:val="24"/>
              </w:rPr>
              <w:t>匝道桥</w:t>
            </w:r>
            <w:r>
              <w:rPr>
                <w:rFonts w:hint="eastAsia"/>
                <w:bCs/>
                <w:sz w:val="24"/>
              </w:rPr>
              <w:t>安康高铁西站进站匝道桥梁，属于高铁站规划附属桥梁，主要作用为连接既有道路及高铁站进站口，（3×25）+（35.22+26.05+28.48）+（33.56+34.8+42+34.8+33.55）+（29.59+26.96+35.19）+（3×25），全长512m，桥梁上部结构采用钢箱梁，下部结构桥台采用U台，桥墩采用花瓶墩，墩台采用桩基础。</w:t>
            </w:r>
          </w:p>
          <w:p w14:paraId="0259FDD1">
            <w:pPr>
              <w:spacing w:line="360" w:lineRule="auto"/>
              <w:ind w:firstLine="480" w:firstLineChars="200"/>
              <w:rPr>
                <w:bCs/>
                <w:sz w:val="24"/>
              </w:rPr>
            </w:pPr>
            <w:r>
              <w:rPr>
                <w:rFonts w:hint="eastAsia"/>
                <w:bCs/>
                <w:sz w:val="24"/>
              </w:rPr>
              <w:t>3.3 道路纵断面设计</w:t>
            </w:r>
          </w:p>
          <w:p w14:paraId="516AE6E8">
            <w:pPr>
              <w:spacing w:line="360" w:lineRule="auto"/>
              <w:ind w:firstLine="480" w:firstLineChars="200"/>
              <w:rPr>
                <w:bCs/>
                <w:sz w:val="24"/>
              </w:rPr>
            </w:pPr>
            <w:r>
              <w:rPr>
                <w:rFonts w:hint="eastAsia"/>
                <w:bCs/>
                <w:sz w:val="24"/>
              </w:rPr>
              <w:t>高铁一路全线最大纵坡为0.96%，最短纵长为66.13米，最小纵坡为-0.38%。高铁二路全线最大纵坡为0.73%，最短纵长为55.31米，最小纵坡为-0.33%。</w:t>
            </w:r>
          </w:p>
          <w:p w14:paraId="0D294407">
            <w:pPr>
              <w:spacing w:line="360" w:lineRule="auto"/>
              <w:ind w:firstLine="480" w:firstLineChars="200"/>
              <w:rPr>
                <w:bCs/>
                <w:sz w:val="24"/>
              </w:rPr>
            </w:pPr>
            <w:r>
              <w:rPr>
                <w:rFonts w:hint="eastAsia"/>
                <w:bCs/>
                <w:sz w:val="24"/>
              </w:rPr>
              <w:t>3.4 道路横断面设计</w:t>
            </w:r>
          </w:p>
          <w:p w14:paraId="5D25505E">
            <w:pPr>
              <w:spacing w:line="360" w:lineRule="auto"/>
              <w:ind w:firstLine="480" w:firstLineChars="200"/>
              <w:rPr>
                <w:bCs/>
                <w:sz w:val="24"/>
              </w:rPr>
            </w:pPr>
            <w:r>
              <w:rPr>
                <w:rFonts w:hint="eastAsia"/>
                <w:bCs/>
                <w:sz w:val="24"/>
              </w:rPr>
              <w:t>高铁一路、高铁二路道路规划红线宽23.5~26米，推荐路幅布置为：2.5m（人行道）+21m（机动车道）+2.5m（人行道）=26m（规划红线宽）。</w:t>
            </w:r>
          </w:p>
          <w:p w14:paraId="040C7FA3">
            <w:pPr>
              <w:pStyle w:val="65"/>
              <w:spacing w:line="240" w:lineRule="auto"/>
              <w:ind w:firstLine="0" w:firstLineChars="0"/>
              <w:jc w:val="center"/>
            </w:pPr>
            <w:r>
              <w:drawing>
                <wp:inline distT="0" distB="0" distL="0" distR="0">
                  <wp:extent cx="5092700" cy="1854200"/>
                  <wp:effectExtent l="0" t="0" r="0" b="0"/>
                  <wp:docPr id="854652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2400" name="图片 1"/>
                          <pic:cNvPicPr>
                            <a:picLocks noChangeAspect="1"/>
                          </pic:cNvPicPr>
                        </pic:nvPicPr>
                        <pic:blipFill>
                          <a:blip r:embed="rId10"/>
                          <a:srcRect t="16796"/>
                          <a:stretch>
                            <a:fillRect/>
                          </a:stretch>
                        </pic:blipFill>
                        <pic:spPr>
                          <a:xfrm>
                            <a:off x="0" y="0"/>
                            <a:ext cx="5145274" cy="1873335"/>
                          </a:xfrm>
                          <a:prstGeom prst="rect">
                            <a:avLst/>
                          </a:prstGeom>
                          <a:ln>
                            <a:noFill/>
                          </a:ln>
                        </pic:spPr>
                      </pic:pic>
                    </a:graphicData>
                  </a:graphic>
                </wp:inline>
              </w:drawing>
            </w:r>
          </w:p>
          <w:p w14:paraId="6E893D52">
            <w:pPr>
              <w:jc w:val="center"/>
              <w:rPr>
                <w:rFonts w:eastAsia="黑体"/>
              </w:rPr>
            </w:pPr>
            <w:r>
              <w:rPr>
                <w:rFonts w:eastAsia="黑体"/>
              </w:rPr>
              <w:t>图</w:t>
            </w:r>
            <w:r>
              <w:rPr>
                <w:rFonts w:hint="eastAsia" w:eastAsia="黑体"/>
              </w:rPr>
              <w:t>2-1</w:t>
            </w:r>
            <w:r>
              <w:rPr>
                <w:rFonts w:eastAsia="黑体"/>
              </w:rPr>
              <w:t xml:space="preserve">  道路标准横断面图</w:t>
            </w:r>
          </w:p>
          <w:p w14:paraId="40AF6D33">
            <w:pPr>
              <w:spacing w:line="360" w:lineRule="auto"/>
              <w:ind w:firstLine="480" w:firstLineChars="200"/>
              <w:rPr>
                <w:bCs/>
                <w:sz w:val="24"/>
              </w:rPr>
            </w:pPr>
            <w:r>
              <w:rPr>
                <w:rFonts w:hint="eastAsia"/>
                <w:bCs/>
                <w:sz w:val="24"/>
              </w:rPr>
              <w:t>8.5m（匝道桥）+4.5m（要客通道）+10.5m（车库通道）=23.5m（规划红线宽）。</w:t>
            </w:r>
          </w:p>
          <w:p w14:paraId="5E99D9EB">
            <w:pPr>
              <w:snapToGrid w:val="0"/>
              <w:ind w:firstLine="14" w:firstLineChars="7"/>
              <w:jc w:val="center"/>
              <w:rPr>
                <w:kern w:val="0"/>
                <w:sz w:val="24"/>
              </w:rPr>
            </w:pPr>
            <w:r>
              <w:drawing>
                <wp:inline distT="0" distB="0" distL="0" distR="0">
                  <wp:extent cx="5055235" cy="2897505"/>
                  <wp:effectExtent l="0" t="0" r="0" b="0"/>
                  <wp:docPr id="1372792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92039" name="图片 1"/>
                          <pic:cNvPicPr>
                            <a:picLocks noChangeAspect="1"/>
                          </pic:cNvPicPr>
                        </pic:nvPicPr>
                        <pic:blipFill>
                          <a:blip r:embed="rId11"/>
                          <a:stretch>
                            <a:fillRect/>
                          </a:stretch>
                        </pic:blipFill>
                        <pic:spPr>
                          <a:xfrm>
                            <a:off x="0" y="0"/>
                            <a:ext cx="5085680" cy="2914893"/>
                          </a:xfrm>
                          <a:prstGeom prst="rect">
                            <a:avLst/>
                          </a:prstGeom>
                        </pic:spPr>
                      </pic:pic>
                    </a:graphicData>
                  </a:graphic>
                </wp:inline>
              </w:drawing>
            </w:r>
          </w:p>
          <w:p w14:paraId="19A90F86">
            <w:pPr>
              <w:snapToGrid w:val="0"/>
              <w:jc w:val="center"/>
              <w:rPr>
                <w:rFonts w:eastAsia="黑体"/>
              </w:rPr>
            </w:pPr>
            <w:r>
              <w:rPr>
                <w:rFonts w:eastAsia="黑体"/>
              </w:rPr>
              <w:t>图</w:t>
            </w:r>
            <w:r>
              <w:rPr>
                <w:rFonts w:hint="eastAsia" w:eastAsia="黑体"/>
              </w:rPr>
              <w:t>2-2</w:t>
            </w:r>
            <w:r>
              <w:rPr>
                <w:rFonts w:eastAsia="黑体"/>
              </w:rPr>
              <w:t xml:space="preserve">  </w:t>
            </w:r>
            <w:r>
              <w:rPr>
                <w:rFonts w:hint="eastAsia" w:eastAsia="黑体"/>
              </w:rPr>
              <w:t>分离式路基段横断面</w:t>
            </w:r>
            <w:r>
              <w:rPr>
                <w:rFonts w:eastAsia="黑体"/>
              </w:rPr>
              <w:t>图</w:t>
            </w:r>
          </w:p>
          <w:p w14:paraId="220270F6">
            <w:pPr>
              <w:spacing w:line="360" w:lineRule="auto"/>
              <w:ind w:firstLine="480" w:firstLineChars="200"/>
              <w:rPr>
                <w:bCs/>
                <w:sz w:val="24"/>
              </w:rPr>
            </w:pPr>
            <w:r>
              <w:rPr>
                <w:rFonts w:hint="eastAsia"/>
                <w:bCs/>
                <w:sz w:val="24"/>
              </w:rPr>
              <w:t>3.5 路基设计</w:t>
            </w:r>
          </w:p>
          <w:p w14:paraId="52B45393">
            <w:pPr>
              <w:spacing w:line="360" w:lineRule="auto"/>
              <w:ind w:firstLine="480" w:firstLineChars="200"/>
              <w:rPr>
                <w:kern w:val="0"/>
                <w:sz w:val="24"/>
              </w:rPr>
            </w:pPr>
            <w:r>
              <w:rPr>
                <w:rFonts w:hint="eastAsia"/>
                <w:kern w:val="0"/>
                <w:sz w:val="24"/>
              </w:rPr>
              <w:t>（1）</w:t>
            </w:r>
            <w:r>
              <w:rPr>
                <w:kern w:val="0"/>
                <w:sz w:val="24"/>
              </w:rPr>
              <w:t>一般路段路基处理方案</w:t>
            </w:r>
          </w:p>
          <w:p w14:paraId="6AF70FCF">
            <w:pPr>
              <w:spacing w:line="360" w:lineRule="auto"/>
              <w:ind w:firstLine="480" w:firstLineChars="200"/>
              <w:rPr>
                <w:kern w:val="0"/>
                <w:sz w:val="24"/>
              </w:rPr>
            </w:pPr>
            <w:r>
              <w:rPr>
                <w:kern w:val="0"/>
                <w:sz w:val="24"/>
              </w:rPr>
              <w:t>路基施工前，应首先对地表进行处理，主要原则如下：</w:t>
            </w:r>
          </w:p>
          <w:p w14:paraId="23265723">
            <w:pPr>
              <w:spacing w:line="360" w:lineRule="auto"/>
              <w:ind w:firstLine="480" w:firstLineChars="200"/>
              <w:rPr>
                <w:kern w:val="0"/>
                <w:sz w:val="24"/>
              </w:rPr>
            </w:pPr>
            <w:r>
              <w:rPr>
                <w:rFonts w:hint="eastAsia" w:ascii="宋体" w:hAnsi="宋体" w:cs="宋体"/>
                <w:kern w:val="0"/>
                <w:sz w:val="24"/>
              </w:rPr>
              <w:t>①</w:t>
            </w:r>
            <w:r>
              <w:rPr>
                <w:kern w:val="0"/>
                <w:sz w:val="24"/>
              </w:rPr>
              <w:t>地面横坡缓于1:5时，在清除地表腐殖土、草皮后，可直接在天然地面上填筑路堤；</w:t>
            </w:r>
          </w:p>
          <w:p w14:paraId="10E99297">
            <w:pPr>
              <w:spacing w:line="360" w:lineRule="auto"/>
              <w:ind w:firstLine="480" w:firstLineChars="200"/>
              <w:rPr>
                <w:kern w:val="0"/>
                <w:sz w:val="24"/>
              </w:rPr>
            </w:pPr>
            <w:r>
              <w:rPr>
                <w:rFonts w:hint="eastAsia" w:ascii="宋体" w:hAnsi="宋体" w:cs="宋体"/>
                <w:kern w:val="0"/>
                <w:sz w:val="24"/>
              </w:rPr>
              <w:t>②</w:t>
            </w:r>
            <w:r>
              <w:rPr>
                <w:kern w:val="0"/>
                <w:sz w:val="24"/>
              </w:rPr>
              <w:t>地面横坡为1:5~1:2.5时，原地面应挖台阶，台阶宽度不小于2.0m；</w:t>
            </w:r>
          </w:p>
          <w:p w14:paraId="6BA95929">
            <w:pPr>
              <w:spacing w:line="360" w:lineRule="auto"/>
              <w:ind w:firstLine="480" w:firstLineChars="200"/>
              <w:rPr>
                <w:kern w:val="0"/>
                <w:sz w:val="24"/>
              </w:rPr>
            </w:pPr>
            <w:r>
              <w:rPr>
                <w:rFonts w:hint="eastAsia" w:ascii="宋体" w:hAnsi="宋体" w:cs="宋体"/>
                <w:kern w:val="0"/>
                <w:sz w:val="24"/>
              </w:rPr>
              <w:t>③</w:t>
            </w:r>
            <w:r>
              <w:rPr>
                <w:kern w:val="0"/>
                <w:sz w:val="24"/>
              </w:rPr>
              <w:t>当地下水影响路堤稳定时，应采用拦截引排地下水或在路堤底部填筑渗水性材料等措施。清表土按50cm控制。</w:t>
            </w:r>
          </w:p>
          <w:p w14:paraId="5ACE5D79">
            <w:pPr>
              <w:spacing w:line="360" w:lineRule="auto"/>
              <w:ind w:firstLine="480" w:firstLineChars="200"/>
              <w:rPr>
                <w:kern w:val="0"/>
                <w:sz w:val="24"/>
              </w:rPr>
            </w:pPr>
            <w:r>
              <w:rPr>
                <w:rFonts w:hint="eastAsia"/>
                <w:kern w:val="0"/>
                <w:sz w:val="24"/>
              </w:rPr>
              <w:t>（2）</w:t>
            </w:r>
            <w:r>
              <w:rPr>
                <w:kern w:val="0"/>
                <w:sz w:val="24"/>
              </w:rPr>
              <w:t>软弱地基路段：</w:t>
            </w:r>
          </w:p>
          <w:p w14:paraId="39E4D43B">
            <w:pPr>
              <w:spacing w:line="360" w:lineRule="auto"/>
              <w:ind w:firstLine="480" w:firstLineChars="200"/>
              <w:rPr>
                <w:kern w:val="0"/>
                <w:sz w:val="24"/>
              </w:rPr>
            </w:pPr>
            <w:r>
              <w:rPr>
                <w:kern w:val="0"/>
                <w:sz w:val="24"/>
              </w:rPr>
              <w:t>道路沿线水稻田及少量玉米地，受灌溉影响，部分段落积水严重的填方和挖方路段，施工时需挖除地表以下100~150cm 的淤泥土，并用天然砂砾换填。若地基土呈软塑状态较为严重，施工质量难以保证，挖除淤泥土后根据现场湿软路基土质情况动态控制，在层底增加填筑大块、片石，粒径要求30~50cm，重型压路机碾压后，在其顶面铺设100cm天然砂砾分层进行填筑压实，每层厚度30cm，天然砂砾填筑至路床顶面，压实度要求同路基压实度。</w:t>
            </w:r>
          </w:p>
          <w:p w14:paraId="1AAEBD25">
            <w:pPr>
              <w:jc w:val="center"/>
              <w:rPr>
                <w:rFonts w:eastAsia="黑体"/>
                <w:szCs w:val="21"/>
              </w:rPr>
            </w:pPr>
            <w:r>
              <w:rPr>
                <w:rFonts w:eastAsia="黑体"/>
              </w:rPr>
              <w:t>表2-3    路基压实度标准</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849"/>
              <w:gridCol w:w="2325"/>
              <w:gridCol w:w="1778"/>
              <w:gridCol w:w="1367"/>
              <w:gridCol w:w="1279"/>
            </w:tblGrid>
            <w:tr w14:paraId="2B0C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3" w:type="pct"/>
                  <w:gridSpan w:val="2"/>
                  <w:shd w:val="clear" w:color="auto" w:fill="auto"/>
                  <w:vAlign w:val="center"/>
                </w:tcPr>
                <w:p w14:paraId="3C9AE286">
                  <w:pPr>
                    <w:jc w:val="center"/>
                    <w:rPr>
                      <w:snapToGrid w:val="0"/>
                    </w:rPr>
                  </w:pPr>
                  <w:r>
                    <w:rPr>
                      <w:snapToGrid w:val="0"/>
                    </w:rPr>
                    <w:t>填挖类型</w:t>
                  </w:r>
                </w:p>
              </w:tc>
              <w:tc>
                <w:tcPr>
                  <w:tcW w:w="1432" w:type="pct"/>
                  <w:shd w:val="clear" w:color="auto" w:fill="auto"/>
                  <w:vAlign w:val="center"/>
                </w:tcPr>
                <w:p w14:paraId="1CF0FD5B">
                  <w:pPr>
                    <w:jc w:val="center"/>
                    <w:rPr>
                      <w:snapToGrid w:val="0"/>
                    </w:rPr>
                  </w:pPr>
                  <w:r>
                    <w:rPr>
                      <w:snapToGrid w:val="0"/>
                    </w:rPr>
                    <w:t>路面底面以下深度（cm）</w:t>
                  </w:r>
                </w:p>
              </w:tc>
              <w:tc>
                <w:tcPr>
                  <w:tcW w:w="1095" w:type="pct"/>
                  <w:shd w:val="clear" w:color="auto" w:fill="auto"/>
                  <w:vAlign w:val="center"/>
                </w:tcPr>
                <w:p w14:paraId="64345B42">
                  <w:pPr>
                    <w:jc w:val="center"/>
                    <w:rPr>
                      <w:snapToGrid w:val="0"/>
                    </w:rPr>
                  </w:pPr>
                  <w:r>
                    <w:rPr>
                      <w:snapToGrid w:val="0"/>
                    </w:rPr>
                    <w:t>填料最大料径（cm）</w:t>
                  </w:r>
                </w:p>
              </w:tc>
              <w:tc>
                <w:tcPr>
                  <w:tcW w:w="842" w:type="pct"/>
                  <w:shd w:val="clear" w:color="auto" w:fill="auto"/>
                  <w:vAlign w:val="center"/>
                </w:tcPr>
                <w:p w14:paraId="479DCC97">
                  <w:pPr>
                    <w:jc w:val="center"/>
                    <w:rPr>
                      <w:snapToGrid w:val="0"/>
                    </w:rPr>
                  </w:pPr>
                  <w:r>
                    <w:rPr>
                      <w:snapToGrid w:val="0"/>
                    </w:rPr>
                    <w:t>压实标准</w:t>
                  </w:r>
                </w:p>
              </w:tc>
              <w:tc>
                <w:tcPr>
                  <w:tcW w:w="788" w:type="pct"/>
                  <w:shd w:val="clear" w:color="auto" w:fill="auto"/>
                  <w:vAlign w:val="center"/>
                </w:tcPr>
                <w:p w14:paraId="0BBE9FFD">
                  <w:pPr>
                    <w:jc w:val="center"/>
                    <w:rPr>
                      <w:snapToGrid w:val="0"/>
                    </w:rPr>
                  </w:pPr>
                  <w:r>
                    <w:rPr>
                      <w:snapToGrid w:val="0"/>
                    </w:rPr>
                    <w:t>压实度（%）</w:t>
                  </w:r>
                </w:p>
              </w:tc>
            </w:tr>
            <w:tr w14:paraId="3B7B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Merge w:val="restart"/>
                  <w:shd w:val="clear" w:color="auto" w:fill="auto"/>
                  <w:vAlign w:val="center"/>
                </w:tcPr>
                <w:p w14:paraId="16A39314">
                  <w:pPr>
                    <w:jc w:val="center"/>
                    <w:rPr>
                      <w:snapToGrid w:val="0"/>
                    </w:rPr>
                  </w:pPr>
                  <w:r>
                    <w:rPr>
                      <w:snapToGrid w:val="0"/>
                    </w:rPr>
                    <w:t>填方路基</w:t>
                  </w:r>
                </w:p>
              </w:tc>
              <w:tc>
                <w:tcPr>
                  <w:tcW w:w="523" w:type="pct"/>
                  <w:shd w:val="clear" w:color="auto" w:fill="auto"/>
                  <w:vAlign w:val="center"/>
                </w:tcPr>
                <w:p w14:paraId="1C4E1639">
                  <w:pPr>
                    <w:jc w:val="center"/>
                    <w:rPr>
                      <w:snapToGrid w:val="0"/>
                    </w:rPr>
                  </w:pPr>
                  <w:r>
                    <w:rPr>
                      <w:snapToGrid w:val="0"/>
                    </w:rPr>
                    <w:t>上路床</w:t>
                  </w:r>
                </w:p>
              </w:tc>
              <w:tc>
                <w:tcPr>
                  <w:tcW w:w="1432" w:type="pct"/>
                  <w:shd w:val="clear" w:color="auto" w:fill="auto"/>
                  <w:vAlign w:val="center"/>
                </w:tcPr>
                <w:p w14:paraId="7AB745C5">
                  <w:pPr>
                    <w:jc w:val="center"/>
                    <w:rPr>
                      <w:snapToGrid w:val="0"/>
                    </w:rPr>
                  </w:pPr>
                  <w:r>
                    <w:rPr>
                      <w:snapToGrid w:val="0"/>
                    </w:rPr>
                    <w:t>0-30</w:t>
                  </w:r>
                </w:p>
              </w:tc>
              <w:tc>
                <w:tcPr>
                  <w:tcW w:w="1095" w:type="pct"/>
                  <w:shd w:val="clear" w:color="auto" w:fill="auto"/>
                  <w:vAlign w:val="center"/>
                </w:tcPr>
                <w:p w14:paraId="63FC9831">
                  <w:pPr>
                    <w:jc w:val="center"/>
                    <w:rPr>
                      <w:snapToGrid w:val="0"/>
                    </w:rPr>
                  </w:pPr>
                  <w:r>
                    <w:rPr>
                      <w:snapToGrid w:val="0"/>
                    </w:rPr>
                    <w:t>10</w:t>
                  </w:r>
                </w:p>
              </w:tc>
              <w:tc>
                <w:tcPr>
                  <w:tcW w:w="842" w:type="pct"/>
                  <w:vMerge w:val="restart"/>
                  <w:shd w:val="clear" w:color="auto" w:fill="auto"/>
                  <w:vAlign w:val="center"/>
                </w:tcPr>
                <w:p w14:paraId="6C6772EE">
                  <w:pPr>
                    <w:jc w:val="center"/>
                    <w:rPr>
                      <w:snapToGrid w:val="0"/>
                    </w:rPr>
                  </w:pPr>
                  <w:r>
                    <w:rPr>
                      <w:snapToGrid w:val="0"/>
                    </w:rPr>
                    <w:t>重型</w:t>
                  </w:r>
                </w:p>
              </w:tc>
              <w:tc>
                <w:tcPr>
                  <w:tcW w:w="788" w:type="pct"/>
                  <w:shd w:val="clear" w:color="auto" w:fill="auto"/>
                  <w:vAlign w:val="center"/>
                </w:tcPr>
                <w:p w14:paraId="57B0FA36">
                  <w:pPr>
                    <w:jc w:val="center"/>
                    <w:rPr>
                      <w:snapToGrid w:val="0"/>
                    </w:rPr>
                  </w:pPr>
                  <w:r>
                    <w:rPr>
                      <w:snapToGrid w:val="0"/>
                    </w:rPr>
                    <w:t>96</w:t>
                  </w:r>
                </w:p>
              </w:tc>
            </w:tr>
            <w:tr w14:paraId="40F8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Merge w:val="continue"/>
                  <w:shd w:val="clear" w:color="auto" w:fill="auto"/>
                  <w:vAlign w:val="center"/>
                </w:tcPr>
                <w:p w14:paraId="19E304B1">
                  <w:pPr>
                    <w:jc w:val="center"/>
                    <w:rPr>
                      <w:snapToGrid w:val="0"/>
                    </w:rPr>
                  </w:pPr>
                </w:p>
              </w:tc>
              <w:tc>
                <w:tcPr>
                  <w:tcW w:w="523" w:type="pct"/>
                  <w:shd w:val="clear" w:color="auto" w:fill="auto"/>
                  <w:vAlign w:val="center"/>
                </w:tcPr>
                <w:p w14:paraId="3537AF20">
                  <w:pPr>
                    <w:jc w:val="center"/>
                    <w:rPr>
                      <w:snapToGrid w:val="0"/>
                    </w:rPr>
                  </w:pPr>
                  <w:r>
                    <w:rPr>
                      <w:snapToGrid w:val="0"/>
                    </w:rPr>
                    <w:t>下路床</w:t>
                  </w:r>
                </w:p>
              </w:tc>
              <w:tc>
                <w:tcPr>
                  <w:tcW w:w="1432" w:type="pct"/>
                  <w:shd w:val="clear" w:color="auto" w:fill="auto"/>
                  <w:vAlign w:val="center"/>
                </w:tcPr>
                <w:p w14:paraId="34463AA3">
                  <w:pPr>
                    <w:jc w:val="center"/>
                    <w:rPr>
                      <w:snapToGrid w:val="0"/>
                    </w:rPr>
                  </w:pPr>
                  <w:r>
                    <w:rPr>
                      <w:snapToGrid w:val="0"/>
                    </w:rPr>
                    <w:t>30-80</w:t>
                  </w:r>
                </w:p>
              </w:tc>
              <w:tc>
                <w:tcPr>
                  <w:tcW w:w="1095" w:type="pct"/>
                  <w:shd w:val="clear" w:color="auto" w:fill="auto"/>
                  <w:vAlign w:val="center"/>
                </w:tcPr>
                <w:p w14:paraId="05445B28">
                  <w:pPr>
                    <w:jc w:val="center"/>
                    <w:rPr>
                      <w:snapToGrid w:val="0"/>
                    </w:rPr>
                  </w:pPr>
                  <w:r>
                    <w:rPr>
                      <w:snapToGrid w:val="0"/>
                    </w:rPr>
                    <w:t>10</w:t>
                  </w:r>
                </w:p>
              </w:tc>
              <w:tc>
                <w:tcPr>
                  <w:tcW w:w="842" w:type="pct"/>
                  <w:vMerge w:val="continue"/>
                  <w:shd w:val="clear" w:color="auto" w:fill="auto"/>
                  <w:vAlign w:val="center"/>
                </w:tcPr>
                <w:p w14:paraId="2A69BC23">
                  <w:pPr>
                    <w:jc w:val="center"/>
                    <w:rPr>
                      <w:snapToGrid w:val="0"/>
                    </w:rPr>
                  </w:pPr>
                </w:p>
              </w:tc>
              <w:tc>
                <w:tcPr>
                  <w:tcW w:w="788" w:type="pct"/>
                  <w:shd w:val="clear" w:color="auto" w:fill="auto"/>
                  <w:vAlign w:val="center"/>
                </w:tcPr>
                <w:p w14:paraId="356363CE">
                  <w:pPr>
                    <w:jc w:val="center"/>
                    <w:rPr>
                      <w:snapToGrid w:val="0"/>
                    </w:rPr>
                  </w:pPr>
                  <w:r>
                    <w:rPr>
                      <w:snapToGrid w:val="0"/>
                    </w:rPr>
                    <w:t>96</w:t>
                  </w:r>
                </w:p>
              </w:tc>
            </w:tr>
            <w:tr w14:paraId="156E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Merge w:val="continue"/>
                  <w:shd w:val="clear" w:color="auto" w:fill="auto"/>
                  <w:vAlign w:val="center"/>
                </w:tcPr>
                <w:p w14:paraId="1F4D3376">
                  <w:pPr>
                    <w:jc w:val="center"/>
                    <w:rPr>
                      <w:snapToGrid w:val="0"/>
                    </w:rPr>
                  </w:pPr>
                </w:p>
              </w:tc>
              <w:tc>
                <w:tcPr>
                  <w:tcW w:w="523" w:type="pct"/>
                  <w:shd w:val="clear" w:color="auto" w:fill="auto"/>
                  <w:vAlign w:val="center"/>
                </w:tcPr>
                <w:p w14:paraId="6FBC0058">
                  <w:pPr>
                    <w:jc w:val="center"/>
                    <w:rPr>
                      <w:snapToGrid w:val="0"/>
                    </w:rPr>
                  </w:pPr>
                  <w:r>
                    <w:rPr>
                      <w:snapToGrid w:val="0"/>
                    </w:rPr>
                    <w:t>上路堤</w:t>
                  </w:r>
                </w:p>
              </w:tc>
              <w:tc>
                <w:tcPr>
                  <w:tcW w:w="1432" w:type="pct"/>
                  <w:shd w:val="clear" w:color="auto" w:fill="auto"/>
                  <w:vAlign w:val="center"/>
                </w:tcPr>
                <w:p w14:paraId="1A661EF1">
                  <w:pPr>
                    <w:jc w:val="center"/>
                    <w:rPr>
                      <w:snapToGrid w:val="0"/>
                    </w:rPr>
                  </w:pPr>
                  <w:r>
                    <w:rPr>
                      <w:snapToGrid w:val="0"/>
                    </w:rPr>
                    <w:t>80~150</w:t>
                  </w:r>
                </w:p>
              </w:tc>
              <w:tc>
                <w:tcPr>
                  <w:tcW w:w="1095" w:type="pct"/>
                  <w:shd w:val="clear" w:color="auto" w:fill="auto"/>
                  <w:vAlign w:val="center"/>
                </w:tcPr>
                <w:p w14:paraId="5ABDB77A">
                  <w:pPr>
                    <w:jc w:val="center"/>
                    <w:rPr>
                      <w:snapToGrid w:val="0"/>
                    </w:rPr>
                  </w:pPr>
                  <w:r>
                    <w:rPr>
                      <w:snapToGrid w:val="0"/>
                    </w:rPr>
                    <w:t>15</w:t>
                  </w:r>
                </w:p>
              </w:tc>
              <w:tc>
                <w:tcPr>
                  <w:tcW w:w="842" w:type="pct"/>
                  <w:vMerge w:val="continue"/>
                  <w:shd w:val="clear" w:color="auto" w:fill="auto"/>
                  <w:vAlign w:val="center"/>
                </w:tcPr>
                <w:p w14:paraId="3B349871">
                  <w:pPr>
                    <w:jc w:val="center"/>
                    <w:rPr>
                      <w:snapToGrid w:val="0"/>
                    </w:rPr>
                  </w:pPr>
                </w:p>
              </w:tc>
              <w:tc>
                <w:tcPr>
                  <w:tcW w:w="788" w:type="pct"/>
                  <w:shd w:val="clear" w:color="auto" w:fill="auto"/>
                  <w:vAlign w:val="center"/>
                </w:tcPr>
                <w:p w14:paraId="6BC8E7B6">
                  <w:pPr>
                    <w:jc w:val="center"/>
                    <w:rPr>
                      <w:snapToGrid w:val="0"/>
                    </w:rPr>
                  </w:pPr>
                  <w:r>
                    <w:rPr>
                      <w:snapToGrid w:val="0"/>
                    </w:rPr>
                    <w:t>93</w:t>
                  </w:r>
                </w:p>
              </w:tc>
            </w:tr>
            <w:tr w14:paraId="37B4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0" w:type="pct"/>
                  <w:vMerge w:val="continue"/>
                  <w:shd w:val="clear" w:color="auto" w:fill="auto"/>
                  <w:vAlign w:val="center"/>
                </w:tcPr>
                <w:p w14:paraId="3DFF98C7">
                  <w:pPr>
                    <w:jc w:val="center"/>
                    <w:rPr>
                      <w:snapToGrid w:val="0"/>
                    </w:rPr>
                  </w:pPr>
                </w:p>
              </w:tc>
              <w:tc>
                <w:tcPr>
                  <w:tcW w:w="523" w:type="pct"/>
                  <w:shd w:val="clear" w:color="auto" w:fill="auto"/>
                  <w:vAlign w:val="center"/>
                </w:tcPr>
                <w:p w14:paraId="1194DBAB">
                  <w:pPr>
                    <w:jc w:val="center"/>
                    <w:rPr>
                      <w:snapToGrid w:val="0"/>
                    </w:rPr>
                  </w:pPr>
                  <w:r>
                    <w:rPr>
                      <w:snapToGrid w:val="0"/>
                    </w:rPr>
                    <w:t>下路堤</w:t>
                  </w:r>
                </w:p>
              </w:tc>
              <w:tc>
                <w:tcPr>
                  <w:tcW w:w="1432" w:type="pct"/>
                  <w:shd w:val="clear" w:color="auto" w:fill="auto"/>
                  <w:vAlign w:val="center"/>
                </w:tcPr>
                <w:p w14:paraId="16BBECA4">
                  <w:pPr>
                    <w:jc w:val="center"/>
                    <w:rPr>
                      <w:snapToGrid w:val="0"/>
                    </w:rPr>
                  </w:pPr>
                  <w:r>
                    <w:rPr>
                      <w:snapToGrid w:val="0"/>
                    </w:rPr>
                    <w:t>150以下</w:t>
                  </w:r>
                </w:p>
              </w:tc>
              <w:tc>
                <w:tcPr>
                  <w:tcW w:w="1095" w:type="pct"/>
                  <w:shd w:val="clear" w:color="auto" w:fill="auto"/>
                  <w:vAlign w:val="center"/>
                </w:tcPr>
                <w:p w14:paraId="427207ED">
                  <w:pPr>
                    <w:jc w:val="center"/>
                    <w:rPr>
                      <w:snapToGrid w:val="0"/>
                    </w:rPr>
                  </w:pPr>
                  <w:r>
                    <w:rPr>
                      <w:snapToGrid w:val="0"/>
                    </w:rPr>
                    <w:t>15</w:t>
                  </w:r>
                </w:p>
              </w:tc>
              <w:tc>
                <w:tcPr>
                  <w:tcW w:w="842" w:type="pct"/>
                  <w:vMerge w:val="continue"/>
                  <w:shd w:val="clear" w:color="auto" w:fill="auto"/>
                  <w:vAlign w:val="center"/>
                </w:tcPr>
                <w:p w14:paraId="2BA6D95A">
                  <w:pPr>
                    <w:jc w:val="center"/>
                    <w:rPr>
                      <w:snapToGrid w:val="0"/>
                    </w:rPr>
                  </w:pPr>
                </w:p>
              </w:tc>
              <w:tc>
                <w:tcPr>
                  <w:tcW w:w="788" w:type="pct"/>
                  <w:shd w:val="clear" w:color="auto" w:fill="auto"/>
                  <w:vAlign w:val="center"/>
                </w:tcPr>
                <w:p w14:paraId="3AED2BC2">
                  <w:pPr>
                    <w:jc w:val="center"/>
                    <w:rPr>
                      <w:snapToGrid w:val="0"/>
                    </w:rPr>
                  </w:pPr>
                  <w:r>
                    <w:rPr>
                      <w:snapToGrid w:val="0"/>
                    </w:rPr>
                    <w:t>92</w:t>
                  </w:r>
                </w:p>
              </w:tc>
            </w:tr>
            <w:tr w14:paraId="7683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3" w:type="pct"/>
                  <w:gridSpan w:val="2"/>
                  <w:vMerge w:val="restart"/>
                  <w:shd w:val="clear" w:color="auto" w:fill="auto"/>
                  <w:vAlign w:val="center"/>
                </w:tcPr>
                <w:p w14:paraId="263A1E1D">
                  <w:pPr>
                    <w:jc w:val="center"/>
                    <w:rPr>
                      <w:snapToGrid w:val="0"/>
                    </w:rPr>
                  </w:pPr>
                  <w:r>
                    <w:rPr>
                      <w:snapToGrid w:val="0"/>
                    </w:rPr>
                    <w:t>零填及路堑路床</w:t>
                  </w:r>
                </w:p>
              </w:tc>
              <w:tc>
                <w:tcPr>
                  <w:tcW w:w="1432" w:type="pct"/>
                  <w:shd w:val="clear" w:color="auto" w:fill="auto"/>
                  <w:vAlign w:val="center"/>
                </w:tcPr>
                <w:p w14:paraId="1EA20DE3">
                  <w:pPr>
                    <w:jc w:val="center"/>
                    <w:rPr>
                      <w:snapToGrid w:val="0"/>
                    </w:rPr>
                  </w:pPr>
                  <w:r>
                    <w:rPr>
                      <w:snapToGrid w:val="0"/>
                    </w:rPr>
                    <w:t>0-30</w:t>
                  </w:r>
                </w:p>
              </w:tc>
              <w:tc>
                <w:tcPr>
                  <w:tcW w:w="1095" w:type="pct"/>
                  <w:shd w:val="clear" w:color="auto" w:fill="auto"/>
                  <w:vAlign w:val="center"/>
                </w:tcPr>
                <w:p w14:paraId="49FB7EA7">
                  <w:pPr>
                    <w:jc w:val="center"/>
                    <w:rPr>
                      <w:snapToGrid w:val="0"/>
                    </w:rPr>
                  </w:pPr>
                  <w:r>
                    <w:rPr>
                      <w:snapToGrid w:val="0"/>
                    </w:rPr>
                    <w:t>10</w:t>
                  </w:r>
                </w:p>
              </w:tc>
              <w:tc>
                <w:tcPr>
                  <w:tcW w:w="842" w:type="pct"/>
                  <w:vMerge w:val="continue"/>
                  <w:shd w:val="clear" w:color="auto" w:fill="auto"/>
                  <w:vAlign w:val="center"/>
                </w:tcPr>
                <w:p w14:paraId="5036A78E">
                  <w:pPr>
                    <w:jc w:val="center"/>
                    <w:rPr>
                      <w:snapToGrid w:val="0"/>
                    </w:rPr>
                  </w:pPr>
                </w:p>
              </w:tc>
              <w:tc>
                <w:tcPr>
                  <w:tcW w:w="788" w:type="pct"/>
                  <w:shd w:val="clear" w:color="auto" w:fill="auto"/>
                  <w:vAlign w:val="center"/>
                </w:tcPr>
                <w:p w14:paraId="5BC6D916">
                  <w:pPr>
                    <w:jc w:val="center"/>
                    <w:rPr>
                      <w:snapToGrid w:val="0"/>
                    </w:rPr>
                  </w:pPr>
                  <w:r>
                    <w:rPr>
                      <w:snapToGrid w:val="0"/>
                    </w:rPr>
                    <w:t>96</w:t>
                  </w:r>
                </w:p>
              </w:tc>
            </w:tr>
            <w:tr w14:paraId="006F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3" w:type="pct"/>
                  <w:gridSpan w:val="2"/>
                  <w:vMerge w:val="continue"/>
                  <w:shd w:val="clear" w:color="auto" w:fill="auto"/>
                  <w:vAlign w:val="center"/>
                </w:tcPr>
                <w:p w14:paraId="1CA66EFB">
                  <w:pPr>
                    <w:jc w:val="center"/>
                    <w:rPr>
                      <w:snapToGrid w:val="0"/>
                    </w:rPr>
                  </w:pPr>
                </w:p>
              </w:tc>
              <w:tc>
                <w:tcPr>
                  <w:tcW w:w="1432" w:type="pct"/>
                  <w:shd w:val="clear" w:color="auto" w:fill="auto"/>
                  <w:vAlign w:val="center"/>
                </w:tcPr>
                <w:p w14:paraId="37FC5426">
                  <w:pPr>
                    <w:jc w:val="center"/>
                    <w:rPr>
                      <w:snapToGrid w:val="0"/>
                    </w:rPr>
                  </w:pPr>
                  <w:r>
                    <w:rPr>
                      <w:snapToGrid w:val="0"/>
                    </w:rPr>
                    <w:t>30-80</w:t>
                  </w:r>
                </w:p>
              </w:tc>
              <w:tc>
                <w:tcPr>
                  <w:tcW w:w="1095" w:type="pct"/>
                  <w:shd w:val="clear" w:color="auto" w:fill="auto"/>
                  <w:vAlign w:val="center"/>
                </w:tcPr>
                <w:p w14:paraId="6634FBC9">
                  <w:pPr>
                    <w:jc w:val="center"/>
                    <w:rPr>
                      <w:snapToGrid w:val="0"/>
                    </w:rPr>
                  </w:pPr>
                  <w:r>
                    <w:rPr>
                      <w:snapToGrid w:val="0"/>
                    </w:rPr>
                    <w:t>10</w:t>
                  </w:r>
                </w:p>
              </w:tc>
              <w:tc>
                <w:tcPr>
                  <w:tcW w:w="842" w:type="pct"/>
                  <w:vMerge w:val="continue"/>
                  <w:shd w:val="clear" w:color="auto" w:fill="auto"/>
                  <w:vAlign w:val="center"/>
                </w:tcPr>
                <w:p w14:paraId="19AC40E3">
                  <w:pPr>
                    <w:jc w:val="center"/>
                    <w:rPr>
                      <w:snapToGrid w:val="0"/>
                    </w:rPr>
                  </w:pPr>
                </w:p>
              </w:tc>
              <w:tc>
                <w:tcPr>
                  <w:tcW w:w="788" w:type="pct"/>
                  <w:shd w:val="clear" w:color="auto" w:fill="auto"/>
                  <w:vAlign w:val="center"/>
                </w:tcPr>
                <w:p w14:paraId="00420967">
                  <w:pPr>
                    <w:jc w:val="center"/>
                    <w:rPr>
                      <w:snapToGrid w:val="0"/>
                    </w:rPr>
                  </w:pPr>
                  <w:r>
                    <w:rPr>
                      <w:snapToGrid w:val="0"/>
                    </w:rPr>
                    <w:t>93</w:t>
                  </w:r>
                </w:p>
              </w:tc>
            </w:tr>
          </w:tbl>
          <w:p w14:paraId="4D92869F">
            <w:pPr>
              <w:pStyle w:val="65"/>
              <w:ind w:firstLine="480"/>
            </w:pPr>
            <w:r>
              <w:rPr>
                <w:rFonts w:hint="eastAsia"/>
              </w:rPr>
              <w:t>3.6 路基边坡</w:t>
            </w:r>
          </w:p>
          <w:p w14:paraId="271525AB">
            <w:pPr>
              <w:autoSpaceDE w:val="0"/>
              <w:autoSpaceDN w:val="0"/>
              <w:adjustRightInd w:val="0"/>
              <w:spacing w:line="360" w:lineRule="auto"/>
              <w:ind w:firstLine="480" w:firstLineChars="200"/>
              <w:rPr>
                <w:bCs/>
                <w:sz w:val="24"/>
              </w:rPr>
            </w:pPr>
            <w:r>
              <w:rPr>
                <w:rFonts w:hint="eastAsia"/>
                <w:bCs/>
                <w:sz w:val="24"/>
              </w:rPr>
              <w:t>填方路段：填方高度≤6米的路段，边坡坡率为1:1.5；</w:t>
            </w:r>
          </w:p>
          <w:p w14:paraId="094368EE">
            <w:pPr>
              <w:autoSpaceDE w:val="0"/>
              <w:autoSpaceDN w:val="0"/>
              <w:adjustRightInd w:val="0"/>
              <w:spacing w:line="360" w:lineRule="auto"/>
              <w:ind w:firstLine="480" w:firstLineChars="200"/>
              <w:rPr>
                <w:bCs/>
                <w:sz w:val="24"/>
              </w:rPr>
            </w:pPr>
            <w:r>
              <w:rPr>
                <w:rFonts w:hint="eastAsia"/>
                <w:bCs/>
                <w:sz w:val="24"/>
              </w:rPr>
              <w:t>6米≤填方高度≤12米的路段，一级边坡坡率为1:1.5，中间设置2米宽的平台，二级边坡坡率为1:75；</w:t>
            </w:r>
          </w:p>
          <w:p w14:paraId="1C7F07BF">
            <w:pPr>
              <w:autoSpaceDE w:val="0"/>
              <w:autoSpaceDN w:val="0"/>
              <w:adjustRightInd w:val="0"/>
              <w:spacing w:line="360" w:lineRule="auto"/>
              <w:ind w:firstLine="480" w:firstLineChars="200"/>
              <w:rPr>
                <w:bCs/>
                <w:sz w:val="24"/>
              </w:rPr>
            </w:pPr>
            <w:r>
              <w:rPr>
                <w:rFonts w:hint="eastAsia"/>
                <w:bCs/>
                <w:sz w:val="24"/>
              </w:rPr>
              <w:t>挖方路段：挖方高度≤6米的路段，边坡坡率为1:0.5；</w:t>
            </w:r>
          </w:p>
          <w:p w14:paraId="7A1D1F1D">
            <w:pPr>
              <w:autoSpaceDE w:val="0"/>
              <w:autoSpaceDN w:val="0"/>
              <w:adjustRightInd w:val="0"/>
              <w:spacing w:line="360" w:lineRule="auto"/>
              <w:ind w:firstLine="480" w:firstLineChars="200"/>
              <w:rPr>
                <w:bCs/>
                <w:sz w:val="24"/>
              </w:rPr>
            </w:pPr>
            <w:r>
              <w:rPr>
                <w:rFonts w:hint="eastAsia"/>
                <w:bCs/>
                <w:sz w:val="24"/>
              </w:rPr>
              <w:t>6米≤挖方高度≤12米的路段，一级边坡坡率为1:0.5，中间设置2米宽的平台，二级边坡坡率为1:0.5。</w:t>
            </w:r>
          </w:p>
          <w:p w14:paraId="4A3FA5A1">
            <w:pPr>
              <w:pStyle w:val="65"/>
              <w:ind w:firstLine="480"/>
            </w:pPr>
            <w:r>
              <w:rPr>
                <w:rFonts w:hint="eastAsia"/>
              </w:rPr>
              <w:t xml:space="preserve">3.7 </w:t>
            </w:r>
            <w:r>
              <w:t>路面结构</w:t>
            </w:r>
          </w:p>
          <w:p w14:paraId="1062D207">
            <w:pPr>
              <w:autoSpaceDE w:val="0"/>
              <w:autoSpaceDN w:val="0"/>
              <w:adjustRightInd w:val="0"/>
              <w:spacing w:line="360" w:lineRule="auto"/>
              <w:ind w:firstLine="480" w:firstLineChars="200"/>
              <w:rPr>
                <w:kern w:val="0"/>
                <w:sz w:val="24"/>
              </w:rPr>
            </w:pPr>
            <w:r>
              <w:rPr>
                <w:rFonts w:hint="eastAsia"/>
                <w:kern w:val="0"/>
                <w:sz w:val="24"/>
              </w:rPr>
              <w:t>本工程采用沥青混凝土路面，路面设计以双轮组单轴载BZZ-100为标准轴载，路面结构设计使用年限10年。</w:t>
            </w:r>
          </w:p>
          <w:p w14:paraId="3A20091F">
            <w:pPr>
              <w:autoSpaceDE w:val="0"/>
              <w:autoSpaceDN w:val="0"/>
              <w:adjustRightInd w:val="0"/>
              <w:spacing w:line="360" w:lineRule="auto"/>
              <w:ind w:firstLine="480" w:firstLineChars="200"/>
              <w:rPr>
                <w:kern w:val="0"/>
                <w:sz w:val="24"/>
              </w:rPr>
            </w:pPr>
            <w:r>
              <w:rPr>
                <w:rFonts w:hint="eastAsia"/>
                <w:kern w:val="0"/>
                <w:sz w:val="24"/>
              </w:rPr>
              <w:t>高铁一路、高铁二路的机动车道路面结构；</w:t>
            </w:r>
          </w:p>
          <w:p w14:paraId="7A0AB509">
            <w:pPr>
              <w:autoSpaceDE w:val="0"/>
              <w:autoSpaceDN w:val="0"/>
              <w:adjustRightInd w:val="0"/>
              <w:spacing w:line="360" w:lineRule="auto"/>
              <w:ind w:firstLine="480" w:firstLineChars="200"/>
              <w:rPr>
                <w:kern w:val="0"/>
                <w:sz w:val="24"/>
              </w:rPr>
            </w:pPr>
            <w:r>
              <w:rPr>
                <w:rFonts w:hint="eastAsia"/>
                <w:kern w:val="0"/>
                <w:sz w:val="24"/>
              </w:rPr>
              <w:t>路面总厚为88cm，结构组合为：</w:t>
            </w:r>
          </w:p>
          <w:p w14:paraId="07D0251E">
            <w:pPr>
              <w:autoSpaceDE w:val="0"/>
              <w:autoSpaceDN w:val="0"/>
              <w:adjustRightInd w:val="0"/>
              <w:spacing w:line="360" w:lineRule="auto"/>
              <w:ind w:firstLine="480" w:firstLineChars="200"/>
              <w:rPr>
                <w:kern w:val="0"/>
                <w:sz w:val="24"/>
              </w:rPr>
            </w:pPr>
            <w:r>
              <w:rPr>
                <w:rFonts w:hint="eastAsia"/>
                <w:kern w:val="0"/>
                <w:sz w:val="24"/>
              </w:rPr>
              <w:t>上面层：5cmSBS改性沥青混凝土（AC-13）</w:t>
            </w:r>
          </w:p>
          <w:p w14:paraId="572C9357">
            <w:pPr>
              <w:autoSpaceDE w:val="0"/>
              <w:autoSpaceDN w:val="0"/>
              <w:adjustRightInd w:val="0"/>
              <w:spacing w:line="360" w:lineRule="auto"/>
              <w:ind w:firstLine="480" w:firstLineChars="200"/>
              <w:rPr>
                <w:kern w:val="0"/>
                <w:sz w:val="24"/>
              </w:rPr>
            </w:pPr>
            <w:r>
              <w:rPr>
                <w:rFonts w:hint="eastAsia"/>
                <w:kern w:val="0"/>
                <w:sz w:val="24"/>
              </w:rPr>
              <w:t>粘层油：PC-3粘层沥青0.3kg/m2</w:t>
            </w:r>
          </w:p>
          <w:p w14:paraId="641D4738">
            <w:pPr>
              <w:autoSpaceDE w:val="0"/>
              <w:autoSpaceDN w:val="0"/>
              <w:adjustRightInd w:val="0"/>
              <w:spacing w:line="360" w:lineRule="auto"/>
              <w:ind w:firstLine="480" w:firstLineChars="200"/>
              <w:rPr>
                <w:kern w:val="0"/>
                <w:sz w:val="24"/>
              </w:rPr>
            </w:pPr>
            <w:r>
              <w:rPr>
                <w:rFonts w:hint="eastAsia"/>
                <w:kern w:val="0"/>
                <w:sz w:val="24"/>
              </w:rPr>
              <w:t>下面层：7cm中粒式沥青混凝土（AC-20）</w:t>
            </w:r>
          </w:p>
          <w:p w14:paraId="52422EA5">
            <w:pPr>
              <w:autoSpaceDE w:val="0"/>
              <w:autoSpaceDN w:val="0"/>
              <w:adjustRightInd w:val="0"/>
              <w:spacing w:line="360" w:lineRule="auto"/>
              <w:ind w:firstLine="480" w:firstLineChars="200"/>
              <w:rPr>
                <w:kern w:val="0"/>
                <w:sz w:val="24"/>
              </w:rPr>
            </w:pPr>
            <w:r>
              <w:rPr>
                <w:rFonts w:hint="eastAsia"/>
                <w:kern w:val="0"/>
                <w:sz w:val="24"/>
              </w:rPr>
              <w:t>封  层：1cm同步碎石封层、玻纤格栅防裂层</w:t>
            </w:r>
          </w:p>
          <w:p w14:paraId="50046115">
            <w:pPr>
              <w:autoSpaceDE w:val="0"/>
              <w:autoSpaceDN w:val="0"/>
              <w:adjustRightInd w:val="0"/>
              <w:spacing w:line="360" w:lineRule="auto"/>
              <w:ind w:firstLine="480" w:firstLineChars="200"/>
              <w:rPr>
                <w:kern w:val="0"/>
                <w:sz w:val="24"/>
              </w:rPr>
            </w:pPr>
            <w:r>
              <w:rPr>
                <w:rFonts w:hint="eastAsia"/>
                <w:kern w:val="0"/>
                <w:sz w:val="24"/>
              </w:rPr>
              <w:t>上基层：25水泥稳定碎石（水泥含量5%）</w:t>
            </w:r>
          </w:p>
          <w:p w14:paraId="530D471B">
            <w:pPr>
              <w:autoSpaceDE w:val="0"/>
              <w:autoSpaceDN w:val="0"/>
              <w:adjustRightInd w:val="0"/>
              <w:spacing w:line="360" w:lineRule="auto"/>
              <w:ind w:firstLine="480" w:firstLineChars="200"/>
              <w:rPr>
                <w:kern w:val="0"/>
                <w:sz w:val="24"/>
              </w:rPr>
            </w:pPr>
            <w:r>
              <w:rPr>
                <w:rFonts w:hint="eastAsia"/>
                <w:kern w:val="0"/>
                <w:sz w:val="24"/>
              </w:rPr>
              <w:t>下基层：30水泥稳定级配砂砾（水泥含量4%）</w:t>
            </w:r>
          </w:p>
          <w:p w14:paraId="3F6DC6E7">
            <w:pPr>
              <w:autoSpaceDE w:val="0"/>
              <w:autoSpaceDN w:val="0"/>
              <w:adjustRightInd w:val="0"/>
              <w:spacing w:line="360" w:lineRule="auto"/>
              <w:ind w:firstLine="480" w:firstLineChars="200"/>
              <w:rPr>
                <w:kern w:val="0"/>
                <w:sz w:val="24"/>
              </w:rPr>
            </w:pPr>
            <w:r>
              <w:rPr>
                <w:rFonts w:hint="eastAsia"/>
                <w:kern w:val="0"/>
                <w:sz w:val="24"/>
              </w:rPr>
              <w:t>垫  层：20cm级配砂砾</w:t>
            </w:r>
          </w:p>
          <w:p w14:paraId="71745B90">
            <w:pPr>
              <w:autoSpaceDE w:val="0"/>
              <w:autoSpaceDN w:val="0"/>
              <w:adjustRightInd w:val="0"/>
              <w:spacing w:line="360" w:lineRule="auto"/>
              <w:ind w:firstLine="480" w:firstLineChars="200"/>
              <w:rPr>
                <w:kern w:val="0"/>
                <w:sz w:val="24"/>
              </w:rPr>
            </w:pPr>
            <w:r>
              <w:rPr>
                <w:rFonts w:hint="eastAsia"/>
                <w:kern w:val="0"/>
                <w:sz w:val="24"/>
              </w:rPr>
              <w:t>路基顶面土基回弹模量≥36MPa，机动车道路面竣工弯沉值Ls=21.7（0.01mm），路床顶</w:t>
            </w:r>
          </w:p>
          <w:p w14:paraId="17E9A6BD">
            <w:pPr>
              <w:autoSpaceDE w:val="0"/>
              <w:autoSpaceDN w:val="0"/>
              <w:adjustRightInd w:val="0"/>
              <w:spacing w:line="360" w:lineRule="auto"/>
              <w:ind w:firstLine="480" w:firstLineChars="200"/>
              <w:rPr>
                <w:kern w:val="0"/>
                <w:sz w:val="24"/>
              </w:rPr>
            </w:pPr>
            <w:r>
              <w:rPr>
                <w:rFonts w:hint="eastAsia"/>
                <w:kern w:val="0"/>
                <w:sz w:val="24"/>
              </w:rPr>
              <w:t>面竣工弯沉值Ls=258.8（0.01mm）。路面竣工验收抗滑指标为：横向力系数SFC60≥50mm；构</w:t>
            </w:r>
          </w:p>
          <w:p w14:paraId="79AE6B36">
            <w:pPr>
              <w:autoSpaceDE w:val="0"/>
              <w:autoSpaceDN w:val="0"/>
              <w:adjustRightInd w:val="0"/>
              <w:spacing w:line="360" w:lineRule="auto"/>
              <w:ind w:firstLine="480" w:firstLineChars="200"/>
              <w:rPr>
                <w:kern w:val="0"/>
                <w:sz w:val="24"/>
              </w:rPr>
            </w:pPr>
            <w:r>
              <w:rPr>
                <w:rFonts w:hint="eastAsia"/>
                <w:kern w:val="0"/>
                <w:sz w:val="24"/>
              </w:rPr>
              <w:t>造深度TD为≥0.5mm；石料磨光值PSV≥40。</w:t>
            </w:r>
          </w:p>
          <w:p w14:paraId="3353EC8E">
            <w:pPr>
              <w:autoSpaceDE w:val="0"/>
              <w:autoSpaceDN w:val="0"/>
              <w:adjustRightInd w:val="0"/>
              <w:spacing w:line="360" w:lineRule="auto"/>
              <w:ind w:firstLine="480" w:firstLineChars="200"/>
              <w:rPr>
                <w:kern w:val="0"/>
                <w:sz w:val="24"/>
              </w:rPr>
            </w:pPr>
            <w:r>
              <w:rPr>
                <w:rFonts w:hint="eastAsia"/>
                <w:kern w:val="0"/>
                <w:sz w:val="24"/>
              </w:rPr>
              <w:t>人行道路面</w:t>
            </w:r>
          </w:p>
          <w:p w14:paraId="35A6D9D4">
            <w:pPr>
              <w:autoSpaceDE w:val="0"/>
              <w:autoSpaceDN w:val="0"/>
              <w:adjustRightInd w:val="0"/>
              <w:spacing w:line="360" w:lineRule="auto"/>
              <w:ind w:firstLine="480" w:firstLineChars="200"/>
              <w:rPr>
                <w:kern w:val="0"/>
                <w:sz w:val="24"/>
              </w:rPr>
            </w:pPr>
            <w:r>
              <w:rPr>
                <w:rFonts w:hint="eastAsia"/>
                <w:kern w:val="0"/>
                <w:sz w:val="24"/>
              </w:rPr>
              <w:t>路面结构总厚34cm，结构组合为：</w:t>
            </w:r>
          </w:p>
          <w:p w14:paraId="5CFF767A">
            <w:pPr>
              <w:autoSpaceDE w:val="0"/>
              <w:autoSpaceDN w:val="0"/>
              <w:adjustRightInd w:val="0"/>
              <w:spacing w:line="360" w:lineRule="auto"/>
              <w:ind w:firstLine="480" w:firstLineChars="200"/>
              <w:rPr>
                <w:kern w:val="0"/>
                <w:sz w:val="24"/>
              </w:rPr>
            </w:pPr>
            <w:r>
              <w:rPr>
                <w:rFonts w:hint="eastAsia"/>
                <w:kern w:val="0"/>
                <w:sz w:val="24"/>
              </w:rPr>
              <w:t>面  层：6cm  C30 荷兰砖</w:t>
            </w:r>
          </w:p>
          <w:p w14:paraId="4F7105B4">
            <w:pPr>
              <w:autoSpaceDE w:val="0"/>
              <w:autoSpaceDN w:val="0"/>
              <w:adjustRightInd w:val="0"/>
              <w:spacing w:line="360" w:lineRule="auto"/>
              <w:ind w:firstLine="480" w:firstLineChars="200"/>
              <w:rPr>
                <w:kern w:val="0"/>
                <w:sz w:val="24"/>
              </w:rPr>
            </w:pPr>
            <w:r>
              <w:rPr>
                <w:rFonts w:hint="eastAsia"/>
                <w:kern w:val="0"/>
                <w:sz w:val="24"/>
              </w:rPr>
              <w:t>3cm  M10水泥砂浆</w:t>
            </w:r>
          </w:p>
          <w:p w14:paraId="3DF4ACFF">
            <w:pPr>
              <w:autoSpaceDE w:val="0"/>
              <w:autoSpaceDN w:val="0"/>
              <w:adjustRightInd w:val="0"/>
              <w:spacing w:line="360" w:lineRule="auto"/>
              <w:ind w:firstLine="480" w:firstLineChars="200"/>
              <w:rPr>
                <w:kern w:val="0"/>
                <w:sz w:val="24"/>
              </w:rPr>
            </w:pPr>
            <w:r>
              <w:rPr>
                <w:rFonts w:hint="eastAsia"/>
                <w:kern w:val="0"/>
                <w:sz w:val="24"/>
              </w:rPr>
              <w:t>基  层：10cm  C20水泥混凝土</w:t>
            </w:r>
          </w:p>
          <w:p w14:paraId="4EC430A0">
            <w:pPr>
              <w:autoSpaceDE w:val="0"/>
              <w:autoSpaceDN w:val="0"/>
              <w:adjustRightInd w:val="0"/>
              <w:spacing w:line="360" w:lineRule="auto"/>
              <w:ind w:firstLine="480" w:firstLineChars="200"/>
              <w:rPr>
                <w:kern w:val="0"/>
                <w:sz w:val="24"/>
              </w:rPr>
            </w:pPr>
            <w:r>
              <w:rPr>
                <w:rFonts w:hint="eastAsia"/>
                <w:kern w:val="0"/>
                <w:sz w:val="24"/>
              </w:rPr>
              <w:t>垫  层：15cm天然砂砾</w:t>
            </w:r>
          </w:p>
          <w:p w14:paraId="5B3BABCE">
            <w:pPr>
              <w:autoSpaceDE w:val="0"/>
              <w:autoSpaceDN w:val="0"/>
              <w:adjustRightInd w:val="0"/>
              <w:spacing w:line="360" w:lineRule="auto"/>
              <w:ind w:firstLine="480" w:firstLineChars="200"/>
              <w:jc w:val="left"/>
              <w:rPr>
                <w:kern w:val="0"/>
                <w:sz w:val="24"/>
              </w:rPr>
            </w:pPr>
            <w:r>
              <w:rPr>
                <w:rFonts w:hint="eastAsia"/>
                <w:kern w:val="0"/>
                <w:sz w:val="24"/>
              </w:rPr>
              <w:t>3.8 桥梁工程</w:t>
            </w:r>
          </w:p>
          <w:p w14:paraId="3F398DF0">
            <w:pPr>
              <w:autoSpaceDE w:val="0"/>
              <w:autoSpaceDN w:val="0"/>
              <w:adjustRightInd w:val="0"/>
              <w:spacing w:line="360" w:lineRule="auto"/>
              <w:ind w:firstLine="480" w:firstLineChars="200"/>
              <w:jc w:val="left"/>
              <w:rPr>
                <w:kern w:val="0"/>
                <w:sz w:val="24"/>
              </w:rPr>
            </w:pPr>
            <w:r>
              <w:rPr>
                <w:rFonts w:hint="eastAsia"/>
                <w:kern w:val="0"/>
                <w:sz w:val="24"/>
              </w:rPr>
              <w:t>本项目为安康高铁站进站广场桥梁，属于高铁站进站广场桥梁，属于高铁站规划附属桥梁，主要作用为连接既有道路及高铁站进站口，匝道桥全长512m。上部结构采用钢箱梁；下部结构桥台采用U台，桥墩采用花瓶墩，墩台采用桩基础。匝道桥技术标准如下：</w:t>
            </w:r>
          </w:p>
          <w:p w14:paraId="3512225F">
            <w:pPr>
              <w:jc w:val="center"/>
              <w:rPr>
                <w:rFonts w:eastAsia="黑体"/>
                <w:szCs w:val="21"/>
              </w:rPr>
            </w:pPr>
            <w:r>
              <w:rPr>
                <w:rFonts w:eastAsia="黑体"/>
              </w:rPr>
              <w:t>表2-</w:t>
            </w:r>
            <w:r>
              <w:rPr>
                <w:rFonts w:hint="eastAsia" w:eastAsia="黑体"/>
              </w:rPr>
              <w:t>4</w:t>
            </w:r>
            <w:r>
              <w:rPr>
                <w:rFonts w:eastAsia="黑体"/>
              </w:rPr>
              <w:t xml:space="preserve">    </w:t>
            </w:r>
            <w:r>
              <w:rPr>
                <w:rFonts w:hint="eastAsia" w:eastAsia="黑体"/>
              </w:rPr>
              <w:t>匝道桥技术标准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835"/>
              <w:gridCol w:w="4531"/>
            </w:tblGrid>
            <w:tr w14:paraId="1069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54CFD3B7">
                  <w:pPr>
                    <w:autoSpaceDE w:val="0"/>
                    <w:autoSpaceDN w:val="0"/>
                    <w:adjustRightInd w:val="0"/>
                    <w:snapToGrid w:val="0"/>
                    <w:jc w:val="center"/>
                    <w:rPr>
                      <w:kern w:val="0"/>
                      <w:szCs w:val="21"/>
                    </w:rPr>
                  </w:pPr>
                  <w:r>
                    <w:rPr>
                      <w:rFonts w:hint="eastAsia"/>
                      <w:kern w:val="0"/>
                      <w:szCs w:val="21"/>
                    </w:rPr>
                    <w:t>序号</w:t>
                  </w:r>
                </w:p>
              </w:tc>
              <w:tc>
                <w:tcPr>
                  <w:tcW w:w="2835" w:type="dxa"/>
                  <w:vAlign w:val="center"/>
                </w:tcPr>
                <w:p w14:paraId="43F9FAA8">
                  <w:pPr>
                    <w:autoSpaceDE w:val="0"/>
                    <w:autoSpaceDN w:val="0"/>
                    <w:adjustRightInd w:val="0"/>
                    <w:snapToGrid w:val="0"/>
                    <w:jc w:val="center"/>
                    <w:rPr>
                      <w:kern w:val="0"/>
                      <w:szCs w:val="21"/>
                    </w:rPr>
                  </w:pPr>
                  <w:r>
                    <w:rPr>
                      <w:rFonts w:hint="eastAsia"/>
                      <w:kern w:val="0"/>
                      <w:szCs w:val="21"/>
                    </w:rPr>
                    <w:t>指标</w:t>
                  </w:r>
                </w:p>
              </w:tc>
              <w:tc>
                <w:tcPr>
                  <w:tcW w:w="4531" w:type="dxa"/>
                  <w:vAlign w:val="center"/>
                </w:tcPr>
                <w:p w14:paraId="6811DD70">
                  <w:pPr>
                    <w:autoSpaceDE w:val="0"/>
                    <w:autoSpaceDN w:val="0"/>
                    <w:adjustRightInd w:val="0"/>
                    <w:snapToGrid w:val="0"/>
                    <w:jc w:val="center"/>
                    <w:rPr>
                      <w:kern w:val="0"/>
                      <w:szCs w:val="21"/>
                    </w:rPr>
                  </w:pPr>
                  <w:r>
                    <w:rPr>
                      <w:rFonts w:hint="eastAsia"/>
                      <w:kern w:val="0"/>
                      <w:szCs w:val="21"/>
                    </w:rPr>
                    <w:t>设计值</w:t>
                  </w:r>
                </w:p>
              </w:tc>
            </w:tr>
            <w:tr w14:paraId="1815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291CB24C">
                  <w:pPr>
                    <w:autoSpaceDE w:val="0"/>
                    <w:autoSpaceDN w:val="0"/>
                    <w:adjustRightInd w:val="0"/>
                    <w:snapToGrid w:val="0"/>
                    <w:jc w:val="center"/>
                    <w:rPr>
                      <w:kern w:val="0"/>
                      <w:szCs w:val="21"/>
                    </w:rPr>
                  </w:pPr>
                  <w:r>
                    <w:rPr>
                      <w:rFonts w:hint="eastAsia"/>
                      <w:kern w:val="0"/>
                      <w:szCs w:val="21"/>
                    </w:rPr>
                    <w:t>1</w:t>
                  </w:r>
                </w:p>
              </w:tc>
              <w:tc>
                <w:tcPr>
                  <w:tcW w:w="2835" w:type="dxa"/>
                  <w:vAlign w:val="center"/>
                </w:tcPr>
                <w:p w14:paraId="4CF0CC53">
                  <w:pPr>
                    <w:autoSpaceDE w:val="0"/>
                    <w:autoSpaceDN w:val="0"/>
                    <w:adjustRightInd w:val="0"/>
                    <w:snapToGrid w:val="0"/>
                    <w:jc w:val="center"/>
                    <w:rPr>
                      <w:kern w:val="0"/>
                      <w:szCs w:val="21"/>
                    </w:rPr>
                  </w:pPr>
                  <w:r>
                    <w:rPr>
                      <w:rFonts w:hint="eastAsia"/>
                      <w:kern w:val="0"/>
                      <w:szCs w:val="21"/>
                    </w:rPr>
                    <w:t>长度</w:t>
                  </w:r>
                </w:p>
              </w:tc>
              <w:tc>
                <w:tcPr>
                  <w:tcW w:w="4531" w:type="dxa"/>
                  <w:vAlign w:val="center"/>
                </w:tcPr>
                <w:p w14:paraId="4CDB6744">
                  <w:pPr>
                    <w:autoSpaceDE w:val="0"/>
                    <w:autoSpaceDN w:val="0"/>
                    <w:adjustRightInd w:val="0"/>
                    <w:snapToGrid w:val="0"/>
                    <w:jc w:val="center"/>
                    <w:rPr>
                      <w:kern w:val="0"/>
                      <w:szCs w:val="21"/>
                    </w:rPr>
                  </w:pPr>
                  <w:r>
                    <w:rPr>
                      <w:rFonts w:hint="eastAsia"/>
                      <w:kern w:val="0"/>
                      <w:szCs w:val="21"/>
                    </w:rPr>
                    <w:t>512m</w:t>
                  </w:r>
                </w:p>
              </w:tc>
            </w:tr>
            <w:tr w14:paraId="42CE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09932F73">
                  <w:pPr>
                    <w:autoSpaceDE w:val="0"/>
                    <w:autoSpaceDN w:val="0"/>
                    <w:adjustRightInd w:val="0"/>
                    <w:snapToGrid w:val="0"/>
                    <w:jc w:val="center"/>
                    <w:rPr>
                      <w:kern w:val="0"/>
                      <w:szCs w:val="21"/>
                    </w:rPr>
                  </w:pPr>
                  <w:r>
                    <w:rPr>
                      <w:rFonts w:hint="eastAsia"/>
                      <w:kern w:val="0"/>
                      <w:szCs w:val="21"/>
                    </w:rPr>
                    <w:t>2</w:t>
                  </w:r>
                </w:p>
              </w:tc>
              <w:tc>
                <w:tcPr>
                  <w:tcW w:w="2835" w:type="dxa"/>
                  <w:vAlign w:val="center"/>
                </w:tcPr>
                <w:p w14:paraId="6E8FFD01">
                  <w:pPr>
                    <w:autoSpaceDE w:val="0"/>
                    <w:autoSpaceDN w:val="0"/>
                    <w:adjustRightInd w:val="0"/>
                    <w:snapToGrid w:val="0"/>
                    <w:jc w:val="center"/>
                    <w:rPr>
                      <w:kern w:val="0"/>
                      <w:szCs w:val="21"/>
                    </w:rPr>
                  </w:pPr>
                  <w:r>
                    <w:rPr>
                      <w:rFonts w:hint="eastAsia"/>
                      <w:kern w:val="0"/>
                      <w:szCs w:val="21"/>
                    </w:rPr>
                    <w:t>设计荷载</w:t>
                  </w:r>
                </w:p>
              </w:tc>
              <w:tc>
                <w:tcPr>
                  <w:tcW w:w="4531" w:type="dxa"/>
                  <w:vAlign w:val="center"/>
                </w:tcPr>
                <w:p w14:paraId="24EA1257">
                  <w:pPr>
                    <w:autoSpaceDE w:val="0"/>
                    <w:autoSpaceDN w:val="0"/>
                    <w:adjustRightInd w:val="0"/>
                    <w:snapToGrid w:val="0"/>
                    <w:jc w:val="center"/>
                    <w:rPr>
                      <w:kern w:val="0"/>
                      <w:szCs w:val="21"/>
                    </w:rPr>
                  </w:pPr>
                  <w:r>
                    <w:rPr>
                      <w:rFonts w:hint="eastAsia"/>
                      <w:kern w:val="0"/>
                      <w:szCs w:val="21"/>
                    </w:rPr>
                    <w:t>城-A级</w:t>
                  </w:r>
                </w:p>
              </w:tc>
            </w:tr>
            <w:tr w14:paraId="49D0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017520AE">
                  <w:pPr>
                    <w:autoSpaceDE w:val="0"/>
                    <w:autoSpaceDN w:val="0"/>
                    <w:adjustRightInd w:val="0"/>
                    <w:snapToGrid w:val="0"/>
                    <w:jc w:val="center"/>
                    <w:rPr>
                      <w:kern w:val="0"/>
                      <w:szCs w:val="21"/>
                    </w:rPr>
                  </w:pPr>
                  <w:r>
                    <w:rPr>
                      <w:rFonts w:hint="eastAsia"/>
                      <w:kern w:val="0"/>
                      <w:szCs w:val="21"/>
                    </w:rPr>
                    <w:t>3</w:t>
                  </w:r>
                </w:p>
              </w:tc>
              <w:tc>
                <w:tcPr>
                  <w:tcW w:w="2835" w:type="dxa"/>
                  <w:vAlign w:val="center"/>
                </w:tcPr>
                <w:p w14:paraId="057368F0">
                  <w:pPr>
                    <w:autoSpaceDE w:val="0"/>
                    <w:autoSpaceDN w:val="0"/>
                    <w:adjustRightInd w:val="0"/>
                    <w:snapToGrid w:val="0"/>
                    <w:jc w:val="center"/>
                    <w:rPr>
                      <w:kern w:val="0"/>
                      <w:szCs w:val="21"/>
                    </w:rPr>
                  </w:pPr>
                  <w:r>
                    <w:rPr>
                      <w:rFonts w:hint="eastAsia"/>
                      <w:kern w:val="0"/>
                      <w:szCs w:val="21"/>
                    </w:rPr>
                    <w:t>地震动峰值加速度系数</w:t>
                  </w:r>
                </w:p>
              </w:tc>
              <w:tc>
                <w:tcPr>
                  <w:tcW w:w="4531" w:type="dxa"/>
                  <w:vAlign w:val="center"/>
                </w:tcPr>
                <w:p w14:paraId="378D7BBB">
                  <w:pPr>
                    <w:autoSpaceDE w:val="0"/>
                    <w:autoSpaceDN w:val="0"/>
                    <w:adjustRightInd w:val="0"/>
                    <w:snapToGrid w:val="0"/>
                    <w:jc w:val="center"/>
                    <w:rPr>
                      <w:kern w:val="0"/>
                      <w:szCs w:val="21"/>
                    </w:rPr>
                  </w:pPr>
                  <w:r>
                    <w:rPr>
                      <w:rFonts w:hint="eastAsia"/>
                      <w:kern w:val="0"/>
                      <w:szCs w:val="21"/>
                    </w:rPr>
                    <w:t>0.10 g，抗震设防烈度为Ⅶ级</w:t>
                  </w:r>
                </w:p>
              </w:tc>
            </w:tr>
            <w:tr w14:paraId="4F74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6162314D">
                  <w:pPr>
                    <w:autoSpaceDE w:val="0"/>
                    <w:autoSpaceDN w:val="0"/>
                    <w:adjustRightInd w:val="0"/>
                    <w:snapToGrid w:val="0"/>
                    <w:jc w:val="center"/>
                    <w:rPr>
                      <w:kern w:val="0"/>
                      <w:szCs w:val="21"/>
                    </w:rPr>
                  </w:pPr>
                  <w:r>
                    <w:rPr>
                      <w:rFonts w:hint="eastAsia"/>
                      <w:kern w:val="0"/>
                      <w:szCs w:val="21"/>
                    </w:rPr>
                    <w:t>4</w:t>
                  </w:r>
                </w:p>
              </w:tc>
              <w:tc>
                <w:tcPr>
                  <w:tcW w:w="2835" w:type="dxa"/>
                  <w:vAlign w:val="center"/>
                </w:tcPr>
                <w:p w14:paraId="0F0A2F04">
                  <w:pPr>
                    <w:autoSpaceDE w:val="0"/>
                    <w:autoSpaceDN w:val="0"/>
                    <w:adjustRightInd w:val="0"/>
                    <w:snapToGrid w:val="0"/>
                    <w:jc w:val="center"/>
                    <w:rPr>
                      <w:kern w:val="0"/>
                      <w:szCs w:val="21"/>
                    </w:rPr>
                  </w:pPr>
                  <w:r>
                    <w:rPr>
                      <w:rFonts w:hint="eastAsia"/>
                      <w:kern w:val="0"/>
                      <w:szCs w:val="21"/>
                    </w:rPr>
                    <w:t>设计安全等级</w:t>
                  </w:r>
                </w:p>
              </w:tc>
              <w:tc>
                <w:tcPr>
                  <w:tcW w:w="4531" w:type="dxa"/>
                  <w:vAlign w:val="center"/>
                </w:tcPr>
                <w:p w14:paraId="14BA7057">
                  <w:pPr>
                    <w:autoSpaceDE w:val="0"/>
                    <w:autoSpaceDN w:val="0"/>
                    <w:adjustRightInd w:val="0"/>
                    <w:snapToGrid w:val="0"/>
                    <w:jc w:val="center"/>
                    <w:rPr>
                      <w:kern w:val="0"/>
                      <w:szCs w:val="21"/>
                    </w:rPr>
                  </w:pPr>
                  <w:r>
                    <w:rPr>
                      <w:rFonts w:hint="eastAsia"/>
                      <w:kern w:val="0"/>
                      <w:szCs w:val="21"/>
                    </w:rPr>
                    <w:t>一级</w:t>
                  </w:r>
                </w:p>
              </w:tc>
            </w:tr>
            <w:tr w14:paraId="7D98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750" w:type="dxa"/>
                  <w:vAlign w:val="center"/>
                </w:tcPr>
                <w:p w14:paraId="43CB2ACC">
                  <w:pPr>
                    <w:autoSpaceDE w:val="0"/>
                    <w:autoSpaceDN w:val="0"/>
                    <w:adjustRightInd w:val="0"/>
                    <w:snapToGrid w:val="0"/>
                    <w:jc w:val="center"/>
                    <w:rPr>
                      <w:kern w:val="0"/>
                      <w:szCs w:val="21"/>
                    </w:rPr>
                  </w:pPr>
                  <w:r>
                    <w:rPr>
                      <w:rFonts w:hint="eastAsia"/>
                      <w:kern w:val="0"/>
                      <w:szCs w:val="21"/>
                    </w:rPr>
                    <w:t>5</w:t>
                  </w:r>
                </w:p>
              </w:tc>
              <w:tc>
                <w:tcPr>
                  <w:tcW w:w="2835" w:type="dxa"/>
                  <w:vAlign w:val="center"/>
                </w:tcPr>
                <w:p w14:paraId="6435A7A7">
                  <w:pPr>
                    <w:autoSpaceDE w:val="0"/>
                    <w:autoSpaceDN w:val="0"/>
                    <w:adjustRightInd w:val="0"/>
                    <w:snapToGrid w:val="0"/>
                    <w:jc w:val="center"/>
                    <w:rPr>
                      <w:kern w:val="0"/>
                      <w:szCs w:val="21"/>
                    </w:rPr>
                  </w:pPr>
                  <w:r>
                    <w:rPr>
                      <w:rFonts w:hint="eastAsia"/>
                      <w:kern w:val="0"/>
                      <w:szCs w:val="21"/>
                    </w:rPr>
                    <w:t>桥梁结构设计使用年限</w:t>
                  </w:r>
                </w:p>
              </w:tc>
              <w:tc>
                <w:tcPr>
                  <w:tcW w:w="4531" w:type="dxa"/>
                  <w:vAlign w:val="center"/>
                </w:tcPr>
                <w:p w14:paraId="796D9FCF">
                  <w:pPr>
                    <w:autoSpaceDE w:val="0"/>
                    <w:autoSpaceDN w:val="0"/>
                    <w:adjustRightInd w:val="0"/>
                    <w:snapToGrid w:val="0"/>
                    <w:jc w:val="center"/>
                    <w:rPr>
                      <w:kern w:val="0"/>
                      <w:szCs w:val="21"/>
                    </w:rPr>
                  </w:pPr>
                  <w:r>
                    <w:rPr>
                      <w:rFonts w:hint="eastAsia"/>
                      <w:kern w:val="0"/>
                      <w:szCs w:val="21"/>
                    </w:rPr>
                    <w:t>100年</w:t>
                  </w:r>
                </w:p>
              </w:tc>
            </w:tr>
            <w:tr w14:paraId="2469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trPr>
              <w:tc>
                <w:tcPr>
                  <w:tcW w:w="750" w:type="dxa"/>
                  <w:vAlign w:val="center"/>
                </w:tcPr>
                <w:p w14:paraId="695E2863">
                  <w:pPr>
                    <w:autoSpaceDE w:val="0"/>
                    <w:autoSpaceDN w:val="0"/>
                    <w:adjustRightInd w:val="0"/>
                    <w:snapToGrid w:val="0"/>
                    <w:jc w:val="center"/>
                    <w:rPr>
                      <w:kern w:val="0"/>
                      <w:szCs w:val="21"/>
                    </w:rPr>
                  </w:pPr>
                  <w:r>
                    <w:rPr>
                      <w:rFonts w:hint="eastAsia"/>
                      <w:kern w:val="0"/>
                      <w:szCs w:val="21"/>
                    </w:rPr>
                    <w:t>6</w:t>
                  </w:r>
                </w:p>
              </w:tc>
              <w:tc>
                <w:tcPr>
                  <w:tcW w:w="2835" w:type="dxa"/>
                  <w:vAlign w:val="center"/>
                </w:tcPr>
                <w:p w14:paraId="5C404C08">
                  <w:pPr>
                    <w:autoSpaceDE w:val="0"/>
                    <w:autoSpaceDN w:val="0"/>
                    <w:adjustRightInd w:val="0"/>
                    <w:snapToGrid w:val="0"/>
                    <w:jc w:val="center"/>
                    <w:rPr>
                      <w:kern w:val="0"/>
                      <w:szCs w:val="21"/>
                    </w:rPr>
                  </w:pPr>
                  <w:r>
                    <w:rPr>
                      <w:rFonts w:hint="eastAsia"/>
                      <w:kern w:val="0"/>
                      <w:szCs w:val="21"/>
                    </w:rPr>
                    <w:t>桥梁结构所处环境条件类别</w:t>
                  </w:r>
                </w:p>
              </w:tc>
              <w:tc>
                <w:tcPr>
                  <w:tcW w:w="4531" w:type="dxa"/>
                  <w:vAlign w:val="center"/>
                </w:tcPr>
                <w:p w14:paraId="29B1C897">
                  <w:pPr>
                    <w:autoSpaceDE w:val="0"/>
                    <w:autoSpaceDN w:val="0"/>
                    <w:adjustRightInd w:val="0"/>
                    <w:snapToGrid w:val="0"/>
                    <w:jc w:val="center"/>
                    <w:rPr>
                      <w:kern w:val="0"/>
                      <w:szCs w:val="21"/>
                    </w:rPr>
                  </w:pPr>
                  <w:r>
                    <w:rPr>
                      <w:rFonts w:hint="eastAsia"/>
                      <w:kern w:val="0"/>
                      <w:szCs w:val="21"/>
                    </w:rPr>
                    <w:t>Ⅱ类</w:t>
                  </w:r>
                </w:p>
              </w:tc>
            </w:tr>
            <w:tr w14:paraId="1560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750" w:type="dxa"/>
                  <w:vAlign w:val="center"/>
                </w:tcPr>
                <w:p w14:paraId="4DCC9A79">
                  <w:pPr>
                    <w:autoSpaceDE w:val="0"/>
                    <w:autoSpaceDN w:val="0"/>
                    <w:adjustRightInd w:val="0"/>
                    <w:snapToGrid w:val="0"/>
                    <w:jc w:val="center"/>
                    <w:rPr>
                      <w:kern w:val="0"/>
                      <w:szCs w:val="21"/>
                    </w:rPr>
                  </w:pPr>
                  <w:r>
                    <w:rPr>
                      <w:rFonts w:hint="eastAsia"/>
                      <w:kern w:val="0"/>
                      <w:szCs w:val="21"/>
                    </w:rPr>
                    <w:t>7</w:t>
                  </w:r>
                </w:p>
              </w:tc>
              <w:tc>
                <w:tcPr>
                  <w:tcW w:w="2835" w:type="dxa"/>
                  <w:vAlign w:val="center"/>
                </w:tcPr>
                <w:p w14:paraId="3D4EFF2E">
                  <w:pPr>
                    <w:autoSpaceDE w:val="0"/>
                    <w:autoSpaceDN w:val="0"/>
                    <w:adjustRightInd w:val="0"/>
                    <w:snapToGrid w:val="0"/>
                    <w:jc w:val="center"/>
                    <w:rPr>
                      <w:kern w:val="0"/>
                      <w:szCs w:val="21"/>
                    </w:rPr>
                  </w:pPr>
                  <w:r>
                    <w:rPr>
                      <w:rFonts w:hint="eastAsia"/>
                      <w:kern w:val="0"/>
                      <w:szCs w:val="21"/>
                    </w:rPr>
                    <w:t>桥梁标准横断面</w:t>
                  </w:r>
                </w:p>
              </w:tc>
              <w:tc>
                <w:tcPr>
                  <w:tcW w:w="4531" w:type="dxa"/>
                  <w:vAlign w:val="center"/>
                </w:tcPr>
                <w:p w14:paraId="1AA05EC8">
                  <w:pPr>
                    <w:autoSpaceDE w:val="0"/>
                    <w:autoSpaceDN w:val="0"/>
                    <w:adjustRightInd w:val="0"/>
                    <w:snapToGrid w:val="0"/>
                    <w:jc w:val="center"/>
                    <w:rPr>
                      <w:kern w:val="0"/>
                      <w:szCs w:val="21"/>
                    </w:rPr>
                  </w:pPr>
                  <w:r>
                    <w:rPr>
                      <w:rFonts w:hint="eastAsia"/>
                      <w:kern w:val="0"/>
                      <w:szCs w:val="21"/>
                    </w:rPr>
                    <w:t>匝道：0.5m（防撞护栏）+7.5m（行车道）+0.5m（防撞护栏）=8.5m；送客平台：0.5m（防撞护栏）+13m（行车道）=13.5m</w:t>
                  </w:r>
                </w:p>
              </w:tc>
            </w:tr>
          </w:tbl>
          <w:p w14:paraId="59B8935D">
            <w:pPr>
              <w:autoSpaceDE w:val="0"/>
              <w:autoSpaceDN w:val="0"/>
              <w:adjustRightInd w:val="0"/>
              <w:spacing w:line="360" w:lineRule="auto"/>
              <w:ind w:firstLine="480" w:firstLineChars="200"/>
              <w:jc w:val="left"/>
              <w:rPr>
                <w:kern w:val="0"/>
                <w:sz w:val="24"/>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25"/>
              <w:gridCol w:w="4206"/>
            </w:tblGrid>
            <w:tr w14:paraId="40A0F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58" w:type="dxa"/>
                  <w:vAlign w:val="center"/>
                </w:tcPr>
                <w:p w14:paraId="3192835D">
                  <w:r>
                    <w:drawing>
                      <wp:inline distT="0" distB="0" distL="0" distR="0">
                        <wp:extent cx="2218055" cy="3235960"/>
                        <wp:effectExtent l="0" t="0" r="0" b="2540"/>
                        <wp:docPr id="1660389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89033" name="图片 1"/>
                                <pic:cNvPicPr>
                                  <a:picLocks noChangeAspect="1"/>
                                </pic:cNvPicPr>
                              </pic:nvPicPr>
                              <pic:blipFill>
                                <a:blip r:embed="rId12"/>
                                <a:stretch>
                                  <a:fillRect/>
                                </a:stretch>
                              </pic:blipFill>
                              <pic:spPr>
                                <a:xfrm>
                                  <a:off x="0" y="0"/>
                                  <a:ext cx="2233030" cy="3257680"/>
                                </a:xfrm>
                                <a:prstGeom prst="rect">
                                  <a:avLst/>
                                </a:prstGeom>
                              </pic:spPr>
                            </pic:pic>
                          </a:graphicData>
                        </a:graphic>
                      </wp:inline>
                    </w:drawing>
                  </w:r>
                </w:p>
              </w:tc>
              <w:tc>
                <w:tcPr>
                  <w:tcW w:w="4058" w:type="dxa"/>
                  <w:vAlign w:val="center"/>
                </w:tcPr>
                <w:p w14:paraId="5CC65B14">
                  <w:r>
                    <w:drawing>
                      <wp:inline distT="0" distB="0" distL="0" distR="0">
                        <wp:extent cx="2533650" cy="3140710"/>
                        <wp:effectExtent l="0" t="0" r="0" b="2540"/>
                        <wp:docPr id="912047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47843" name="图片 1"/>
                                <pic:cNvPicPr>
                                  <a:picLocks noChangeAspect="1"/>
                                </pic:cNvPicPr>
                              </pic:nvPicPr>
                              <pic:blipFill>
                                <a:blip r:embed="rId13"/>
                                <a:stretch>
                                  <a:fillRect/>
                                </a:stretch>
                              </pic:blipFill>
                              <pic:spPr>
                                <a:xfrm>
                                  <a:off x="0" y="0"/>
                                  <a:ext cx="2548459" cy="3158493"/>
                                </a:xfrm>
                                <a:prstGeom prst="rect">
                                  <a:avLst/>
                                </a:prstGeom>
                              </pic:spPr>
                            </pic:pic>
                          </a:graphicData>
                        </a:graphic>
                      </wp:inline>
                    </w:drawing>
                  </w:r>
                </w:p>
              </w:tc>
            </w:tr>
            <w:tr w14:paraId="28AB5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58" w:type="dxa"/>
                  <w:vAlign w:val="center"/>
                </w:tcPr>
                <w:p w14:paraId="47CFDD2D">
                  <w:pPr>
                    <w:autoSpaceDE w:val="0"/>
                    <w:autoSpaceDN w:val="0"/>
                    <w:adjustRightInd w:val="0"/>
                    <w:snapToGrid w:val="0"/>
                    <w:jc w:val="center"/>
                    <w:rPr>
                      <w:kern w:val="0"/>
                      <w:szCs w:val="21"/>
                    </w:rPr>
                  </w:pPr>
                </w:p>
                <w:p w14:paraId="79F1EE96">
                  <w:pPr>
                    <w:autoSpaceDE w:val="0"/>
                    <w:autoSpaceDN w:val="0"/>
                    <w:adjustRightInd w:val="0"/>
                    <w:snapToGrid w:val="0"/>
                    <w:jc w:val="center"/>
                    <w:rPr>
                      <w:kern w:val="0"/>
                      <w:szCs w:val="21"/>
                    </w:rPr>
                  </w:pPr>
                  <w:r>
                    <w:rPr>
                      <w:rFonts w:hint="eastAsia"/>
                      <w:kern w:val="0"/>
                      <w:szCs w:val="21"/>
                    </w:rPr>
                    <w:t>匝道桥标准断面</w:t>
                  </w:r>
                </w:p>
              </w:tc>
              <w:tc>
                <w:tcPr>
                  <w:tcW w:w="4058" w:type="dxa"/>
                  <w:vAlign w:val="center"/>
                </w:tcPr>
                <w:p w14:paraId="1744C769">
                  <w:pPr>
                    <w:autoSpaceDE w:val="0"/>
                    <w:autoSpaceDN w:val="0"/>
                    <w:adjustRightInd w:val="0"/>
                    <w:snapToGrid w:val="0"/>
                    <w:jc w:val="center"/>
                    <w:rPr>
                      <w:kern w:val="0"/>
                      <w:szCs w:val="21"/>
                    </w:rPr>
                  </w:pPr>
                </w:p>
                <w:p w14:paraId="515AEFB8">
                  <w:pPr>
                    <w:autoSpaceDE w:val="0"/>
                    <w:autoSpaceDN w:val="0"/>
                    <w:adjustRightInd w:val="0"/>
                    <w:snapToGrid w:val="0"/>
                    <w:jc w:val="center"/>
                    <w:rPr>
                      <w:kern w:val="0"/>
                      <w:szCs w:val="21"/>
                    </w:rPr>
                  </w:pPr>
                  <w:r>
                    <w:rPr>
                      <w:rFonts w:hint="eastAsia"/>
                      <w:kern w:val="0"/>
                      <w:szCs w:val="21"/>
                    </w:rPr>
                    <w:t>落客平台标准断面</w:t>
                  </w:r>
                </w:p>
              </w:tc>
            </w:tr>
          </w:tbl>
          <w:p w14:paraId="296F885D">
            <w:pPr>
              <w:autoSpaceDE w:val="0"/>
              <w:autoSpaceDN w:val="0"/>
              <w:adjustRightInd w:val="0"/>
              <w:spacing w:line="360" w:lineRule="auto"/>
              <w:ind w:firstLine="480" w:firstLineChars="200"/>
              <w:jc w:val="left"/>
              <w:rPr>
                <w:kern w:val="0"/>
                <w:sz w:val="24"/>
              </w:rPr>
            </w:pPr>
            <w:r>
              <w:rPr>
                <w:rFonts w:hint="eastAsia"/>
                <w:kern w:val="0"/>
                <w:sz w:val="24"/>
              </w:rPr>
              <w:t>a.桥跨方案</w:t>
            </w:r>
          </w:p>
          <w:p w14:paraId="43795246">
            <w:pPr>
              <w:autoSpaceDE w:val="0"/>
              <w:autoSpaceDN w:val="0"/>
              <w:adjustRightInd w:val="0"/>
              <w:spacing w:line="360" w:lineRule="auto"/>
              <w:ind w:firstLine="480" w:firstLineChars="200"/>
              <w:jc w:val="left"/>
              <w:rPr>
                <w:kern w:val="0"/>
                <w:sz w:val="24"/>
              </w:rPr>
            </w:pPr>
            <w:r>
              <w:rPr>
                <w:rFonts w:hint="eastAsia"/>
                <w:kern w:val="0"/>
                <w:sz w:val="24"/>
              </w:rPr>
              <w:t>全桥共7联：（3*25）+（35+26+28.5）+（33.6+34.8）+42+（34.8+33.6）+（28.5+26+35）+（3*25）；上部结构采用钢箱梁；下部结构桥台采用U台，桥墩采用花瓶墩，墩台采用桩基础。</w:t>
            </w:r>
          </w:p>
          <w:p w14:paraId="24247BC8">
            <w:pPr>
              <w:autoSpaceDE w:val="0"/>
              <w:autoSpaceDN w:val="0"/>
              <w:adjustRightInd w:val="0"/>
              <w:spacing w:line="360" w:lineRule="auto"/>
              <w:ind w:firstLine="480" w:firstLineChars="200"/>
              <w:jc w:val="left"/>
              <w:rPr>
                <w:kern w:val="0"/>
                <w:sz w:val="24"/>
              </w:rPr>
            </w:pPr>
            <w:r>
              <w:rPr>
                <w:rFonts w:hint="eastAsia"/>
                <w:kern w:val="0"/>
                <w:sz w:val="24"/>
              </w:rPr>
              <w:t>b.上部结构：全桥使用钢箱梁作为上部结构。</w:t>
            </w:r>
          </w:p>
          <w:p w14:paraId="67ACE98F">
            <w:pPr>
              <w:autoSpaceDE w:val="0"/>
              <w:autoSpaceDN w:val="0"/>
              <w:adjustRightInd w:val="0"/>
              <w:spacing w:line="360" w:lineRule="auto"/>
              <w:ind w:firstLine="480" w:firstLineChars="200"/>
              <w:jc w:val="left"/>
              <w:rPr>
                <w:kern w:val="0"/>
                <w:sz w:val="24"/>
              </w:rPr>
            </w:pPr>
            <w:r>
              <w:rPr>
                <w:rFonts w:hint="eastAsia"/>
                <w:kern w:val="0"/>
                <w:sz w:val="24"/>
              </w:rPr>
              <w:t>c.下部结构：使用花瓶墩作为桥梁下部结构。</w:t>
            </w:r>
          </w:p>
          <w:p w14:paraId="762F8DAD">
            <w:pPr>
              <w:autoSpaceDE w:val="0"/>
              <w:autoSpaceDN w:val="0"/>
              <w:adjustRightInd w:val="0"/>
              <w:spacing w:line="360" w:lineRule="auto"/>
              <w:ind w:firstLine="480" w:firstLineChars="200"/>
              <w:jc w:val="left"/>
              <w:rPr>
                <w:kern w:val="0"/>
                <w:sz w:val="24"/>
              </w:rPr>
            </w:pPr>
            <w:r>
              <w:rPr>
                <w:rFonts w:hint="eastAsia"/>
                <w:kern w:val="0"/>
                <w:sz w:val="24"/>
              </w:rPr>
              <w:t>3.9 管线工程</w:t>
            </w:r>
          </w:p>
          <w:p w14:paraId="587F1617">
            <w:pPr>
              <w:autoSpaceDE w:val="0"/>
              <w:autoSpaceDN w:val="0"/>
              <w:adjustRightInd w:val="0"/>
              <w:spacing w:line="360" w:lineRule="auto"/>
              <w:ind w:firstLine="480" w:firstLineChars="200"/>
              <w:jc w:val="left"/>
              <w:rPr>
                <w:kern w:val="0"/>
                <w:sz w:val="24"/>
              </w:rPr>
            </w:pPr>
            <w:r>
              <w:rPr>
                <w:rFonts w:hint="eastAsia"/>
                <w:kern w:val="0"/>
                <w:sz w:val="24"/>
              </w:rPr>
              <w:t>高铁一路、高铁二路道路下布设的主要市政管线为给水、雨水、污水、电力、通信等管线。</w:t>
            </w:r>
          </w:p>
          <w:p w14:paraId="1553C612">
            <w:pPr>
              <w:autoSpaceDE w:val="0"/>
              <w:autoSpaceDN w:val="0"/>
              <w:adjustRightInd w:val="0"/>
              <w:spacing w:line="360" w:lineRule="auto"/>
              <w:ind w:firstLine="480" w:firstLineChars="200"/>
              <w:jc w:val="left"/>
              <w:rPr>
                <w:kern w:val="0"/>
                <w:sz w:val="24"/>
              </w:rPr>
            </w:pPr>
            <w:r>
              <w:rPr>
                <w:rFonts w:hint="eastAsia"/>
                <w:kern w:val="0"/>
                <w:sz w:val="24"/>
              </w:rPr>
              <w:t>（1）给水管线</w:t>
            </w:r>
          </w:p>
          <w:p w14:paraId="0BF74108">
            <w:pPr>
              <w:autoSpaceDE w:val="0"/>
              <w:autoSpaceDN w:val="0"/>
              <w:adjustRightInd w:val="0"/>
              <w:spacing w:line="360" w:lineRule="auto"/>
              <w:ind w:firstLine="480" w:firstLineChars="200"/>
              <w:jc w:val="left"/>
              <w:rPr>
                <w:kern w:val="0"/>
                <w:sz w:val="24"/>
              </w:rPr>
            </w:pPr>
            <w:r>
              <w:rPr>
                <w:rFonts w:hint="eastAsia"/>
                <w:kern w:val="0"/>
                <w:sz w:val="24"/>
              </w:rPr>
              <w:t>高铁一路给水管道沿道路单侧布置，东西走向，东接高新七路预留给水管，西至站北路，布置在道路的北侧，距道路中心线11米。高铁二路给水管道沿道路单侧布置，东西走向，东接高新七路预留给水管，西至站南路，布置在道路的北侧，距道路中心线11米。给水管材采用球墨铸铁管，设计主管管径采用DN200mm，支管及消火栓连接管管径采用DN200mm、DN150mm。</w:t>
            </w:r>
          </w:p>
          <w:p w14:paraId="06C0CC8B">
            <w:pPr>
              <w:autoSpaceDE w:val="0"/>
              <w:autoSpaceDN w:val="0"/>
              <w:adjustRightInd w:val="0"/>
              <w:spacing w:line="360" w:lineRule="auto"/>
              <w:ind w:firstLine="480" w:firstLineChars="200"/>
              <w:jc w:val="left"/>
              <w:rPr>
                <w:kern w:val="0"/>
                <w:sz w:val="24"/>
              </w:rPr>
            </w:pPr>
            <w:r>
              <w:rPr>
                <w:rFonts w:hint="eastAsia"/>
                <w:kern w:val="0"/>
                <w:sz w:val="24"/>
              </w:rPr>
              <w:t>（2）排水管线</w:t>
            </w:r>
          </w:p>
          <w:p w14:paraId="1DE675A7">
            <w:pPr>
              <w:autoSpaceDE w:val="0"/>
              <w:autoSpaceDN w:val="0"/>
              <w:adjustRightInd w:val="0"/>
              <w:spacing w:line="360" w:lineRule="auto"/>
              <w:ind w:firstLine="480" w:firstLineChars="200"/>
              <w:jc w:val="left"/>
              <w:rPr>
                <w:kern w:val="0"/>
                <w:sz w:val="24"/>
              </w:rPr>
            </w:pPr>
            <w:r>
              <w:rPr>
                <w:rFonts w:hint="eastAsia"/>
                <w:kern w:val="0"/>
                <w:sz w:val="24"/>
              </w:rPr>
              <w:t>1）雨水管道</w:t>
            </w:r>
          </w:p>
          <w:p w14:paraId="07F121B6">
            <w:pPr>
              <w:autoSpaceDE w:val="0"/>
              <w:autoSpaceDN w:val="0"/>
              <w:adjustRightInd w:val="0"/>
              <w:spacing w:line="360" w:lineRule="auto"/>
              <w:ind w:firstLine="480" w:firstLineChars="200"/>
              <w:rPr>
                <w:kern w:val="0"/>
                <w:sz w:val="24"/>
              </w:rPr>
            </w:pPr>
            <w:r>
              <w:rPr>
                <w:rFonts w:hint="eastAsia"/>
                <w:kern w:val="0"/>
                <w:sz w:val="24"/>
              </w:rPr>
              <w:t>高铁一路设计雨水管道分两段布设，西段管道沿道路南侧单侧布置，排水流向由西到东后向南，接入高铁二路雨水管道，东段管道沿道路南侧单侧布置，排水流向由西到东，接入高新七路雨水管道，雨水管线距道路中心线的距离为8m。</w:t>
            </w:r>
          </w:p>
          <w:p w14:paraId="10C6D1F7">
            <w:pPr>
              <w:autoSpaceDE w:val="0"/>
              <w:autoSpaceDN w:val="0"/>
              <w:adjustRightInd w:val="0"/>
              <w:spacing w:line="360" w:lineRule="auto"/>
              <w:ind w:firstLine="480" w:firstLineChars="200"/>
              <w:rPr>
                <w:kern w:val="0"/>
                <w:sz w:val="24"/>
              </w:rPr>
            </w:pPr>
            <w:r>
              <w:rPr>
                <w:rFonts w:hint="eastAsia"/>
                <w:kern w:val="0"/>
                <w:sz w:val="24"/>
              </w:rPr>
              <w:t>高铁二路设计雨水管道沿道路南侧单侧布置，排水流向由西到东，接入高新七路雨水管道，雨水管线距道路中心线的距离为8m。雨水主管道管径为d500mm~d2000mm，用户预埋管管径d500mm、d600mm，雨水口连接管d300mm。</w:t>
            </w:r>
          </w:p>
          <w:p w14:paraId="3671AF5F">
            <w:pPr>
              <w:autoSpaceDE w:val="0"/>
              <w:autoSpaceDN w:val="0"/>
              <w:adjustRightInd w:val="0"/>
              <w:spacing w:line="360" w:lineRule="auto"/>
              <w:ind w:firstLine="480" w:firstLineChars="200"/>
              <w:jc w:val="left"/>
              <w:rPr>
                <w:kern w:val="0"/>
                <w:sz w:val="24"/>
              </w:rPr>
            </w:pPr>
            <w:r>
              <w:rPr>
                <w:rFonts w:hint="eastAsia"/>
                <w:kern w:val="0"/>
                <w:sz w:val="24"/>
              </w:rPr>
              <w:t>2）污水管道</w:t>
            </w:r>
          </w:p>
          <w:p w14:paraId="36D03D32">
            <w:pPr>
              <w:autoSpaceDE w:val="0"/>
              <w:autoSpaceDN w:val="0"/>
              <w:adjustRightInd w:val="0"/>
              <w:spacing w:line="360" w:lineRule="auto"/>
              <w:ind w:firstLine="480" w:firstLineChars="200"/>
              <w:jc w:val="left"/>
              <w:rPr>
                <w:kern w:val="0"/>
                <w:sz w:val="24"/>
              </w:rPr>
            </w:pPr>
            <w:r>
              <w:rPr>
                <w:rFonts w:hint="eastAsia"/>
                <w:kern w:val="0"/>
                <w:sz w:val="24"/>
              </w:rPr>
              <w:t>高铁一路设计污水管道沿道路北侧单侧布置，排水流向由西到东，接入高新七路污水管道，污水管线距道路中心线的距离为8m。</w:t>
            </w:r>
          </w:p>
          <w:p w14:paraId="68B3B58D">
            <w:pPr>
              <w:autoSpaceDE w:val="0"/>
              <w:autoSpaceDN w:val="0"/>
              <w:adjustRightInd w:val="0"/>
              <w:spacing w:line="360" w:lineRule="auto"/>
              <w:ind w:firstLine="480" w:firstLineChars="200"/>
              <w:jc w:val="left"/>
              <w:rPr>
                <w:kern w:val="0"/>
                <w:sz w:val="24"/>
              </w:rPr>
            </w:pPr>
            <w:r>
              <w:rPr>
                <w:rFonts w:hint="eastAsia"/>
                <w:kern w:val="0"/>
                <w:sz w:val="24"/>
              </w:rPr>
              <w:t>高铁二路设计污水管污水管道沿道路北侧单侧布置，排水流向由西到东，接入高新七路污水管道，污水管线距道路中心线的距离为8m。</w:t>
            </w:r>
          </w:p>
          <w:p w14:paraId="700625C7">
            <w:pPr>
              <w:autoSpaceDE w:val="0"/>
              <w:autoSpaceDN w:val="0"/>
              <w:adjustRightInd w:val="0"/>
              <w:spacing w:line="360" w:lineRule="auto"/>
              <w:ind w:firstLine="480" w:firstLineChars="200"/>
              <w:jc w:val="left"/>
              <w:rPr>
                <w:kern w:val="0"/>
                <w:sz w:val="24"/>
              </w:rPr>
            </w:pPr>
            <w:r>
              <w:rPr>
                <w:rFonts w:hint="eastAsia"/>
                <w:kern w:val="0"/>
                <w:sz w:val="24"/>
              </w:rPr>
              <w:t>全段设计主管径及用户预埋管管径均为d400mm；全部采用开槽施工。</w:t>
            </w:r>
          </w:p>
          <w:p w14:paraId="11BA9F0A">
            <w:pPr>
              <w:autoSpaceDE w:val="0"/>
              <w:autoSpaceDN w:val="0"/>
              <w:adjustRightInd w:val="0"/>
              <w:spacing w:line="360" w:lineRule="auto"/>
              <w:ind w:firstLine="480" w:firstLineChars="200"/>
              <w:jc w:val="left"/>
              <w:rPr>
                <w:kern w:val="0"/>
                <w:sz w:val="24"/>
              </w:rPr>
            </w:pPr>
            <w:r>
              <w:rPr>
                <w:rFonts w:hint="eastAsia"/>
                <w:kern w:val="0"/>
                <w:sz w:val="24"/>
              </w:rPr>
              <w:t>（3）电力管线</w:t>
            </w:r>
          </w:p>
          <w:p w14:paraId="3F7401CC">
            <w:pPr>
              <w:autoSpaceDE w:val="0"/>
              <w:autoSpaceDN w:val="0"/>
              <w:adjustRightInd w:val="0"/>
              <w:spacing w:line="360" w:lineRule="auto"/>
              <w:ind w:firstLine="480" w:firstLineChars="200"/>
              <w:jc w:val="left"/>
              <w:rPr>
                <w:kern w:val="0"/>
                <w:sz w:val="24"/>
              </w:rPr>
            </w:pPr>
            <w:r>
              <w:rPr>
                <w:rFonts w:hint="eastAsia"/>
                <w:kern w:val="0"/>
                <w:sz w:val="24"/>
              </w:rPr>
              <w:t>本工程电力电缆沿电缆沟敷设，采用净尺寸为B×H=1.0m×1.3m混凝土电缆沟，管沟位于道路南侧人行道下，管沟中心线距道路南侧红线0.4m，沟顶覆土0.4米，以电缆沟和直埋排管为主。在用户处过街预埋管分别采用6孔和12孔Φ150玻璃钢电缆护套管横穿马路。</w:t>
            </w:r>
          </w:p>
          <w:p w14:paraId="6075CDAB">
            <w:pPr>
              <w:autoSpaceDE w:val="0"/>
              <w:autoSpaceDN w:val="0"/>
              <w:adjustRightInd w:val="0"/>
              <w:spacing w:line="360" w:lineRule="auto"/>
              <w:ind w:firstLine="480" w:firstLineChars="200"/>
              <w:jc w:val="left"/>
              <w:rPr>
                <w:kern w:val="0"/>
                <w:sz w:val="24"/>
              </w:rPr>
            </w:pPr>
            <w:r>
              <w:rPr>
                <w:rFonts w:hint="eastAsia"/>
                <w:kern w:val="0"/>
                <w:sz w:val="24"/>
              </w:rPr>
              <w:t>（4）通信管线</w:t>
            </w:r>
          </w:p>
          <w:p w14:paraId="225FFBCE">
            <w:pPr>
              <w:autoSpaceDE w:val="0"/>
              <w:autoSpaceDN w:val="0"/>
              <w:adjustRightInd w:val="0"/>
              <w:spacing w:line="360" w:lineRule="auto"/>
              <w:ind w:firstLine="480" w:firstLineChars="200"/>
              <w:jc w:val="left"/>
              <w:rPr>
                <w:kern w:val="0"/>
                <w:sz w:val="24"/>
              </w:rPr>
            </w:pPr>
            <w:r>
              <w:rPr>
                <w:rFonts w:hint="eastAsia"/>
                <w:kern w:val="0"/>
                <w:sz w:val="24"/>
              </w:rPr>
              <w:t>本工程的通信管线沿道路北侧人行道下敷设，管道中心线距道路北侧红线1.25m，沟顶覆土0.7米；本工程通信管道主管群12孔（6波+6梅），横向过接管6孔（3波+3梅）。</w:t>
            </w:r>
          </w:p>
          <w:p w14:paraId="574BC9C7">
            <w:pPr>
              <w:autoSpaceDE w:val="0"/>
              <w:autoSpaceDN w:val="0"/>
              <w:adjustRightInd w:val="0"/>
              <w:spacing w:line="360" w:lineRule="auto"/>
              <w:ind w:firstLine="480" w:firstLineChars="200"/>
              <w:jc w:val="left"/>
              <w:rPr>
                <w:kern w:val="0"/>
                <w:sz w:val="24"/>
              </w:rPr>
            </w:pPr>
            <w:r>
              <w:rPr>
                <w:rFonts w:hint="eastAsia"/>
                <w:kern w:val="0"/>
                <w:sz w:val="24"/>
              </w:rPr>
              <w:t>3.10 照明工程</w:t>
            </w:r>
          </w:p>
          <w:p w14:paraId="202A057D">
            <w:pPr>
              <w:autoSpaceDE w:val="0"/>
              <w:autoSpaceDN w:val="0"/>
              <w:adjustRightInd w:val="0"/>
              <w:spacing w:line="360" w:lineRule="auto"/>
              <w:ind w:firstLine="480" w:firstLineChars="200"/>
              <w:jc w:val="left"/>
              <w:rPr>
                <w:kern w:val="0"/>
                <w:sz w:val="24"/>
              </w:rPr>
            </w:pPr>
            <w:r>
              <w:rPr>
                <w:rFonts w:hint="eastAsia"/>
                <w:kern w:val="0"/>
                <w:sz w:val="24"/>
              </w:rPr>
              <w:t>灯具均采用外形美观、防护等级高、效率高的LED灯具，电源损耗小于10%，单灯功率因数大于0.9。道路照明灯具采用12m杆高双臂路灯在人行道双侧对称布置，灯具功率为150W+40W，光源为LED灯，灯杆间距30米左右，该间距可以根据实际情况微调；在道路交汇处设3x270W LED泛光灯，或者减小路灯间距加强照明。</w:t>
            </w:r>
          </w:p>
          <w:p w14:paraId="1188BD20">
            <w:pPr>
              <w:autoSpaceDE w:val="0"/>
              <w:autoSpaceDN w:val="0"/>
              <w:adjustRightInd w:val="0"/>
              <w:spacing w:line="360" w:lineRule="auto"/>
              <w:ind w:firstLine="480" w:firstLineChars="200"/>
              <w:jc w:val="left"/>
              <w:rPr>
                <w:kern w:val="0"/>
                <w:sz w:val="24"/>
              </w:rPr>
            </w:pPr>
            <w:r>
              <w:rPr>
                <w:rFonts w:hint="eastAsia"/>
                <w:kern w:val="0"/>
                <w:sz w:val="24"/>
              </w:rPr>
              <w:t>路灯线路采用</w:t>
            </w:r>
            <w:r>
              <w:rPr>
                <w:kern w:val="0"/>
                <w:sz w:val="24"/>
              </w:rPr>
              <w:t>YJV-1.0kV</w:t>
            </w:r>
            <w:r>
              <w:rPr>
                <w:rFonts w:hint="eastAsia"/>
                <w:kern w:val="0"/>
                <w:sz w:val="24"/>
              </w:rPr>
              <w:t>型电力电缆，穿</w:t>
            </w:r>
            <w:r>
              <w:rPr>
                <w:rFonts w:ascii="Cambria Math" w:hAnsi="Cambria Math" w:cs="Cambria Math"/>
                <w:kern w:val="0"/>
                <w:sz w:val="24"/>
              </w:rPr>
              <w:t>∅</w:t>
            </w:r>
            <w:r>
              <w:rPr>
                <w:kern w:val="0"/>
                <w:sz w:val="24"/>
              </w:rPr>
              <w:t xml:space="preserve"> 90</w:t>
            </w:r>
            <w:r>
              <w:rPr>
                <w:rFonts w:hint="eastAsia"/>
                <w:kern w:val="0"/>
                <w:sz w:val="24"/>
              </w:rPr>
              <w:t>（壁厚</w:t>
            </w:r>
            <w:r>
              <w:rPr>
                <w:kern w:val="0"/>
                <w:sz w:val="24"/>
              </w:rPr>
              <w:t>4.3</w:t>
            </w:r>
            <w:r>
              <w:rPr>
                <w:rFonts w:hint="eastAsia"/>
                <w:kern w:val="0"/>
                <w:sz w:val="24"/>
              </w:rPr>
              <w:t>毫米）</w:t>
            </w:r>
            <w:r>
              <w:rPr>
                <w:kern w:val="0"/>
                <w:sz w:val="24"/>
              </w:rPr>
              <w:t>PE80</w:t>
            </w:r>
            <w:r>
              <w:rPr>
                <w:rFonts w:hint="eastAsia"/>
                <w:kern w:val="0"/>
                <w:sz w:val="24"/>
              </w:rPr>
              <w:t>管埋地敷设，埋深</w:t>
            </w:r>
            <w:r>
              <w:rPr>
                <w:kern w:val="0"/>
                <w:sz w:val="24"/>
              </w:rPr>
              <w:t>0.8</w:t>
            </w:r>
            <w:r>
              <w:rPr>
                <w:rFonts w:hint="eastAsia"/>
                <w:kern w:val="0"/>
                <w:sz w:val="24"/>
              </w:rPr>
              <w:t>米。电缆穿过道路或构筑物时采用穿</w:t>
            </w:r>
            <w:r>
              <w:rPr>
                <w:rFonts w:ascii="Cambria Math" w:hAnsi="Cambria Math" w:cs="Cambria Math"/>
                <w:kern w:val="0"/>
                <w:sz w:val="24"/>
              </w:rPr>
              <w:t>∅</w:t>
            </w:r>
            <w:r>
              <w:rPr>
                <w:kern w:val="0"/>
                <w:sz w:val="24"/>
              </w:rPr>
              <w:t xml:space="preserve"> 90</w:t>
            </w:r>
            <w:r>
              <w:rPr>
                <w:rFonts w:hint="eastAsia"/>
                <w:kern w:val="0"/>
                <w:sz w:val="24"/>
              </w:rPr>
              <w:t>（壁厚</w:t>
            </w:r>
            <w:r>
              <w:rPr>
                <w:kern w:val="0"/>
                <w:sz w:val="24"/>
              </w:rPr>
              <w:t>5.4</w:t>
            </w:r>
            <w:r>
              <w:rPr>
                <w:rFonts w:hint="eastAsia"/>
                <w:kern w:val="0"/>
                <w:sz w:val="24"/>
              </w:rPr>
              <w:t>毫米）</w:t>
            </w:r>
            <w:r>
              <w:rPr>
                <w:kern w:val="0"/>
                <w:sz w:val="24"/>
              </w:rPr>
              <w:t>PE100</w:t>
            </w:r>
            <w:r>
              <w:rPr>
                <w:rFonts w:hint="eastAsia"/>
                <w:kern w:val="0"/>
                <w:sz w:val="24"/>
              </w:rPr>
              <w:t>管埋地敷设，埋设深度1.0m；保护管超出路基、街道路面两边0.8m。</w:t>
            </w:r>
          </w:p>
          <w:p w14:paraId="3260110B">
            <w:pPr>
              <w:autoSpaceDE w:val="0"/>
              <w:autoSpaceDN w:val="0"/>
              <w:adjustRightInd w:val="0"/>
              <w:spacing w:line="360" w:lineRule="auto"/>
              <w:ind w:firstLine="480" w:firstLineChars="200"/>
              <w:jc w:val="left"/>
              <w:rPr>
                <w:bCs/>
                <w:sz w:val="24"/>
              </w:rPr>
            </w:pPr>
            <w:r>
              <w:rPr>
                <w:rFonts w:hint="eastAsia"/>
                <w:bCs/>
                <w:sz w:val="24"/>
              </w:rPr>
              <w:t>4、工程占地及拆迁情况</w:t>
            </w:r>
          </w:p>
          <w:p w14:paraId="2A7A99A8">
            <w:pPr>
              <w:autoSpaceDE w:val="0"/>
              <w:autoSpaceDN w:val="0"/>
              <w:adjustRightInd w:val="0"/>
              <w:spacing w:line="360" w:lineRule="auto"/>
              <w:ind w:firstLine="480" w:firstLineChars="200"/>
              <w:jc w:val="left"/>
              <w:rPr>
                <w:bCs/>
                <w:sz w:val="24"/>
              </w:rPr>
            </w:pPr>
            <w:r>
              <w:rPr>
                <w:rFonts w:hint="eastAsia"/>
                <w:bCs/>
                <w:sz w:val="24"/>
              </w:rPr>
              <w:t>（1）工程占地</w:t>
            </w:r>
          </w:p>
          <w:p w14:paraId="3C658086">
            <w:pPr>
              <w:autoSpaceDE w:val="0"/>
              <w:autoSpaceDN w:val="0"/>
              <w:adjustRightInd w:val="0"/>
              <w:spacing w:line="360" w:lineRule="auto"/>
              <w:ind w:firstLine="480" w:firstLineChars="200"/>
              <w:jc w:val="left"/>
              <w:rPr>
                <w:bCs/>
                <w:sz w:val="24"/>
              </w:rPr>
            </w:pPr>
            <w:r>
              <w:rPr>
                <w:rFonts w:hint="eastAsia"/>
                <w:bCs/>
                <w:sz w:val="24"/>
              </w:rPr>
              <w:t>道路工程占地为永久占地，本项目总占地面积</w:t>
            </w:r>
            <w:r>
              <w:rPr>
                <w:bCs/>
                <w:sz w:val="24"/>
              </w:rPr>
              <w:t>2.59</w:t>
            </w:r>
            <w:r>
              <w:rPr>
                <w:rFonts w:hint="eastAsia"/>
                <w:bCs/>
                <w:sz w:val="24"/>
              </w:rPr>
              <w:t>hm</w:t>
            </w:r>
            <w:r>
              <w:rPr>
                <w:rFonts w:hint="eastAsia"/>
                <w:bCs/>
                <w:sz w:val="24"/>
                <w:vertAlign w:val="superscript"/>
              </w:rPr>
              <w:t>2</w:t>
            </w:r>
            <w:r>
              <w:rPr>
                <w:rFonts w:hint="eastAsia"/>
                <w:bCs/>
                <w:sz w:val="24"/>
              </w:rPr>
              <w:t>，工程占地类型规划用途为城市道路用地。</w:t>
            </w:r>
          </w:p>
          <w:p w14:paraId="1D005AE4">
            <w:pPr>
              <w:autoSpaceDE w:val="0"/>
              <w:autoSpaceDN w:val="0"/>
              <w:adjustRightInd w:val="0"/>
              <w:spacing w:line="360" w:lineRule="auto"/>
              <w:ind w:firstLine="480" w:firstLineChars="200"/>
              <w:jc w:val="left"/>
              <w:rPr>
                <w:bCs/>
                <w:sz w:val="24"/>
              </w:rPr>
            </w:pPr>
            <w:r>
              <w:rPr>
                <w:rFonts w:hint="eastAsia"/>
                <w:bCs/>
                <w:sz w:val="24"/>
              </w:rPr>
              <w:t>（2）拆迁</w:t>
            </w:r>
          </w:p>
          <w:p w14:paraId="31AB97DF">
            <w:pPr>
              <w:autoSpaceDE w:val="0"/>
              <w:autoSpaceDN w:val="0"/>
              <w:adjustRightInd w:val="0"/>
              <w:spacing w:line="360" w:lineRule="auto"/>
              <w:ind w:firstLine="480" w:firstLineChars="200"/>
              <w:jc w:val="left"/>
              <w:rPr>
                <w:bCs/>
                <w:sz w:val="24"/>
              </w:rPr>
            </w:pPr>
            <w:r>
              <w:rPr>
                <w:rFonts w:hint="eastAsia"/>
                <w:bCs/>
                <w:sz w:val="24"/>
              </w:rPr>
              <w:t>本项目属于高铁站规划的附属道路，项目所涉及冯台村在安康高铁西站建设拆迁范围内。本项目不含拆迁工程，没有重要建筑物、文物、名木、古迹等设施。</w:t>
            </w:r>
          </w:p>
          <w:p w14:paraId="1EEE24F3">
            <w:pPr>
              <w:autoSpaceDE w:val="0"/>
              <w:autoSpaceDN w:val="0"/>
              <w:adjustRightInd w:val="0"/>
              <w:spacing w:line="360" w:lineRule="auto"/>
              <w:ind w:firstLine="480" w:firstLineChars="200"/>
              <w:jc w:val="left"/>
              <w:rPr>
                <w:color w:val="FF0000"/>
                <w:kern w:val="0"/>
                <w:sz w:val="24"/>
              </w:rPr>
            </w:pPr>
            <w:r>
              <w:rPr>
                <w:rFonts w:hint="eastAsia"/>
                <w:color w:val="FF0000"/>
                <w:kern w:val="0"/>
                <w:sz w:val="24"/>
              </w:rPr>
              <w:t>5、土石方</w:t>
            </w:r>
          </w:p>
          <w:p w14:paraId="310C3713">
            <w:pPr>
              <w:spacing w:line="360" w:lineRule="auto"/>
              <w:ind w:firstLine="480" w:firstLineChars="200"/>
              <w:rPr>
                <w:color w:val="FF0000"/>
                <w:sz w:val="24"/>
              </w:rPr>
            </w:pPr>
            <w:r>
              <w:rPr>
                <w:color w:val="FF0000"/>
                <w:sz w:val="24"/>
              </w:rPr>
              <w:t>根据本项目施工设计，本项目挖方约15332m</w:t>
            </w:r>
            <w:r>
              <w:rPr>
                <w:color w:val="FF0000"/>
                <w:sz w:val="24"/>
                <w:vertAlign w:val="superscript"/>
              </w:rPr>
              <w:t>3</w:t>
            </w:r>
            <w:r>
              <w:rPr>
                <w:rFonts w:hint="eastAsia"/>
                <w:color w:val="FF0000"/>
                <w:sz w:val="24"/>
              </w:rPr>
              <w:t>（含路基清表）</w:t>
            </w:r>
            <w:r>
              <w:rPr>
                <w:color w:val="FF0000"/>
                <w:sz w:val="24"/>
              </w:rPr>
              <w:t>，填方约99129m</w:t>
            </w:r>
            <w:r>
              <w:rPr>
                <w:color w:val="FF0000"/>
                <w:sz w:val="24"/>
                <w:vertAlign w:val="superscript"/>
              </w:rPr>
              <w:t>3</w:t>
            </w:r>
            <w:r>
              <w:rPr>
                <w:color w:val="FF0000"/>
                <w:sz w:val="24"/>
              </w:rPr>
              <w:t>，</w:t>
            </w:r>
            <w:r>
              <w:rPr>
                <w:rFonts w:hint="eastAsia"/>
                <w:color w:val="FF0000"/>
                <w:sz w:val="24"/>
              </w:rPr>
              <w:t>填方主要为外购的砂砾、片石等，无弃方。本</w:t>
            </w:r>
            <w:r>
              <w:rPr>
                <w:color w:val="FF0000"/>
                <w:sz w:val="24"/>
              </w:rPr>
              <w:t>项目</w:t>
            </w:r>
            <w:r>
              <w:rPr>
                <w:rFonts w:hint="eastAsia"/>
                <w:color w:val="FF0000"/>
                <w:sz w:val="24"/>
              </w:rPr>
              <w:t>不设置取土场、弃土场</w:t>
            </w:r>
            <w:r>
              <w:rPr>
                <w:color w:val="FF0000"/>
                <w:sz w:val="24"/>
              </w:rPr>
              <w:t>。土石方量见表2-</w:t>
            </w:r>
            <w:r>
              <w:rPr>
                <w:rFonts w:hint="eastAsia"/>
                <w:color w:val="FF0000"/>
                <w:sz w:val="24"/>
              </w:rPr>
              <w:t>4</w:t>
            </w:r>
            <w:r>
              <w:rPr>
                <w:color w:val="FF0000"/>
                <w:sz w:val="24"/>
              </w:rPr>
              <w:t>。</w:t>
            </w:r>
          </w:p>
          <w:p w14:paraId="3CA9A19A">
            <w:pPr>
              <w:pStyle w:val="18"/>
              <w:spacing w:before="0"/>
              <w:ind w:left="840" w:hanging="420"/>
              <w:rPr>
                <w:color w:val="FF0000"/>
              </w:rPr>
            </w:pPr>
            <w:r>
              <w:rPr>
                <w:color w:val="FF0000"/>
              </w:rPr>
              <w:t>表2-4    项目土石方</w:t>
            </w:r>
            <w:r>
              <w:rPr>
                <w:rFonts w:hint="eastAsia"/>
                <w:color w:val="FF0000"/>
              </w:rPr>
              <w:t>平衡</w:t>
            </w:r>
            <w:r>
              <w:rPr>
                <w:color w:val="FF0000"/>
              </w:rPr>
              <w:t>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6"/>
              <w:gridCol w:w="1678"/>
              <w:gridCol w:w="1791"/>
              <w:gridCol w:w="1506"/>
            </w:tblGrid>
            <w:tr w14:paraId="72DE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7" w:type="pct"/>
                  <w:shd w:val="clear" w:color="auto" w:fill="auto"/>
                  <w:vAlign w:val="center"/>
                </w:tcPr>
                <w:p w14:paraId="631FDB47">
                  <w:pPr>
                    <w:jc w:val="center"/>
                    <w:rPr>
                      <w:color w:val="FF0000"/>
                    </w:rPr>
                  </w:pPr>
                  <w:r>
                    <w:rPr>
                      <w:color w:val="FF0000"/>
                    </w:rPr>
                    <w:t>线路桩号</w:t>
                  </w:r>
                </w:p>
              </w:tc>
              <w:tc>
                <w:tcPr>
                  <w:tcW w:w="1033" w:type="pct"/>
                  <w:shd w:val="clear" w:color="auto" w:fill="auto"/>
                  <w:vAlign w:val="center"/>
                </w:tcPr>
                <w:p w14:paraId="582C26A2">
                  <w:pPr>
                    <w:jc w:val="center"/>
                    <w:rPr>
                      <w:color w:val="FF0000"/>
                    </w:rPr>
                  </w:pPr>
                  <w:r>
                    <w:rPr>
                      <w:color w:val="FF0000"/>
                    </w:rPr>
                    <w:t>挖方</w:t>
                  </w:r>
                </w:p>
              </w:tc>
              <w:tc>
                <w:tcPr>
                  <w:tcW w:w="1103" w:type="pct"/>
                  <w:shd w:val="clear" w:color="auto" w:fill="auto"/>
                  <w:vAlign w:val="center"/>
                </w:tcPr>
                <w:p w14:paraId="30D2E7A6">
                  <w:pPr>
                    <w:jc w:val="center"/>
                    <w:rPr>
                      <w:color w:val="FF0000"/>
                    </w:rPr>
                  </w:pPr>
                  <w:r>
                    <w:rPr>
                      <w:color w:val="FF0000"/>
                    </w:rPr>
                    <w:t>填方</w:t>
                  </w:r>
                </w:p>
              </w:tc>
              <w:tc>
                <w:tcPr>
                  <w:tcW w:w="927" w:type="pct"/>
                  <w:vAlign w:val="center"/>
                </w:tcPr>
                <w:p w14:paraId="260D9A22">
                  <w:pPr>
                    <w:jc w:val="center"/>
                    <w:rPr>
                      <w:color w:val="FF0000"/>
                    </w:rPr>
                  </w:pPr>
                  <w:r>
                    <w:rPr>
                      <w:rFonts w:hint="eastAsia"/>
                      <w:color w:val="FF0000"/>
                    </w:rPr>
                    <w:t>外购方</w:t>
                  </w:r>
                </w:p>
              </w:tc>
            </w:tr>
            <w:tr w14:paraId="4E40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7" w:type="pct"/>
                  <w:shd w:val="clear" w:color="auto" w:fill="auto"/>
                  <w:vAlign w:val="center"/>
                </w:tcPr>
                <w:p w14:paraId="5026F888">
                  <w:pPr>
                    <w:jc w:val="center"/>
                    <w:rPr>
                      <w:color w:val="FF0000"/>
                    </w:rPr>
                  </w:pPr>
                  <w:r>
                    <w:rPr>
                      <w:rFonts w:hint="eastAsia"/>
                      <w:color w:val="FF0000"/>
                    </w:rPr>
                    <w:t>高铁一路K</w:t>
                  </w:r>
                  <w:r>
                    <w:rPr>
                      <w:color w:val="FF0000"/>
                    </w:rPr>
                    <w:t>0+180~K0+336</w:t>
                  </w:r>
                </w:p>
              </w:tc>
              <w:tc>
                <w:tcPr>
                  <w:tcW w:w="1033" w:type="pct"/>
                  <w:shd w:val="clear" w:color="auto" w:fill="auto"/>
                  <w:vAlign w:val="center"/>
                </w:tcPr>
                <w:p w14:paraId="0219623C">
                  <w:pPr>
                    <w:jc w:val="center"/>
                    <w:rPr>
                      <w:color w:val="FF0000"/>
                    </w:rPr>
                  </w:pPr>
                  <w:r>
                    <w:rPr>
                      <w:color w:val="FF0000"/>
                    </w:rPr>
                    <w:t>4660</w:t>
                  </w:r>
                </w:p>
              </w:tc>
              <w:tc>
                <w:tcPr>
                  <w:tcW w:w="1103" w:type="pct"/>
                  <w:shd w:val="clear" w:color="auto" w:fill="auto"/>
                  <w:vAlign w:val="center"/>
                </w:tcPr>
                <w:p w14:paraId="22DA4FB2">
                  <w:pPr>
                    <w:jc w:val="center"/>
                    <w:rPr>
                      <w:color w:val="FF0000"/>
                    </w:rPr>
                  </w:pPr>
                  <w:r>
                    <w:rPr>
                      <w:color w:val="FF0000"/>
                    </w:rPr>
                    <w:t>61158</w:t>
                  </w:r>
                </w:p>
              </w:tc>
              <w:tc>
                <w:tcPr>
                  <w:tcW w:w="927" w:type="pct"/>
                  <w:vAlign w:val="center"/>
                </w:tcPr>
                <w:p w14:paraId="2C30267A">
                  <w:pPr>
                    <w:jc w:val="center"/>
                    <w:rPr>
                      <w:rFonts w:hint="eastAsia"/>
                      <w:color w:val="FF0000"/>
                    </w:rPr>
                  </w:pPr>
                  <w:r>
                    <w:rPr>
                      <w:rFonts w:hint="eastAsia"/>
                      <w:color w:val="FF0000"/>
                    </w:rPr>
                    <w:t>5</w:t>
                  </w:r>
                  <w:r>
                    <w:rPr>
                      <w:color w:val="FF0000"/>
                    </w:rPr>
                    <w:t>6498</w:t>
                  </w:r>
                </w:p>
              </w:tc>
            </w:tr>
            <w:tr w14:paraId="6D78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7" w:type="pct"/>
                  <w:shd w:val="clear" w:color="auto" w:fill="auto"/>
                  <w:vAlign w:val="center"/>
                </w:tcPr>
                <w:p w14:paraId="196CFB41">
                  <w:pPr>
                    <w:jc w:val="center"/>
                    <w:rPr>
                      <w:color w:val="FF0000"/>
                    </w:rPr>
                  </w:pPr>
                  <w:r>
                    <w:rPr>
                      <w:rFonts w:hint="eastAsia"/>
                      <w:color w:val="FF0000"/>
                    </w:rPr>
                    <w:t>高铁二路K</w:t>
                  </w:r>
                  <w:r>
                    <w:rPr>
                      <w:color w:val="FF0000"/>
                    </w:rPr>
                    <w:t>0+200~K0+255</w:t>
                  </w:r>
                </w:p>
              </w:tc>
              <w:tc>
                <w:tcPr>
                  <w:tcW w:w="1033" w:type="pct"/>
                  <w:shd w:val="clear" w:color="auto" w:fill="auto"/>
                  <w:vAlign w:val="center"/>
                </w:tcPr>
                <w:p w14:paraId="04EFA484">
                  <w:pPr>
                    <w:jc w:val="center"/>
                    <w:rPr>
                      <w:color w:val="FF0000"/>
                    </w:rPr>
                  </w:pPr>
                  <w:r>
                    <w:rPr>
                      <w:color w:val="FF0000"/>
                    </w:rPr>
                    <w:t>10672</w:t>
                  </w:r>
                </w:p>
              </w:tc>
              <w:tc>
                <w:tcPr>
                  <w:tcW w:w="1103" w:type="pct"/>
                  <w:shd w:val="clear" w:color="auto" w:fill="auto"/>
                  <w:vAlign w:val="center"/>
                </w:tcPr>
                <w:p w14:paraId="7886FC65">
                  <w:pPr>
                    <w:jc w:val="center"/>
                    <w:rPr>
                      <w:color w:val="FF0000"/>
                    </w:rPr>
                  </w:pPr>
                  <w:r>
                    <w:rPr>
                      <w:color w:val="FF0000"/>
                    </w:rPr>
                    <w:t>37971</w:t>
                  </w:r>
                </w:p>
              </w:tc>
              <w:tc>
                <w:tcPr>
                  <w:tcW w:w="927" w:type="pct"/>
                  <w:vAlign w:val="center"/>
                </w:tcPr>
                <w:p w14:paraId="6D8DA17B">
                  <w:pPr>
                    <w:jc w:val="center"/>
                    <w:rPr>
                      <w:rFonts w:hint="eastAsia"/>
                      <w:color w:val="FF0000"/>
                    </w:rPr>
                  </w:pPr>
                  <w:r>
                    <w:rPr>
                      <w:rFonts w:hint="eastAsia"/>
                      <w:color w:val="FF0000"/>
                    </w:rPr>
                    <w:t>2</w:t>
                  </w:r>
                  <w:r>
                    <w:rPr>
                      <w:color w:val="FF0000"/>
                    </w:rPr>
                    <w:t>7299</w:t>
                  </w:r>
                </w:p>
              </w:tc>
            </w:tr>
            <w:tr w14:paraId="0099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7" w:type="pct"/>
                  <w:shd w:val="clear" w:color="auto" w:fill="auto"/>
                  <w:vAlign w:val="center"/>
                </w:tcPr>
                <w:p w14:paraId="1B3D8290">
                  <w:pPr>
                    <w:jc w:val="center"/>
                    <w:rPr>
                      <w:color w:val="FF0000"/>
                    </w:rPr>
                  </w:pPr>
                  <w:r>
                    <w:rPr>
                      <w:rFonts w:hint="eastAsia"/>
                      <w:color w:val="FF0000"/>
                    </w:rPr>
                    <w:t>合计</w:t>
                  </w:r>
                </w:p>
              </w:tc>
              <w:tc>
                <w:tcPr>
                  <w:tcW w:w="1033" w:type="pct"/>
                  <w:shd w:val="clear" w:color="auto" w:fill="auto"/>
                  <w:vAlign w:val="center"/>
                </w:tcPr>
                <w:p w14:paraId="21C6877C">
                  <w:pPr>
                    <w:jc w:val="center"/>
                    <w:rPr>
                      <w:color w:val="FF0000"/>
                    </w:rPr>
                  </w:pPr>
                  <w:r>
                    <w:rPr>
                      <w:rFonts w:hint="eastAsia"/>
                      <w:color w:val="FF0000"/>
                    </w:rPr>
                    <w:t>1</w:t>
                  </w:r>
                  <w:r>
                    <w:rPr>
                      <w:color w:val="FF0000"/>
                    </w:rPr>
                    <w:t>5332</w:t>
                  </w:r>
                </w:p>
              </w:tc>
              <w:tc>
                <w:tcPr>
                  <w:tcW w:w="1103" w:type="pct"/>
                  <w:shd w:val="clear" w:color="auto" w:fill="auto"/>
                  <w:vAlign w:val="center"/>
                </w:tcPr>
                <w:p w14:paraId="58486A3A">
                  <w:pPr>
                    <w:jc w:val="center"/>
                    <w:rPr>
                      <w:color w:val="FF0000"/>
                    </w:rPr>
                  </w:pPr>
                  <w:r>
                    <w:rPr>
                      <w:rFonts w:hint="eastAsia"/>
                      <w:color w:val="FF0000"/>
                    </w:rPr>
                    <w:t>9</w:t>
                  </w:r>
                  <w:r>
                    <w:rPr>
                      <w:color w:val="FF0000"/>
                    </w:rPr>
                    <w:t>9129</w:t>
                  </w:r>
                </w:p>
              </w:tc>
              <w:tc>
                <w:tcPr>
                  <w:tcW w:w="927" w:type="pct"/>
                  <w:vAlign w:val="center"/>
                </w:tcPr>
                <w:p w14:paraId="6D20062A">
                  <w:pPr>
                    <w:jc w:val="center"/>
                    <w:rPr>
                      <w:rFonts w:hint="eastAsia"/>
                      <w:color w:val="FF0000"/>
                    </w:rPr>
                  </w:pPr>
                  <w:r>
                    <w:rPr>
                      <w:rFonts w:hint="eastAsia"/>
                      <w:color w:val="FF0000"/>
                    </w:rPr>
                    <w:t>8</w:t>
                  </w:r>
                  <w:r>
                    <w:rPr>
                      <w:color w:val="FF0000"/>
                    </w:rPr>
                    <w:t>3797</w:t>
                  </w:r>
                </w:p>
              </w:tc>
            </w:tr>
          </w:tbl>
          <w:p w14:paraId="19C65FB1"/>
          <w:p w14:paraId="41B70AA3">
            <w:pPr>
              <w:rPr>
                <w:color w:val="FF0000"/>
              </w:rPr>
            </w:pPr>
            <w:r>
              <w:rPr>
                <w:color w:val="FF0000"/>
              </w:rPr>
              <w:drawing>
                <wp:inline distT="0" distB="0" distL="0" distR="0">
                  <wp:extent cx="5128895" cy="7188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442031" cy="763092"/>
                          </a:xfrm>
                          <a:prstGeom prst="rect">
                            <a:avLst/>
                          </a:prstGeom>
                          <a:noFill/>
                          <a:ln>
                            <a:noFill/>
                          </a:ln>
                        </pic:spPr>
                      </pic:pic>
                    </a:graphicData>
                  </a:graphic>
                </wp:inline>
              </w:drawing>
            </w:r>
          </w:p>
          <w:p w14:paraId="32FCFB96">
            <w:pPr>
              <w:snapToGrid w:val="0"/>
              <w:spacing w:before="120" w:beforeLines="50"/>
              <w:jc w:val="center"/>
              <w:rPr>
                <w:rFonts w:hint="eastAsia" w:eastAsia="黑体"/>
                <w:color w:val="FF0000"/>
              </w:rPr>
            </w:pPr>
            <w:r>
              <w:rPr>
                <w:rFonts w:eastAsia="黑体"/>
                <w:color w:val="FF0000"/>
              </w:rPr>
              <w:t>图</w:t>
            </w:r>
            <w:r>
              <w:rPr>
                <w:rFonts w:hint="eastAsia" w:eastAsia="黑体"/>
                <w:color w:val="FF0000"/>
              </w:rPr>
              <w:t>2-</w:t>
            </w:r>
            <w:r>
              <w:rPr>
                <w:rFonts w:eastAsia="黑体"/>
                <w:color w:val="FF0000"/>
              </w:rPr>
              <w:t>3</w:t>
            </w:r>
            <w:r>
              <w:rPr>
                <w:rFonts w:hint="eastAsia" w:eastAsia="黑体"/>
                <w:color w:val="FF0000"/>
              </w:rPr>
              <w:t xml:space="preserve"> 项目土石方平衡图</w:t>
            </w:r>
          </w:p>
          <w:p w14:paraId="1E99D754">
            <w:pPr>
              <w:autoSpaceDE w:val="0"/>
              <w:autoSpaceDN w:val="0"/>
              <w:adjustRightInd w:val="0"/>
              <w:spacing w:line="360" w:lineRule="auto"/>
              <w:ind w:firstLine="480" w:firstLineChars="200"/>
              <w:jc w:val="left"/>
              <w:rPr>
                <w:kern w:val="0"/>
                <w:sz w:val="24"/>
              </w:rPr>
            </w:pPr>
            <w:r>
              <w:rPr>
                <w:rFonts w:hint="eastAsia"/>
                <w:kern w:val="0"/>
                <w:sz w:val="24"/>
              </w:rPr>
              <w:t>6、交通量</w:t>
            </w:r>
          </w:p>
          <w:p w14:paraId="0EE6819E">
            <w:pPr>
              <w:pStyle w:val="84"/>
              <w:rPr>
                <w:rFonts w:ascii="Times New Roman" w:hAnsi="Times New Roman"/>
              </w:rPr>
            </w:pPr>
            <w:r>
              <w:rPr>
                <w:rFonts w:hint="eastAsia" w:ascii="Times New Roman" w:hAnsi="Times New Roman"/>
              </w:rPr>
              <w:t>根据项目初步设计说明，本项目预测特征年为近期2026年、中期2032年、远期2040年高峰小时车流量见表2-5、车型比例预测表见表2-6。</w:t>
            </w:r>
          </w:p>
          <w:p w14:paraId="3C07448B">
            <w:pPr>
              <w:adjustRightInd w:val="0"/>
              <w:snapToGrid w:val="0"/>
              <w:ind w:firstLine="422"/>
              <w:jc w:val="center"/>
              <w:rPr>
                <w:rFonts w:ascii="黑体" w:hAnsi="黑体" w:eastAsia="黑体" w:cs="黑体"/>
                <w:bCs/>
                <w:kern w:val="0"/>
                <w:szCs w:val="21"/>
              </w:rPr>
            </w:pPr>
            <w:r>
              <w:rPr>
                <w:rFonts w:hint="eastAsia" w:ascii="黑体" w:hAnsi="黑体" w:eastAsia="黑体" w:cs="黑体"/>
                <w:bCs/>
                <w:kern w:val="0"/>
                <w:szCs w:val="21"/>
              </w:rPr>
              <w:t>表2-5   断面高峰小时交通量预测       单位：pcu/h</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87"/>
              <w:gridCol w:w="1666"/>
              <w:gridCol w:w="1665"/>
              <w:gridCol w:w="1603"/>
            </w:tblGrid>
            <w:tr w14:paraId="3C23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962" w:type="pct"/>
                  <w:vAlign w:val="center"/>
                </w:tcPr>
                <w:p w14:paraId="54D95B1B">
                  <w:pPr>
                    <w:jc w:val="center"/>
                    <w:rPr>
                      <w:szCs w:val="21"/>
                    </w:rPr>
                  </w:pPr>
                  <w:r>
                    <w:rPr>
                      <w:szCs w:val="21"/>
                    </w:rPr>
                    <w:t>路段</w:t>
                  </w:r>
                </w:p>
              </w:tc>
              <w:tc>
                <w:tcPr>
                  <w:tcW w:w="1026" w:type="pct"/>
                  <w:vAlign w:val="center"/>
                </w:tcPr>
                <w:p w14:paraId="31890EE0">
                  <w:pPr>
                    <w:jc w:val="center"/>
                    <w:rPr>
                      <w:szCs w:val="21"/>
                    </w:rPr>
                  </w:pPr>
                  <w:r>
                    <w:rPr>
                      <w:szCs w:val="21"/>
                    </w:rPr>
                    <w:t>2026年</w:t>
                  </w:r>
                </w:p>
              </w:tc>
              <w:tc>
                <w:tcPr>
                  <w:tcW w:w="1025" w:type="pct"/>
                  <w:vAlign w:val="center"/>
                </w:tcPr>
                <w:p w14:paraId="720C68B6">
                  <w:pPr>
                    <w:jc w:val="center"/>
                    <w:rPr>
                      <w:szCs w:val="21"/>
                    </w:rPr>
                  </w:pPr>
                  <w:r>
                    <w:rPr>
                      <w:szCs w:val="21"/>
                    </w:rPr>
                    <w:t>2032年</w:t>
                  </w:r>
                </w:p>
              </w:tc>
              <w:tc>
                <w:tcPr>
                  <w:tcW w:w="987" w:type="pct"/>
                  <w:vAlign w:val="center"/>
                </w:tcPr>
                <w:p w14:paraId="6119F6F1">
                  <w:pPr>
                    <w:jc w:val="center"/>
                    <w:rPr>
                      <w:szCs w:val="21"/>
                    </w:rPr>
                  </w:pPr>
                  <w:r>
                    <w:rPr>
                      <w:szCs w:val="21"/>
                    </w:rPr>
                    <w:t>2040年</w:t>
                  </w:r>
                </w:p>
              </w:tc>
            </w:tr>
            <w:tr w14:paraId="62B7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2" w:type="pct"/>
                  <w:vAlign w:val="center"/>
                </w:tcPr>
                <w:p w14:paraId="333C273E">
                  <w:pPr>
                    <w:jc w:val="center"/>
                    <w:rPr>
                      <w:szCs w:val="21"/>
                    </w:rPr>
                  </w:pPr>
                  <w:r>
                    <w:rPr>
                      <w:szCs w:val="21"/>
                    </w:rPr>
                    <w:t>安康西站站前路（高铁一路-匝道桥-高铁二路）市政工程</w:t>
                  </w:r>
                </w:p>
              </w:tc>
              <w:tc>
                <w:tcPr>
                  <w:tcW w:w="1026" w:type="pct"/>
                  <w:vAlign w:val="center"/>
                </w:tcPr>
                <w:p w14:paraId="25BA3DD5">
                  <w:pPr>
                    <w:pStyle w:val="85"/>
                    <w:rPr>
                      <w:szCs w:val="21"/>
                    </w:rPr>
                  </w:pPr>
                  <w:r>
                    <w:rPr>
                      <w:rFonts w:hint="eastAsia"/>
                      <w:szCs w:val="21"/>
                    </w:rPr>
                    <w:t>2979</w:t>
                  </w:r>
                </w:p>
              </w:tc>
              <w:tc>
                <w:tcPr>
                  <w:tcW w:w="1025" w:type="pct"/>
                  <w:vAlign w:val="center"/>
                </w:tcPr>
                <w:p w14:paraId="74E2D2B7">
                  <w:pPr>
                    <w:pStyle w:val="85"/>
                    <w:rPr>
                      <w:szCs w:val="21"/>
                    </w:rPr>
                  </w:pPr>
                  <w:r>
                    <w:rPr>
                      <w:rFonts w:hint="eastAsia"/>
                      <w:szCs w:val="21"/>
                    </w:rPr>
                    <w:t>3402</w:t>
                  </w:r>
                </w:p>
              </w:tc>
              <w:tc>
                <w:tcPr>
                  <w:tcW w:w="987" w:type="pct"/>
                  <w:vAlign w:val="center"/>
                </w:tcPr>
                <w:p w14:paraId="3CBABB7B">
                  <w:pPr>
                    <w:pStyle w:val="85"/>
                    <w:rPr>
                      <w:szCs w:val="21"/>
                    </w:rPr>
                  </w:pPr>
                  <w:r>
                    <w:rPr>
                      <w:rFonts w:hint="eastAsia"/>
                      <w:szCs w:val="21"/>
                    </w:rPr>
                    <w:t>4074</w:t>
                  </w:r>
                </w:p>
              </w:tc>
            </w:tr>
          </w:tbl>
          <w:p w14:paraId="5E516935">
            <w:pPr>
              <w:keepNext/>
              <w:spacing w:before="120" w:beforeLines="50"/>
              <w:jc w:val="center"/>
              <w:rPr>
                <w:rFonts w:ascii="黑体" w:hAnsi="黑体" w:eastAsia="黑体" w:cs="黑体"/>
                <w:bCs/>
              </w:rPr>
            </w:pPr>
            <w:r>
              <w:rPr>
                <w:rFonts w:hint="eastAsia" w:ascii="黑体" w:hAnsi="黑体" w:eastAsia="黑体" w:cs="黑体"/>
                <w:bCs/>
              </w:rPr>
              <w:t>表2-6     车型比例预测表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2079"/>
              <w:gridCol w:w="2035"/>
              <w:gridCol w:w="2034"/>
            </w:tblGrid>
            <w:tr w14:paraId="04F7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vAlign w:val="center"/>
                </w:tcPr>
                <w:p w14:paraId="7D97C0FE">
                  <w:pPr>
                    <w:spacing w:line="240" w:lineRule="atLeast"/>
                    <w:jc w:val="center"/>
                  </w:pPr>
                  <w:r>
                    <w:rPr>
                      <w:rFonts w:hint="eastAsia"/>
                    </w:rPr>
                    <w:t>车型</w:t>
                  </w:r>
                </w:p>
              </w:tc>
              <w:tc>
                <w:tcPr>
                  <w:tcW w:w="1280" w:type="pct"/>
                  <w:vAlign w:val="center"/>
                </w:tcPr>
                <w:p w14:paraId="41D3DB57">
                  <w:pPr>
                    <w:spacing w:line="240" w:lineRule="atLeast"/>
                    <w:jc w:val="center"/>
                  </w:pPr>
                  <w:r>
                    <w:rPr>
                      <w:rFonts w:hint="eastAsia"/>
                    </w:rPr>
                    <w:t>小型车</w:t>
                  </w:r>
                </w:p>
              </w:tc>
              <w:tc>
                <w:tcPr>
                  <w:tcW w:w="1253" w:type="pct"/>
                  <w:vAlign w:val="center"/>
                </w:tcPr>
                <w:p w14:paraId="7792773D">
                  <w:pPr>
                    <w:spacing w:line="240" w:lineRule="atLeast"/>
                    <w:jc w:val="center"/>
                  </w:pPr>
                  <w:r>
                    <w:rPr>
                      <w:rFonts w:hint="eastAsia"/>
                    </w:rPr>
                    <w:t>中型车</w:t>
                  </w:r>
                </w:p>
              </w:tc>
              <w:tc>
                <w:tcPr>
                  <w:tcW w:w="1252" w:type="pct"/>
                </w:tcPr>
                <w:p w14:paraId="48F548CF">
                  <w:pPr>
                    <w:spacing w:line="240" w:lineRule="atLeast"/>
                    <w:jc w:val="center"/>
                  </w:pPr>
                  <w:r>
                    <w:rPr>
                      <w:rFonts w:hint="eastAsia"/>
                    </w:rPr>
                    <w:t>大型车</w:t>
                  </w:r>
                </w:p>
              </w:tc>
            </w:tr>
            <w:tr w14:paraId="29FC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vAlign w:val="center"/>
                </w:tcPr>
                <w:p w14:paraId="1482548C">
                  <w:pPr>
                    <w:spacing w:line="240" w:lineRule="atLeast"/>
                    <w:jc w:val="center"/>
                  </w:pPr>
                  <w:r>
                    <w:rPr>
                      <w:rFonts w:hint="eastAsia"/>
                    </w:rPr>
                    <w:t>比例</w:t>
                  </w:r>
                </w:p>
              </w:tc>
              <w:tc>
                <w:tcPr>
                  <w:tcW w:w="1280" w:type="pct"/>
                  <w:vAlign w:val="center"/>
                </w:tcPr>
                <w:p w14:paraId="66F2472A">
                  <w:pPr>
                    <w:spacing w:line="240" w:lineRule="atLeast"/>
                    <w:jc w:val="center"/>
                  </w:pPr>
                  <w:r>
                    <w:rPr>
                      <w:rFonts w:hint="eastAsia"/>
                    </w:rPr>
                    <w:t>86.32</w:t>
                  </w:r>
                  <w:r>
                    <w:t>%</w:t>
                  </w:r>
                </w:p>
              </w:tc>
              <w:tc>
                <w:tcPr>
                  <w:tcW w:w="1253" w:type="pct"/>
                  <w:vAlign w:val="center"/>
                </w:tcPr>
                <w:p w14:paraId="77A0FAF5">
                  <w:pPr>
                    <w:spacing w:line="240" w:lineRule="atLeast"/>
                    <w:jc w:val="center"/>
                  </w:pPr>
                  <w:r>
                    <w:rPr>
                      <w:rFonts w:hint="eastAsia"/>
                    </w:rPr>
                    <w:t>10.76</w:t>
                  </w:r>
                  <w:r>
                    <w:t>%</w:t>
                  </w:r>
                </w:p>
              </w:tc>
              <w:tc>
                <w:tcPr>
                  <w:tcW w:w="1252" w:type="pct"/>
                </w:tcPr>
                <w:p w14:paraId="75C88E00">
                  <w:pPr>
                    <w:spacing w:line="240" w:lineRule="atLeast"/>
                    <w:jc w:val="center"/>
                  </w:pPr>
                  <w:r>
                    <w:rPr>
                      <w:rFonts w:hint="eastAsia"/>
                    </w:rPr>
                    <w:t>2.92%</w:t>
                  </w:r>
                </w:p>
              </w:tc>
            </w:tr>
          </w:tbl>
          <w:p w14:paraId="58654F4B">
            <w:pPr>
              <w:pStyle w:val="84"/>
              <w:rPr>
                <w:rFonts w:ascii="Times New Roman" w:hAnsi="Times New Roman"/>
              </w:rPr>
            </w:pPr>
            <w:r>
              <w:rPr>
                <w:rFonts w:hint="eastAsia" w:ascii="Times New Roman" w:hAnsi="Times New Roman"/>
              </w:rPr>
              <w:t>根据市政道路车流量经验，本次夜间小时交通量拟用高峰小时车流量乘以系数0.5，且根据《环境影响评价技术导则-公路建设项目》（HJ-2024）车流量折算成当量小客车车流量时的折算系数。按照取值，折算系数具体如表2-7。</w:t>
            </w:r>
          </w:p>
          <w:p w14:paraId="419FDE2B">
            <w:pPr>
              <w:adjustRightInd w:val="0"/>
              <w:snapToGrid w:val="0"/>
              <w:ind w:firstLine="422"/>
              <w:jc w:val="center"/>
              <w:rPr>
                <w:rFonts w:ascii="黑体" w:hAnsi="黑体" w:eastAsia="黑体" w:cs="黑体"/>
                <w:bCs/>
                <w:kern w:val="0"/>
                <w:szCs w:val="21"/>
              </w:rPr>
            </w:pPr>
            <w:r>
              <w:rPr>
                <w:rFonts w:hint="eastAsia" w:ascii="黑体" w:hAnsi="黑体" w:eastAsia="黑体" w:cs="黑体"/>
                <w:bCs/>
                <w:kern w:val="0"/>
                <w:szCs w:val="21"/>
              </w:rPr>
              <w:t>表2-7   各车型与小客车折算系数</w:t>
            </w: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6"/>
              <w:gridCol w:w="2031"/>
              <w:gridCol w:w="2032"/>
              <w:gridCol w:w="2032"/>
            </w:tblGrid>
            <w:tr w14:paraId="32B4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14:paraId="2D1ADD02">
                  <w:pPr>
                    <w:jc w:val="center"/>
                    <w:rPr>
                      <w:szCs w:val="21"/>
                    </w:rPr>
                  </w:pPr>
                  <w:r>
                    <w:rPr>
                      <w:rFonts w:hint="eastAsia"/>
                      <w:szCs w:val="21"/>
                    </w:rPr>
                    <w:t>车型</w:t>
                  </w:r>
                </w:p>
              </w:tc>
              <w:tc>
                <w:tcPr>
                  <w:tcW w:w="2130" w:type="dxa"/>
                  <w:vAlign w:val="center"/>
                </w:tcPr>
                <w:p w14:paraId="7A9D50D7">
                  <w:pPr>
                    <w:jc w:val="center"/>
                    <w:rPr>
                      <w:szCs w:val="21"/>
                    </w:rPr>
                  </w:pPr>
                  <w:r>
                    <w:rPr>
                      <w:rFonts w:hint="eastAsia"/>
                      <w:szCs w:val="21"/>
                    </w:rPr>
                    <w:t>小型车</w:t>
                  </w:r>
                </w:p>
              </w:tc>
              <w:tc>
                <w:tcPr>
                  <w:tcW w:w="2131" w:type="dxa"/>
                  <w:vAlign w:val="center"/>
                </w:tcPr>
                <w:p w14:paraId="00335460">
                  <w:pPr>
                    <w:jc w:val="center"/>
                    <w:rPr>
                      <w:szCs w:val="21"/>
                    </w:rPr>
                  </w:pPr>
                  <w:r>
                    <w:rPr>
                      <w:rFonts w:hint="eastAsia"/>
                      <w:szCs w:val="21"/>
                    </w:rPr>
                    <w:t>中型车</w:t>
                  </w:r>
                </w:p>
              </w:tc>
              <w:tc>
                <w:tcPr>
                  <w:tcW w:w="2131" w:type="dxa"/>
                  <w:vAlign w:val="center"/>
                </w:tcPr>
                <w:p w14:paraId="4C389B8D">
                  <w:pPr>
                    <w:jc w:val="center"/>
                    <w:rPr>
                      <w:szCs w:val="21"/>
                    </w:rPr>
                  </w:pPr>
                  <w:r>
                    <w:rPr>
                      <w:rFonts w:hint="eastAsia"/>
                      <w:szCs w:val="21"/>
                    </w:rPr>
                    <w:t>大型车</w:t>
                  </w:r>
                </w:p>
              </w:tc>
            </w:tr>
            <w:tr w14:paraId="2D72C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130" w:type="dxa"/>
                  <w:vAlign w:val="center"/>
                </w:tcPr>
                <w:p w14:paraId="47C6DC2D">
                  <w:pPr>
                    <w:jc w:val="center"/>
                    <w:rPr>
                      <w:szCs w:val="21"/>
                    </w:rPr>
                  </w:pPr>
                  <w:r>
                    <w:rPr>
                      <w:rFonts w:hint="eastAsia"/>
                      <w:szCs w:val="21"/>
                    </w:rPr>
                    <w:t>折算系数</w:t>
                  </w:r>
                </w:p>
              </w:tc>
              <w:tc>
                <w:tcPr>
                  <w:tcW w:w="2130" w:type="dxa"/>
                  <w:vAlign w:val="center"/>
                </w:tcPr>
                <w:p w14:paraId="32F979C6">
                  <w:pPr>
                    <w:jc w:val="center"/>
                    <w:rPr>
                      <w:szCs w:val="21"/>
                    </w:rPr>
                  </w:pPr>
                  <w:r>
                    <w:rPr>
                      <w:rFonts w:hint="eastAsia"/>
                      <w:szCs w:val="21"/>
                    </w:rPr>
                    <w:t>1.0</w:t>
                  </w:r>
                </w:p>
              </w:tc>
              <w:tc>
                <w:tcPr>
                  <w:tcW w:w="2131" w:type="dxa"/>
                  <w:vAlign w:val="center"/>
                </w:tcPr>
                <w:p w14:paraId="27C16916">
                  <w:pPr>
                    <w:jc w:val="center"/>
                    <w:rPr>
                      <w:szCs w:val="21"/>
                    </w:rPr>
                  </w:pPr>
                  <w:r>
                    <w:rPr>
                      <w:rFonts w:hint="eastAsia"/>
                      <w:szCs w:val="21"/>
                    </w:rPr>
                    <w:t>1.5</w:t>
                  </w:r>
                </w:p>
              </w:tc>
              <w:tc>
                <w:tcPr>
                  <w:tcW w:w="2131" w:type="dxa"/>
                  <w:vAlign w:val="center"/>
                </w:tcPr>
                <w:p w14:paraId="41E947C2">
                  <w:pPr>
                    <w:jc w:val="center"/>
                    <w:rPr>
                      <w:szCs w:val="21"/>
                    </w:rPr>
                  </w:pPr>
                  <w:r>
                    <w:rPr>
                      <w:rFonts w:hint="eastAsia"/>
                      <w:szCs w:val="21"/>
                    </w:rPr>
                    <w:t>2.5</w:t>
                  </w:r>
                </w:p>
              </w:tc>
            </w:tr>
          </w:tbl>
          <w:p w14:paraId="26E39999">
            <w:pPr>
              <w:pStyle w:val="86"/>
              <w:rPr>
                <w:rFonts w:ascii="黑体" w:hAnsi="黑体" w:eastAsia="黑体" w:cs="黑体"/>
                <w:b w:val="0"/>
                <w:bCs/>
                <w:szCs w:val="21"/>
              </w:rPr>
            </w:pPr>
            <w:r>
              <w:rPr>
                <w:rFonts w:hint="eastAsia" w:ascii="黑体" w:hAnsi="黑体" w:eastAsia="黑体" w:cs="黑体"/>
                <w:b w:val="0"/>
                <w:bCs/>
                <w:szCs w:val="21"/>
              </w:rPr>
              <w:t>表2-8   项目各路段在各特征年小时预测车流量值   单位：Veh/h</w:t>
            </w:r>
          </w:p>
          <w:tbl>
            <w:tblPr>
              <w:tblStyle w:val="2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6"/>
              <w:gridCol w:w="963"/>
              <w:gridCol w:w="838"/>
              <w:gridCol w:w="950"/>
              <w:gridCol w:w="949"/>
              <w:gridCol w:w="819"/>
              <w:gridCol w:w="820"/>
              <w:gridCol w:w="736"/>
            </w:tblGrid>
            <w:tr w14:paraId="541F8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2122" w:type="dxa"/>
                  <w:vMerge w:val="restart"/>
                  <w:tcBorders>
                    <w:top w:val="single" w:color="auto" w:sz="4" w:space="0"/>
                  </w:tcBorders>
                  <w:vAlign w:val="center"/>
                </w:tcPr>
                <w:p w14:paraId="4718E2CD">
                  <w:pPr>
                    <w:jc w:val="center"/>
                    <w:rPr>
                      <w:szCs w:val="21"/>
                    </w:rPr>
                  </w:pPr>
                  <w:r>
                    <w:rPr>
                      <w:szCs w:val="21"/>
                    </w:rPr>
                    <w:t>道路名称</w:t>
                  </w:r>
                </w:p>
              </w:tc>
              <w:tc>
                <w:tcPr>
                  <w:tcW w:w="992" w:type="dxa"/>
                  <w:vMerge w:val="restart"/>
                  <w:tcBorders>
                    <w:top w:val="single" w:color="auto" w:sz="4" w:space="0"/>
                  </w:tcBorders>
                  <w:vAlign w:val="center"/>
                </w:tcPr>
                <w:p w14:paraId="20C1A32C">
                  <w:pPr>
                    <w:jc w:val="center"/>
                    <w:rPr>
                      <w:szCs w:val="21"/>
                    </w:rPr>
                  </w:pPr>
                  <w:r>
                    <w:rPr>
                      <w:szCs w:val="21"/>
                    </w:rPr>
                    <w:t>车型</w:t>
                  </w:r>
                </w:p>
              </w:tc>
              <w:tc>
                <w:tcPr>
                  <w:tcW w:w="1816" w:type="dxa"/>
                  <w:gridSpan w:val="2"/>
                  <w:vAlign w:val="center"/>
                </w:tcPr>
                <w:p w14:paraId="3F9D9A83">
                  <w:pPr>
                    <w:jc w:val="center"/>
                    <w:rPr>
                      <w:szCs w:val="21"/>
                    </w:rPr>
                  </w:pPr>
                  <w:r>
                    <w:rPr>
                      <w:szCs w:val="21"/>
                    </w:rPr>
                    <w:t>2026年</w:t>
                  </w:r>
                </w:p>
              </w:tc>
              <w:tc>
                <w:tcPr>
                  <w:tcW w:w="1795" w:type="dxa"/>
                  <w:gridSpan w:val="2"/>
                  <w:vAlign w:val="center"/>
                </w:tcPr>
                <w:p w14:paraId="1C3D7107">
                  <w:pPr>
                    <w:jc w:val="center"/>
                    <w:rPr>
                      <w:szCs w:val="21"/>
                    </w:rPr>
                  </w:pPr>
                  <w:r>
                    <w:rPr>
                      <w:szCs w:val="21"/>
                    </w:rPr>
                    <w:t>2032年</w:t>
                  </w:r>
                </w:p>
              </w:tc>
              <w:tc>
                <w:tcPr>
                  <w:tcW w:w="1571" w:type="dxa"/>
                  <w:gridSpan w:val="2"/>
                  <w:vAlign w:val="center"/>
                </w:tcPr>
                <w:p w14:paraId="7C25E06C">
                  <w:pPr>
                    <w:jc w:val="center"/>
                    <w:rPr>
                      <w:szCs w:val="21"/>
                    </w:rPr>
                  </w:pPr>
                  <w:r>
                    <w:rPr>
                      <w:szCs w:val="21"/>
                    </w:rPr>
                    <w:t>2040年</w:t>
                  </w:r>
                </w:p>
              </w:tc>
            </w:tr>
            <w:tr w14:paraId="49961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22" w:type="dxa"/>
                  <w:vMerge w:val="continue"/>
                  <w:tcBorders>
                    <w:top w:val="single" w:color="auto" w:sz="4" w:space="0"/>
                    <w:bottom w:val="single" w:color="auto" w:sz="4" w:space="0"/>
                  </w:tcBorders>
                  <w:vAlign w:val="center"/>
                </w:tcPr>
                <w:p w14:paraId="58D7588E">
                  <w:pPr>
                    <w:ind w:firstLine="420"/>
                    <w:jc w:val="center"/>
                    <w:rPr>
                      <w:szCs w:val="21"/>
                    </w:rPr>
                  </w:pPr>
                </w:p>
              </w:tc>
              <w:tc>
                <w:tcPr>
                  <w:tcW w:w="992" w:type="dxa"/>
                  <w:vMerge w:val="continue"/>
                  <w:tcBorders>
                    <w:top w:val="single" w:color="auto" w:sz="4" w:space="0"/>
                    <w:bottom w:val="single" w:color="auto" w:sz="4" w:space="0"/>
                  </w:tcBorders>
                  <w:vAlign w:val="center"/>
                </w:tcPr>
                <w:p w14:paraId="586D2915">
                  <w:pPr>
                    <w:ind w:firstLine="420"/>
                    <w:jc w:val="center"/>
                    <w:rPr>
                      <w:szCs w:val="21"/>
                    </w:rPr>
                  </w:pPr>
                </w:p>
              </w:tc>
              <w:tc>
                <w:tcPr>
                  <w:tcW w:w="849" w:type="dxa"/>
                  <w:vAlign w:val="center"/>
                </w:tcPr>
                <w:p w14:paraId="6ECE013D">
                  <w:pPr>
                    <w:jc w:val="center"/>
                    <w:rPr>
                      <w:szCs w:val="21"/>
                    </w:rPr>
                  </w:pPr>
                  <w:r>
                    <w:rPr>
                      <w:szCs w:val="21"/>
                    </w:rPr>
                    <w:t>昼间</w:t>
                  </w:r>
                </w:p>
              </w:tc>
              <w:tc>
                <w:tcPr>
                  <w:tcW w:w="967" w:type="dxa"/>
                  <w:vAlign w:val="center"/>
                </w:tcPr>
                <w:p w14:paraId="70126F9A">
                  <w:pPr>
                    <w:jc w:val="center"/>
                    <w:rPr>
                      <w:szCs w:val="21"/>
                    </w:rPr>
                  </w:pPr>
                  <w:r>
                    <w:rPr>
                      <w:szCs w:val="21"/>
                    </w:rPr>
                    <w:t>夜间</w:t>
                  </w:r>
                </w:p>
              </w:tc>
              <w:tc>
                <w:tcPr>
                  <w:tcW w:w="966" w:type="dxa"/>
                  <w:vAlign w:val="center"/>
                </w:tcPr>
                <w:p w14:paraId="0E505D43">
                  <w:pPr>
                    <w:jc w:val="center"/>
                    <w:rPr>
                      <w:szCs w:val="21"/>
                    </w:rPr>
                  </w:pPr>
                  <w:r>
                    <w:rPr>
                      <w:szCs w:val="21"/>
                    </w:rPr>
                    <w:t>昼间</w:t>
                  </w:r>
                </w:p>
              </w:tc>
              <w:tc>
                <w:tcPr>
                  <w:tcW w:w="829" w:type="dxa"/>
                  <w:vAlign w:val="center"/>
                </w:tcPr>
                <w:p w14:paraId="3C167F9F">
                  <w:pPr>
                    <w:jc w:val="center"/>
                    <w:rPr>
                      <w:szCs w:val="21"/>
                    </w:rPr>
                  </w:pPr>
                  <w:r>
                    <w:rPr>
                      <w:szCs w:val="21"/>
                    </w:rPr>
                    <w:t>夜间</w:t>
                  </w:r>
                </w:p>
              </w:tc>
              <w:tc>
                <w:tcPr>
                  <w:tcW w:w="830" w:type="dxa"/>
                  <w:vAlign w:val="center"/>
                </w:tcPr>
                <w:p w14:paraId="462ADE03">
                  <w:pPr>
                    <w:jc w:val="center"/>
                    <w:rPr>
                      <w:szCs w:val="21"/>
                    </w:rPr>
                  </w:pPr>
                  <w:r>
                    <w:rPr>
                      <w:szCs w:val="21"/>
                    </w:rPr>
                    <w:t>昼间</w:t>
                  </w:r>
                </w:p>
              </w:tc>
              <w:tc>
                <w:tcPr>
                  <w:tcW w:w="741" w:type="dxa"/>
                  <w:vAlign w:val="center"/>
                </w:tcPr>
                <w:p w14:paraId="7593FE77">
                  <w:pPr>
                    <w:jc w:val="center"/>
                    <w:rPr>
                      <w:szCs w:val="21"/>
                    </w:rPr>
                  </w:pPr>
                  <w:r>
                    <w:rPr>
                      <w:szCs w:val="21"/>
                    </w:rPr>
                    <w:t>夜间</w:t>
                  </w:r>
                </w:p>
              </w:tc>
            </w:tr>
            <w:tr w14:paraId="7D69B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22" w:type="dxa"/>
                  <w:vMerge w:val="restart"/>
                  <w:tcBorders>
                    <w:top w:val="single" w:color="auto" w:sz="4" w:space="0"/>
                  </w:tcBorders>
                  <w:vAlign w:val="center"/>
                </w:tcPr>
                <w:p w14:paraId="1D45B2E8">
                  <w:pPr>
                    <w:jc w:val="center"/>
                    <w:rPr>
                      <w:szCs w:val="21"/>
                    </w:rPr>
                  </w:pPr>
                  <w:r>
                    <w:rPr>
                      <w:szCs w:val="21"/>
                    </w:rPr>
                    <w:t>安康西站站前路（高铁一路-匝道桥-高铁二路）市政工程</w:t>
                  </w:r>
                </w:p>
              </w:tc>
              <w:tc>
                <w:tcPr>
                  <w:tcW w:w="992" w:type="dxa"/>
                  <w:tcBorders>
                    <w:top w:val="single" w:color="auto" w:sz="4" w:space="0"/>
                  </w:tcBorders>
                  <w:vAlign w:val="center"/>
                </w:tcPr>
                <w:p w14:paraId="15ED297A">
                  <w:pPr>
                    <w:jc w:val="center"/>
                    <w:rPr>
                      <w:szCs w:val="21"/>
                    </w:rPr>
                  </w:pPr>
                  <w:r>
                    <w:rPr>
                      <w:szCs w:val="21"/>
                    </w:rPr>
                    <w:t>小型车</w:t>
                  </w:r>
                </w:p>
              </w:tc>
              <w:tc>
                <w:tcPr>
                  <w:tcW w:w="849" w:type="dxa"/>
                  <w:vAlign w:val="center"/>
                </w:tcPr>
                <w:p w14:paraId="465CF3D4">
                  <w:pPr>
                    <w:jc w:val="center"/>
                    <w:rPr>
                      <w:szCs w:val="21"/>
                    </w:rPr>
                  </w:pPr>
                  <w:r>
                    <w:rPr>
                      <w:rFonts w:hint="eastAsia"/>
                      <w:szCs w:val="21"/>
                    </w:rPr>
                    <w:t>2571</w:t>
                  </w:r>
                </w:p>
              </w:tc>
              <w:tc>
                <w:tcPr>
                  <w:tcW w:w="967" w:type="dxa"/>
                  <w:vAlign w:val="center"/>
                </w:tcPr>
                <w:p w14:paraId="7702E2EE">
                  <w:pPr>
                    <w:jc w:val="center"/>
                    <w:rPr>
                      <w:szCs w:val="21"/>
                    </w:rPr>
                  </w:pPr>
                  <w:r>
                    <w:rPr>
                      <w:rFonts w:hint="eastAsia"/>
                      <w:szCs w:val="21"/>
                    </w:rPr>
                    <w:t>1286</w:t>
                  </w:r>
                </w:p>
              </w:tc>
              <w:tc>
                <w:tcPr>
                  <w:tcW w:w="966" w:type="dxa"/>
                  <w:vAlign w:val="center"/>
                </w:tcPr>
                <w:p w14:paraId="44C8B946">
                  <w:pPr>
                    <w:jc w:val="center"/>
                    <w:rPr>
                      <w:szCs w:val="21"/>
                    </w:rPr>
                  </w:pPr>
                  <w:r>
                    <w:rPr>
                      <w:rFonts w:hint="eastAsia"/>
                      <w:szCs w:val="21"/>
                    </w:rPr>
                    <w:t>2937</w:t>
                  </w:r>
                </w:p>
              </w:tc>
              <w:tc>
                <w:tcPr>
                  <w:tcW w:w="829" w:type="dxa"/>
                  <w:vAlign w:val="center"/>
                </w:tcPr>
                <w:p w14:paraId="63789329">
                  <w:pPr>
                    <w:jc w:val="center"/>
                    <w:rPr>
                      <w:szCs w:val="21"/>
                    </w:rPr>
                  </w:pPr>
                  <w:r>
                    <w:rPr>
                      <w:rFonts w:hint="eastAsia"/>
                      <w:szCs w:val="21"/>
                    </w:rPr>
                    <w:t>1468</w:t>
                  </w:r>
                </w:p>
              </w:tc>
              <w:tc>
                <w:tcPr>
                  <w:tcW w:w="830" w:type="dxa"/>
                  <w:vAlign w:val="center"/>
                </w:tcPr>
                <w:p w14:paraId="23B278D8">
                  <w:pPr>
                    <w:jc w:val="center"/>
                    <w:rPr>
                      <w:szCs w:val="21"/>
                    </w:rPr>
                  </w:pPr>
                  <w:r>
                    <w:rPr>
                      <w:rFonts w:hint="eastAsia"/>
                      <w:szCs w:val="21"/>
                    </w:rPr>
                    <w:t>3517</w:t>
                  </w:r>
                </w:p>
              </w:tc>
              <w:tc>
                <w:tcPr>
                  <w:tcW w:w="741" w:type="dxa"/>
                  <w:vAlign w:val="center"/>
                </w:tcPr>
                <w:p w14:paraId="10D2ADFE">
                  <w:pPr>
                    <w:jc w:val="center"/>
                    <w:rPr>
                      <w:szCs w:val="21"/>
                    </w:rPr>
                  </w:pPr>
                  <w:r>
                    <w:rPr>
                      <w:rFonts w:hint="eastAsia"/>
                      <w:szCs w:val="21"/>
                    </w:rPr>
                    <w:t>1758</w:t>
                  </w:r>
                </w:p>
              </w:tc>
            </w:tr>
            <w:tr w14:paraId="3690F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22" w:type="dxa"/>
                  <w:vMerge w:val="continue"/>
                  <w:vAlign w:val="center"/>
                </w:tcPr>
                <w:p w14:paraId="5B1BFBFA">
                  <w:pPr>
                    <w:ind w:firstLine="420"/>
                    <w:jc w:val="center"/>
                    <w:rPr>
                      <w:szCs w:val="21"/>
                    </w:rPr>
                  </w:pPr>
                </w:p>
              </w:tc>
              <w:tc>
                <w:tcPr>
                  <w:tcW w:w="992" w:type="dxa"/>
                  <w:vAlign w:val="center"/>
                </w:tcPr>
                <w:p w14:paraId="5B9E885A">
                  <w:pPr>
                    <w:jc w:val="center"/>
                    <w:rPr>
                      <w:szCs w:val="21"/>
                    </w:rPr>
                  </w:pPr>
                  <w:r>
                    <w:rPr>
                      <w:szCs w:val="21"/>
                    </w:rPr>
                    <w:t>中型车</w:t>
                  </w:r>
                </w:p>
              </w:tc>
              <w:tc>
                <w:tcPr>
                  <w:tcW w:w="849" w:type="dxa"/>
                  <w:vAlign w:val="center"/>
                </w:tcPr>
                <w:p w14:paraId="6BE1B910">
                  <w:pPr>
                    <w:jc w:val="center"/>
                    <w:rPr>
                      <w:szCs w:val="21"/>
                    </w:rPr>
                  </w:pPr>
                  <w:r>
                    <w:rPr>
                      <w:rFonts w:hint="eastAsia"/>
                      <w:szCs w:val="21"/>
                    </w:rPr>
                    <w:t>214</w:t>
                  </w:r>
                </w:p>
              </w:tc>
              <w:tc>
                <w:tcPr>
                  <w:tcW w:w="967" w:type="dxa"/>
                  <w:vAlign w:val="center"/>
                </w:tcPr>
                <w:p w14:paraId="4D8588E2">
                  <w:pPr>
                    <w:jc w:val="center"/>
                    <w:rPr>
                      <w:szCs w:val="21"/>
                    </w:rPr>
                  </w:pPr>
                  <w:r>
                    <w:rPr>
                      <w:rFonts w:hint="eastAsia"/>
                      <w:szCs w:val="21"/>
                    </w:rPr>
                    <w:t>107</w:t>
                  </w:r>
                </w:p>
              </w:tc>
              <w:tc>
                <w:tcPr>
                  <w:tcW w:w="966" w:type="dxa"/>
                  <w:vAlign w:val="center"/>
                </w:tcPr>
                <w:p w14:paraId="16E11980">
                  <w:pPr>
                    <w:jc w:val="center"/>
                    <w:rPr>
                      <w:szCs w:val="21"/>
                    </w:rPr>
                  </w:pPr>
                  <w:r>
                    <w:rPr>
                      <w:rFonts w:hint="eastAsia"/>
                      <w:szCs w:val="21"/>
                    </w:rPr>
                    <w:t>244</w:t>
                  </w:r>
                </w:p>
              </w:tc>
              <w:tc>
                <w:tcPr>
                  <w:tcW w:w="829" w:type="dxa"/>
                  <w:vAlign w:val="center"/>
                </w:tcPr>
                <w:p w14:paraId="549BFD58">
                  <w:pPr>
                    <w:jc w:val="center"/>
                    <w:rPr>
                      <w:szCs w:val="21"/>
                    </w:rPr>
                  </w:pPr>
                  <w:r>
                    <w:rPr>
                      <w:rFonts w:hint="eastAsia"/>
                      <w:szCs w:val="21"/>
                    </w:rPr>
                    <w:t>122</w:t>
                  </w:r>
                </w:p>
              </w:tc>
              <w:tc>
                <w:tcPr>
                  <w:tcW w:w="830" w:type="dxa"/>
                  <w:vAlign w:val="center"/>
                </w:tcPr>
                <w:p w14:paraId="7F52FB7F">
                  <w:pPr>
                    <w:jc w:val="center"/>
                    <w:rPr>
                      <w:szCs w:val="21"/>
                    </w:rPr>
                  </w:pPr>
                  <w:r>
                    <w:rPr>
                      <w:rFonts w:hint="eastAsia"/>
                      <w:szCs w:val="21"/>
                    </w:rPr>
                    <w:t>292</w:t>
                  </w:r>
                </w:p>
              </w:tc>
              <w:tc>
                <w:tcPr>
                  <w:tcW w:w="741" w:type="dxa"/>
                  <w:vAlign w:val="center"/>
                </w:tcPr>
                <w:p w14:paraId="2D8731DF">
                  <w:pPr>
                    <w:jc w:val="center"/>
                    <w:rPr>
                      <w:szCs w:val="21"/>
                    </w:rPr>
                  </w:pPr>
                  <w:r>
                    <w:rPr>
                      <w:rFonts w:hint="eastAsia"/>
                      <w:szCs w:val="21"/>
                    </w:rPr>
                    <w:t>146</w:t>
                  </w:r>
                </w:p>
              </w:tc>
            </w:tr>
            <w:tr w14:paraId="3B201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122" w:type="dxa"/>
                  <w:vMerge w:val="continue"/>
                  <w:vAlign w:val="center"/>
                </w:tcPr>
                <w:p w14:paraId="73B4C8E7">
                  <w:pPr>
                    <w:ind w:firstLine="420"/>
                    <w:jc w:val="center"/>
                    <w:rPr>
                      <w:szCs w:val="21"/>
                    </w:rPr>
                  </w:pPr>
                </w:p>
              </w:tc>
              <w:tc>
                <w:tcPr>
                  <w:tcW w:w="992" w:type="dxa"/>
                  <w:vAlign w:val="center"/>
                </w:tcPr>
                <w:p w14:paraId="798C3D47">
                  <w:pPr>
                    <w:jc w:val="center"/>
                    <w:rPr>
                      <w:szCs w:val="21"/>
                    </w:rPr>
                  </w:pPr>
                  <w:r>
                    <w:rPr>
                      <w:szCs w:val="21"/>
                    </w:rPr>
                    <w:t>大型车</w:t>
                  </w:r>
                </w:p>
              </w:tc>
              <w:tc>
                <w:tcPr>
                  <w:tcW w:w="849" w:type="dxa"/>
                  <w:vAlign w:val="center"/>
                </w:tcPr>
                <w:p w14:paraId="1417B446">
                  <w:pPr>
                    <w:jc w:val="center"/>
                    <w:rPr>
                      <w:szCs w:val="21"/>
                    </w:rPr>
                  </w:pPr>
                  <w:r>
                    <w:rPr>
                      <w:rFonts w:hint="eastAsia"/>
                      <w:szCs w:val="21"/>
                    </w:rPr>
                    <w:t>35</w:t>
                  </w:r>
                </w:p>
              </w:tc>
              <w:tc>
                <w:tcPr>
                  <w:tcW w:w="967" w:type="dxa"/>
                  <w:vAlign w:val="center"/>
                </w:tcPr>
                <w:p w14:paraId="6C6B8F0F">
                  <w:pPr>
                    <w:jc w:val="center"/>
                    <w:rPr>
                      <w:szCs w:val="21"/>
                    </w:rPr>
                  </w:pPr>
                  <w:r>
                    <w:rPr>
                      <w:rFonts w:hint="eastAsia"/>
                      <w:szCs w:val="21"/>
                    </w:rPr>
                    <w:t>17</w:t>
                  </w:r>
                </w:p>
              </w:tc>
              <w:tc>
                <w:tcPr>
                  <w:tcW w:w="966" w:type="dxa"/>
                  <w:vAlign w:val="center"/>
                </w:tcPr>
                <w:p w14:paraId="755C240A">
                  <w:pPr>
                    <w:jc w:val="center"/>
                    <w:rPr>
                      <w:szCs w:val="21"/>
                    </w:rPr>
                  </w:pPr>
                  <w:r>
                    <w:rPr>
                      <w:rFonts w:hint="eastAsia"/>
                      <w:szCs w:val="21"/>
                    </w:rPr>
                    <w:t>40</w:t>
                  </w:r>
                </w:p>
              </w:tc>
              <w:tc>
                <w:tcPr>
                  <w:tcW w:w="829" w:type="dxa"/>
                  <w:vAlign w:val="center"/>
                </w:tcPr>
                <w:p w14:paraId="6ADF7B8E">
                  <w:pPr>
                    <w:jc w:val="center"/>
                    <w:rPr>
                      <w:szCs w:val="21"/>
                    </w:rPr>
                  </w:pPr>
                  <w:r>
                    <w:rPr>
                      <w:rFonts w:hint="eastAsia"/>
                      <w:szCs w:val="21"/>
                    </w:rPr>
                    <w:t>20</w:t>
                  </w:r>
                </w:p>
              </w:tc>
              <w:tc>
                <w:tcPr>
                  <w:tcW w:w="830" w:type="dxa"/>
                  <w:vAlign w:val="center"/>
                </w:tcPr>
                <w:p w14:paraId="1A93F465">
                  <w:pPr>
                    <w:jc w:val="center"/>
                    <w:rPr>
                      <w:szCs w:val="21"/>
                    </w:rPr>
                  </w:pPr>
                  <w:r>
                    <w:rPr>
                      <w:rFonts w:hint="eastAsia"/>
                      <w:szCs w:val="21"/>
                    </w:rPr>
                    <w:t>48</w:t>
                  </w:r>
                </w:p>
              </w:tc>
              <w:tc>
                <w:tcPr>
                  <w:tcW w:w="741" w:type="dxa"/>
                  <w:vAlign w:val="center"/>
                </w:tcPr>
                <w:p w14:paraId="39137945">
                  <w:pPr>
                    <w:jc w:val="center"/>
                    <w:rPr>
                      <w:szCs w:val="21"/>
                    </w:rPr>
                  </w:pPr>
                  <w:r>
                    <w:rPr>
                      <w:rFonts w:hint="eastAsia"/>
                      <w:szCs w:val="21"/>
                    </w:rPr>
                    <w:t>24</w:t>
                  </w:r>
                </w:p>
              </w:tc>
            </w:tr>
          </w:tbl>
          <w:p w14:paraId="2E05C7D9">
            <w:pPr>
              <w:autoSpaceDE w:val="0"/>
              <w:autoSpaceDN w:val="0"/>
              <w:adjustRightInd w:val="0"/>
              <w:spacing w:line="360" w:lineRule="auto"/>
              <w:ind w:firstLine="480" w:firstLineChars="200"/>
              <w:jc w:val="left"/>
              <w:rPr>
                <w:kern w:val="0"/>
                <w:sz w:val="24"/>
              </w:rPr>
            </w:pPr>
            <w:r>
              <w:rPr>
                <w:rFonts w:hint="eastAsia"/>
                <w:kern w:val="0"/>
                <w:sz w:val="24"/>
              </w:rPr>
              <w:t>7、</w:t>
            </w:r>
            <w:r>
              <w:rPr>
                <w:kern w:val="0"/>
                <w:sz w:val="24"/>
              </w:rPr>
              <w:t>工程投资估算</w:t>
            </w:r>
          </w:p>
          <w:p w14:paraId="3175D608">
            <w:pPr>
              <w:pStyle w:val="84"/>
            </w:pPr>
            <w:r>
              <w:rPr>
                <w:rFonts w:ascii="Times New Roman" w:hAnsi="Times New Roman"/>
              </w:rPr>
              <w:t>本项目总长为</w:t>
            </w:r>
            <w:r>
              <w:rPr>
                <w:rFonts w:hint="eastAsia" w:ascii="Times New Roman" w:hAnsi="Times New Roman"/>
              </w:rPr>
              <w:t>823</w:t>
            </w:r>
            <w:r>
              <w:rPr>
                <w:rFonts w:ascii="Times New Roman" w:hAnsi="Times New Roman"/>
              </w:rPr>
              <w:t>m，投资估算总金额为</w:t>
            </w:r>
            <w:r>
              <w:rPr>
                <w:rFonts w:hint="eastAsia" w:ascii="Times New Roman" w:hAnsi="Times New Roman"/>
              </w:rPr>
              <w:t>18515.81</w:t>
            </w:r>
            <w:r>
              <w:rPr>
                <w:rFonts w:ascii="Times New Roman" w:hAnsi="Times New Roman"/>
              </w:rPr>
              <w:t>万元。</w:t>
            </w:r>
          </w:p>
        </w:tc>
      </w:tr>
      <w:tr w14:paraId="15959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37" w:type="dxa"/>
            <w:vAlign w:val="center"/>
          </w:tcPr>
          <w:p w14:paraId="01F0E5B0">
            <w:pPr>
              <w:pStyle w:val="22"/>
              <w:adjustRightInd w:val="0"/>
              <w:snapToGrid w:val="0"/>
              <w:spacing w:before="0" w:beforeAutospacing="0" w:after="0" w:afterAutospacing="0"/>
              <w:rPr>
                <w:rFonts w:cs="宋体"/>
                <w:sz w:val="21"/>
                <w:szCs w:val="21"/>
              </w:rPr>
            </w:pPr>
            <w:r>
              <w:rPr>
                <w:sz w:val="21"/>
                <w:szCs w:val="21"/>
              </w:rPr>
              <w:t>总平面及现场布置</w:t>
            </w:r>
          </w:p>
        </w:tc>
        <w:tc>
          <w:tcPr>
            <w:tcW w:w="8347" w:type="dxa"/>
          </w:tcPr>
          <w:p w14:paraId="11A82F96">
            <w:pPr>
              <w:autoSpaceDE w:val="0"/>
              <w:autoSpaceDN w:val="0"/>
              <w:adjustRightInd w:val="0"/>
              <w:spacing w:line="360" w:lineRule="auto"/>
              <w:ind w:firstLine="480" w:firstLineChars="200"/>
              <w:jc w:val="left"/>
              <w:rPr>
                <w:kern w:val="0"/>
                <w:sz w:val="24"/>
              </w:rPr>
            </w:pPr>
            <w:r>
              <w:rPr>
                <w:rFonts w:hint="eastAsia"/>
                <w:kern w:val="0"/>
                <w:sz w:val="24"/>
              </w:rPr>
              <w:t>1、</w:t>
            </w:r>
            <w:r>
              <w:rPr>
                <w:kern w:val="0"/>
                <w:sz w:val="24"/>
              </w:rPr>
              <w:t>总平面布置</w:t>
            </w:r>
          </w:p>
          <w:p w14:paraId="7C364C22">
            <w:pPr>
              <w:autoSpaceDE w:val="0"/>
              <w:autoSpaceDN w:val="0"/>
              <w:adjustRightInd w:val="0"/>
              <w:spacing w:line="360" w:lineRule="auto"/>
              <w:ind w:firstLine="480" w:firstLineChars="200"/>
              <w:jc w:val="left"/>
              <w:rPr>
                <w:kern w:val="0"/>
                <w:sz w:val="24"/>
              </w:rPr>
            </w:pPr>
            <w:r>
              <w:rPr>
                <w:rFonts w:hint="eastAsia"/>
                <w:sz w:val="24"/>
              </w:rPr>
              <w:t>高铁一路大致呈东西走向，东起高新七路，西至站前南路。高铁二路大致呈东西走向，东起高新七路，西至站前北路。匝道桥安康高铁西站进站匝道桥梁，属于高铁站规划附属桥梁，主要作用为连接既有道路及高铁站进站口</w:t>
            </w:r>
            <w:r>
              <w:rPr>
                <w:sz w:val="24"/>
              </w:rPr>
              <w:t>。全长</w:t>
            </w:r>
            <w:r>
              <w:rPr>
                <w:rFonts w:hint="eastAsia"/>
                <w:sz w:val="24"/>
              </w:rPr>
              <w:t>823</w:t>
            </w:r>
            <w:r>
              <w:rPr>
                <w:sz w:val="24"/>
              </w:rPr>
              <w:t>m。</w:t>
            </w:r>
          </w:p>
          <w:p w14:paraId="4C1DAEF8">
            <w:pPr>
              <w:autoSpaceDE w:val="0"/>
              <w:autoSpaceDN w:val="0"/>
              <w:adjustRightInd w:val="0"/>
              <w:spacing w:line="360" w:lineRule="auto"/>
              <w:ind w:firstLine="480" w:firstLineChars="200"/>
              <w:jc w:val="left"/>
              <w:rPr>
                <w:kern w:val="0"/>
                <w:sz w:val="24"/>
              </w:rPr>
            </w:pPr>
            <w:r>
              <w:rPr>
                <w:rFonts w:hint="eastAsia"/>
                <w:kern w:val="0"/>
                <w:sz w:val="24"/>
              </w:rPr>
              <w:t>2、施工布置</w:t>
            </w:r>
          </w:p>
          <w:p w14:paraId="29CE3EA8">
            <w:pPr>
              <w:autoSpaceDE w:val="0"/>
              <w:autoSpaceDN w:val="0"/>
              <w:adjustRightInd w:val="0"/>
              <w:spacing w:line="360" w:lineRule="auto"/>
              <w:ind w:firstLine="480" w:firstLineChars="200"/>
              <w:jc w:val="left"/>
              <w:rPr>
                <w:kern w:val="0"/>
                <w:sz w:val="24"/>
              </w:rPr>
            </w:pPr>
            <w:r>
              <w:rPr>
                <w:rFonts w:hint="eastAsia"/>
                <w:kern w:val="0"/>
                <w:sz w:val="24"/>
              </w:rPr>
              <w:t>（1）施工营地</w:t>
            </w:r>
          </w:p>
          <w:p w14:paraId="68466F59">
            <w:pPr>
              <w:autoSpaceDE w:val="0"/>
              <w:autoSpaceDN w:val="0"/>
              <w:adjustRightInd w:val="0"/>
              <w:spacing w:line="360" w:lineRule="auto"/>
              <w:ind w:firstLine="480" w:firstLineChars="200"/>
              <w:jc w:val="left"/>
              <w:rPr>
                <w:kern w:val="0"/>
                <w:sz w:val="24"/>
              </w:rPr>
            </w:pPr>
            <w:r>
              <w:rPr>
                <w:rFonts w:hint="eastAsia"/>
                <w:kern w:val="0"/>
                <w:sz w:val="24"/>
              </w:rPr>
              <w:t>本项目位于安康市高新区，周边村庄或小区较集中，施工人员和工人租用当地民房，不单独设施工营地。</w:t>
            </w:r>
          </w:p>
          <w:p w14:paraId="712A8BA3">
            <w:pPr>
              <w:autoSpaceDE w:val="0"/>
              <w:autoSpaceDN w:val="0"/>
              <w:adjustRightInd w:val="0"/>
              <w:spacing w:line="360" w:lineRule="auto"/>
              <w:ind w:firstLine="480" w:firstLineChars="200"/>
              <w:jc w:val="left"/>
              <w:rPr>
                <w:kern w:val="0"/>
                <w:sz w:val="24"/>
              </w:rPr>
            </w:pPr>
            <w:r>
              <w:rPr>
                <w:rFonts w:hint="eastAsia"/>
                <w:kern w:val="0"/>
                <w:sz w:val="24"/>
              </w:rPr>
              <w:t>（2）施工便道</w:t>
            </w:r>
          </w:p>
          <w:p w14:paraId="083BD20C">
            <w:pPr>
              <w:autoSpaceDE w:val="0"/>
              <w:autoSpaceDN w:val="0"/>
              <w:adjustRightInd w:val="0"/>
              <w:spacing w:line="360" w:lineRule="auto"/>
              <w:ind w:firstLine="480" w:firstLineChars="200"/>
              <w:jc w:val="left"/>
              <w:rPr>
                <w:kern w:val="0"/>
                <w:sz w:val="24"/>
              </w:rPr>
            </w:pPr>
            <w:r>
              <w:rPr>
                <w:rFonts w:hint="eastAsia"/>
                <w:kern w:val="0"/>
                <w:sz w:val="24"/>
              </w:rPr>
              <w:t>本项目在高新区，项目周边有国道316、十天高速、市政道路和村道，施工原材料运输方便，不新建施工便道。</w:t>
            </w:r>
          </w:p>
          <w:p w14:paraId="79F5C423">
            <w:pPr>
              <w:autoSpaceDE w:val="0"/>
              <w:autoSpaceDN w:val="0"/>
              <w:adjustRightInd w:val="0"/>
              <w:spacing w:line="360" w:lineRule="auto"/>
              <w:ind w:firstLine="480" w:firstLineChars="200"/>
              <w:jc w:val="left"/>
              <w:rPr>
                <w:kern w:val="0"/>
                <w:sz w:val="24"/>
              </w:rPr>
            </w:pPr>
            <w:r>
              <w:rPr>
                <w:rFonts w:hint="eastAsia"/>
                <w:kern w:val="0"/>
                <w:sz w:val="24"/>
              </w:rPr>
              <w:t>（3）临时堆土场</w:t>
            </w:r>
          </w:p>
          <w:p w14:paraId="6472723E">
            <w:pPr>
              <w:autoSpaceDE w:val="0"/>
              <w:autoSpaceDN w:val="0"/>
              <w:adjustRightInd w:val="0"/>
              <w:spacing w:line="360" w:lineRule="auto"/>
              <w:ind w:firstLine="480" w:firstLineChars="200"/>
              <w:jc w:val="left"/>
            </w:pPr>
            <w:r>
              <w:rPr>
                <w:rFonts w:hint="eastAsia"/>
                <w:kern w:val="0"/>
                <w:sz w:val="24"/>
              </w:rPr>
              <w:t>本项目在前期施工过程中对沿线表层土进行清理，表层土临时堆存在项目施工红线范围内，不新增临时占地，施工期间采用防尘网膜覆盖，道路主体完成后优先用于两侧绿化。</w:t>
            </w:r>
          </w:p>
        </w:tc>
      </w:tr>
      <w:tr w14:paraId="006262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637" w:type="dxa"/>
            <w:vAlign w:val="center"/>
          </w:tcPr>
          <w:p w14:paraId="26694D1D">
            <w:pPr>
              <w:pStyle w:val="22"/>
              <w:adjustRightInd w:val="0"/>
              <w:snapToGrid w:val="0"/>
              <w:spacing w:before="0" w:beforeAutospacing="0" w:after="0" w:afterAutospacing="0"/>
              <w:jc w:val="center"/>
              <w:rPr>
                <w:sz w:val="21"/>
                <w:szCs w:val="21"/>
              </w:rPr>
            </w:pPr>
            <w:r>
              <w:rPr>
                <w:sz w:val="21"/>
                <w:szCs w:val="21"/>
              </w:rPr>
              <w:t>施工方案</w:t>
            </w:r>
          </w:p>
        </w:tc>
        <w:tc>
          <w:tcPr>
            <w:tcW w:w="8347" w:type="dxa"/>
          </w:tcPr>
          <w:p w14:paraId="30C01426">
            <w:pPr>
              <w:adjustRightInd w:val="0"/>
              <w:snapToGrid w:val="0"/>
              <w:spacing w:line="360" w:lineRule="auto"/>
              <w:ind w:firstLine="480" w:firstLineChars="200"/>
              <w:rPr>
                <w:rFonts w:ascii="宋体" w:hAnsi="宋体" w:cs="宋体"/>
                <w:sz w:val="24"/>
              </w:rPr>
            </w:pPr>
            <w:r>
              <w:rPr>
                <w:rFonts w:hint="eastAsia" w:ascii="宋体" w:hAnsi="宋体" w:cs="宋体"/>
                <w:sz w:val="24"/>
              </w:rPr>
              <w:t>1、筑路材料来源及运输条件</w:t>
            </w:r>
          </w:p>
          <w:p w14:paraId="53D1BBA3">
            <w:pPr>
              <w:adjustRightInd w:val="0"/>
              <w:snapToGrid w:val="0"/>
              <w:spacing w:line="360" w:lineRule="auto"/>
              <w:ind w:firstLine="480" w:firstLineChars="200"/>
              <w:rPr>
                <w:rFonts w:ascii="宋体" w:hAnsi="宋体" w:cs="宋体"/>
                <w:sz w:val="24"/>
              </w:rPr>
            </w:pPr>
            <w:r>
              <w:rPr>
                <w:rFonts w:hint="eastAsia" w:ascii="宋体" w:hAnsi="宋体" w:cs="宋体"/>
                <w:sz w:val="24"/>
              </w:rPr>
              <w:t>本工程所用的主要材料有水泥、中粗砂、碎石、块片石等。</w:t>
            </w:r>
          </w:p>
          <w:p w14:paraId="30184125">
            <w:pPr>
              <w:adjustRightInd w:val="0"/>
              <w:snapToGrid w:val="0"/>
              <w:spacing w:line="360" w:lineRule="auto"/>
              <w:ind w:firstLine="480" w:firstLineChars="200"/>
              <w:rPr>
                <w:rFonts w:ascii="宋体" w:hAnsi="宋体" w:cs="宋体"/>
                <w:sz w:val="24"/>
              </w:rPr>
            </w:pPr>
            <w:r>
              <w:rPr>
                <w:rFonts w:hint="eastAsia" w:ascii="宋体" w:hAnsi="宋体" w:cs="宋体"/>
                <w:sz w:val="24"/>
              </w:rPr>
              <w:t>（1）水泥</w:t>
            </w:r>
          </w:p>
          <w:p w14:paraId="2D87F59E">
            <w:pPr>
              <w:adjustRightInd w:val="0"/>
              <w:snapToGrid w:val="0"/>
              <w:spacing w:line="360" w:lineRule="auto"/>
              <w:ind w:firstLine="480" w:firstLineChars="200"/>
              <w:rPr>
                <w:rFonts w:ascii="宋体" w:hAnsi="宋体" w:cs="宋体"/>
                <w:sz w:val="24"/>
              </w:rPr>
            </w:pPr>
            <w:r>
              <w:rPr>
                <w:rFonts w:hint="eastAsia" w:ascii="宋体" w:hAnsi="宋体" w:cs="宋体"/>
                <w:sz w:val="24"/>
              </w:rPr>
              <w:t>安康市水泥厂供应量大充足、质量稳定、均达到国家质量标准，能满足本项目施工需求，沿现有道路直接上路，运输方便。</w:t>
            </w:r>
          </w:p>
          <w:p w14:paraId="53E68BAF">
            <w:pPr>
              <w:adjustRightInd w:val="0"/>
              <w:snapToGrid w:val="0"/>
              <w:spacing w:line="360" w:lineRule="auto"/>
              <w:ind w:firstLine="480" w:firstLineChars="200"/>
              <w:rPr>
                <w:rFonts w:ascii="宋体" w:hAnsi="宋体" w:cs="宋体"/>
                <w:sz w:val="24"/>
              </w:rPr>
            </w:pPr>
            <w:r>
              <w:rPr>
                <w:rFonts w:hint="eastAsia" w:ascii="宋体" w:hAnsi="宋体" w:cs="宋体"/>
                <w:sz w:val="24"/>
              </w:rPr>
              <w:t>（2）沥青</w:t>
            </w:r>
          </w:p>
          <w:p w14:paraId="4E8997E2">
            <w:pPr>
              <w:adjustRightInd w:val="0"/>
              <w:snapToGrid w:val="0"/>
              <w:spacing w:line="360" w:lineRule="auto"/>
              <w:ind w:firstLine="480" w:firstLineChars="200"/>
              <w:rPr>
                <w:rFonts w:ascii="宋体" w:hAnsi="宋体" w:cs="宋体"/>
                <w:sz w:val="24"/>
              </w:rPr>
            </w:pPr>
            <w:r>
              <w:rPr>
                <w:rFonts w:hint="eastAsia" w:ascii="宋体" w:hAnsi="宋体" w:cs="宋体"/>
                <w:sz w:val="24"/>
              </w:rPr>
              <w:t>项目不设置沥青拌合站，沥青混凝土均采用商混。</w:t>
            </w:r>
          </w:p>
          <w:p w14:paraId="0F9494BE">
            <w:pPr>
              <w:adjustRightInd w:val="0"/>
              <w:snapToGrid w:val="0"/>
              <w:spacing w:line="360" w:lineRule="auto"/>
              <w:ind w:firstLine="480" w:firstLineChars="200"/>
              <w:rPr>
                <w:rFonts w:ascii="宋体" w:hAnsi="宋体" w:cs="宋体"/>
                <w:sz w:val="24"/>
              </w:rPr>
            </w:pPr>
            <w:r>
              <w:rPr>
                <w:rFonts w:hint="eastAsia" w:ascii="宋体" w:hAnsi="宋体" w:cs="宋体"/>
                <w:sz w:val="24"/>
              </w:rPr>
              <w:t>（3）砂石料</w:t>
            </w:r>
          </w:p>
          <w:p w14:paraId="521AF61E">
            <w:pPr>
              <w:adjustRightInd w:val="0"/>
              <w:snapToGrid w:val="0"/>
              <w:spacing w:line="360" w:lineRule="auto"/>
              <w:ind w:firstLine="480" w:firstLineChars="200"/>
              <w:rPr>
                <w:rFonts w:ascii="宋体" w:hAnsi="宋体" w:cs="宋体"/>
                <w:sz w:val="24"/>
              </w:rPr>
            </w:pPr>
            <w:r>
              <w:rPr>
                <w:rFonts w:hint="eastAsia" w:ascii="宋体" w:hAnsi="宋体" w:cs="宋体"/>
                <w:sz w:val="24"/>
              </w:rPr>
              <w:t>安康市周边砂石料产量丰富，品质优良，可满足项目路基、路面所用，运输便利。</w:t>
            </w:r>
          </w:p>
          <w:p w14:paraId="6F60C678">
            <w:pPr>
              <w:adjustRightInd w:val="0"/>
              <w:snapToGrid w:val="0"/>
              <w:spacing w:line="360" w:lineRule="auto"/>
              <w:ind w:firstLine="480" w:firstLineChars="200"/>
              <w:rPr>
                <w:rFonts w:ascii="宋体" w:hAnsi="宋体" w:cs="宋体"/>
                <w:sz w:val="24"/>
              </w:rPr>
            </w:pPr>
            <w:r>
              <w:rPr>
                <w:rFonts w:hint="eastAsia" w:ascii="宋体" w:hAnsi="宋体" w:cs="宋体"/>
                <w:sz w:val="24"/>
              </w:rPr>
              <w:t>（4）钢材及其他材料</w:t>
            </w:r>
          </w:p>
          <w:p w14:paraId="6EAAE72C">
            <w:pPr>
              <w:adjustRightInd w:val="0"/>
              <w:snapToGrid w:val="0"/>
              <w:spacing w:line="360" w:lineRule="auto"/>
              <w:ind w:firstLine="480" w:firstLineChars="200"/>
              <w:rPr>
                <w:rFonts w:ascii="宋体" w:hAnsi="宋体" w:cs="宋体"/>
                <w:sz w:val="24"/>
              </w:rPr>
            </w:pPr>
            <w:r>
              <w:rPr>
                <w:rFonts w:hint="eastAsia" w:ascii="宋体" w:hAnsi="宋体" w:cs="宋体"/>
                <w:sz w:val="24"/>
              </w:rPr>
              <w:t>公路所需钢材塑料管等材料，可在安康市区等地直接购买合格材料。</w:t>
            </w:r>
          </w:p>
          <w:p w14:paraId="2D736D4F">
            <w:pPr>
              <w:adjustRightInd w:val="0"/>
              <w:snapToGrid w:val="0"/>
              <w:spacing w:line="360" w:lineRule="auto"/>
              <w:ind w:firstLine="480" w:firstLineChars="200"/>
              <w:rPr>
                <w:rFonts w:ascii="宋体" w:hAnsi="宋体" w:cs="宋体"/>
                <w:sz w:val="24"/>
              </w:rPr>
            </w:pPr>
            <w:r>
              <w:rPr>
                <w:rFonts w:hint="eastAsia" w:ascii="宋体" w:hAnsi="宋体" w:cs="宋体"/>
                <w:sz w:val="24"/>
              </w:rPr>
              <w:t>（7）工程用水</w:t>
            </w:r>
          </w:p>
          <w:p w14:paraId="40353FF3">
            <w:pPr>
              <w:adjustRightInd w:val="0"/>
              <w:snapToGrid w:val="0"/>
              <w:spacing w:line="360" w:lineRule="auto"/>
              <w:ind w:firstLine="480" w:firstLineChars="200"/>
              <w:rPr>
                <w:rFonts w:ascii="宋体" w:hAnsi="宋体" w:cs="宋体"/>
                <w:sz w:val="24"/>
              </w:rPr>
            </w:pPr>
            <w:r>
              <w:rPr>
                <w:rFonts w:hint="eastAsia" w:ascii="宋体" w:hAnsi="宋体" w:cs="宋体"/>
                <w:sz w:val="24"/>
              </w:rPr>
              <w:t>该工程周边傅家河、冉家河河水水质良好，水量丰富，可用于本工程。</w:t>
            </w:r>
          </w:p>
          <w:p w14:paraId="55E3155B">
            <w:pPr>
              <w:adjustRightInd w:val="0"/>
              <w:snapToGrid w:val="0"/>
              <w:spacing w:line="360" w:lineRule="auto"/>
              <w:ind w:firstLine="480" w:firstLineChars="200"/>
              <w:rPr>
                <w:rFonts w:ascii="宋体" w:hAnsi="宋体" w:cs="宋体"/>
                <w:sz w:val="24"/>
              </w:rPr>
            </w:pPr>
            <w:r>
              <w:rPr>
                <w:rFonts w:hint="eastAsia" w:ascii="宋体" w:hAnsi="宋体" w:cs="宋体"/>
                <w:sz w:val="24"/>
              </w:rPr>
              <w:t>（8）其他材料</w:t>
            </w:r>
          </w:p>
          <w:p w14:paraId="03B73A39">
            <w:pPr>
              <w:adjustRightInd w:val="0"/>
              <w:snapToGrid w:val="0"/>
              <w:spacing w:line="360" w:lineRule="auto"/>
              <w:ind w:firstLine="480" w:firstLineChars="200"/>
              <w:rPr>
                <w:rFonts w:ascii="宋体" w:hAnsi="宋体" w:cs="宋体"/>
                <w:sz w:val="24"/>
              </w:rPr>
            </w:pPr>
            <w:r>
              <w:rPr>
                <w:rFonts w:hint="eastAsia" w:ascii="宋体" w:hAnsi="宋体" w:cs="宋体"/>
                <w:sz w:val="24"/>
              </w:rPr>
              <w:t>全线电力供应充足，与当地电力部门协调可解决施工用电。</w:t>
            </w:r>
          </w:p>
          <w:p w14:paraId="27416158">
            <w:pPr>
              <w:adjustRightInd w:val="0"/>
              <w:snapToGrid w:val="0"/>
              <w:spacing w:line="360" w:lineRule="auto"/>
              <w:ind w:firstLine="480" w:firstLineChars="200"/>
              <w:rPr>
                <w:rFonts w:ascii="宋体" w:hAnsi="宋体" w:cs="宋体"/>
                <w:sz w:val="24"/>
              </w:rPr>
            </w:pPr>
            <w:r>
              <w:rPr>
                <w:rFonts w:hint="eastAsia" w:ascii="宋体" w:hAnsi="宋体" w:cs="宋体"/>
                <w:sz w:val="24"/>
              </w:rPr>
              <w:t>2、施工工序</w:t>
            </w:r>
          </w:p>
          <w:p w14:paraId="12402F22">
            <w:pPr>
              <w:adjustRightInd w:val="0"/>
              <w:snapToGrid w:val="0"/>
              <w:spacing w:line="360" w:lineRule="auto"/>
              <w:ind w:firstLine="480" w:firstLineChars="200"/>
              <w:rPr>
                <w:rFonts w:ascii="宋体" w:hAnsi="宋体" w:cs="宋体"/>
                <w:sz w:val="24"/>
              </w:rPr>
            </w:pPr>
            <w:r>
              <w:rPr>
                <w:rFonts w:hint="eastAsia" w:ascii="宋体" w:hAnsi="宋体" w:cs="宋体"/>
                <w:sz w:val="24"/>
              </w:rPr>
              <w:t>（1）施工准备：征地、开辟施工场地等；</w:t>
            </w:r>
          </w:p>
          <w:p w14:paraId="435CEDBD">
            <w:pPr>
              <w:adjustRightInd w:val="0"/>
              <w:snapToGrid w:val="0"/>
              <w:spacing w:line="360" w:lineRule="auto"/>
              <w:ind w:firstLine="480" w:firstLineChars="200"/>
              <w:rPr>
                <w:rFonts w:ascii="宋体" w:hAnsi="宋体" w:cs="宋体"/>
                <w:sz w:val="24"/>
              </w:rPr>
            </w:pPr>
            <w:r>
              <w:rPr>
                <w:rFonts w:hint="eastAsia" w:ascii="宋体" w:hAnsi="宋体" w:cs="宋体"/>
                <w:sz w:val="24"/>
              </w:rPr>
              <w:t>（2）基础土石方工程、土石方运输等；</w:t>
            </w:r>
          </w:p>
          <w:p w14:paraId="5F1942F3">
            <w:pPr>
              <w:adjustRightInd w:val="0"/>
              <w:snapToGrid w:val="0"/>
              <w:spacing w:line="360" w:lineRule="auto"/>
              <w:ind w:firstLine="480" w:firstLineChars="200"/>
              <w:rPr>
                <w:rFonts w:ascii="宋体" w:hAnsi="宋体" w:cs="宋体"/>
                <w:sz w:val="24"/>
              </w:rPr>
            </w:pPr>
            <w:r>
              <w:rPr>
                <w:rFonts w:hint="eastAsia" w:ascii="宋体" w:hAnsi="宋体" w:cs="宋体"/>
                <w:sz w:val="24"/>
              </w:rPr>
              <w:t>（3）主体工程、设备、材料及土石方运输等；</w:t>
            </w:r>
          </w:p>
          <w:p w14:paraId="672A5591">
            <w:pPr>
              <w:adjustRightInd w:val="0"/>
              <w:snapToGrid w:val="0"/>
              <w:spacing w:line="360" w:lineRule="auto"/>
              <w:ind w:firstLine="480" w:firstLineChars="200"/>
              <w:rPr>
                <w:rFonts w:ascii="宋体" w:hAnsi="宋体" w:cs="宋体"/>
                <w:sz w:val="24"/>
              </w:rPr>
            </w:pPr>
            <w:r>
              <w:rPr>
                <w:rFonts w:hint="eastAsia" w:ascii="宋体" w:hAnsi="宋体" w:cs="宋体"/>
                <w:sz w:val="24"/>
              </w:rPr>
              <w:t>（4）辅助工程：给排水、配电、照明、通信等；</w:t>
            </w:r>
          </w:p>
          <w:p w14:paraId="5E218E17">
            <w:pPr>
              <w:adjustRightInd w:val="0"/>
              <w:snapToGrid w:val="0"/>
              <w:spacing w:line="360" w:lineRule="auto"/>
              <w:ind w:firstLine="480" w:firstLineChars="200"/>
              <w:rPr>
                <w:rFonts w:ascii="宋体" w:hAnsi="宋体" w:cs="宋体"/>
                <w:sz w:val="24"/>
              </w:rPr>
            </w:pPr>
            <w:r>
              <w:rPr>
                <w:rFonts w:hint="eastAsia" w:ascii="宋体" w:hAnsi="宋体" w:cs="宋体"/>
                <w:sz w:val="24"/>
              </w:rPr>
              <w:t>（5）水保工程：绿化和迹地恢复。</w:t>
            </w:r>
          </w:p>
          <w:p w14:paraId="4854F035">
            <w:pPr>
              <w:adjustRightInd w:val="0"/>
              <w:snapToGrid w:val="0"/>
              <w:spacing w:line="360" w:lineRule="auto"/>
              <w:ind w:firstLine="480" w:firstLineChars="200"/>
              <w:rPr>
                <w:rFonts w:ascii="宋体" w:hAnsi="宋体" w:cs="宋体"/>
                <w:sz w:val="24"/>
              </w:rPr>
            </w:pPr>
            <w:r>
              <w:rPr>
                <w:rFonts w:hint="eastAsia" w:ascii="宋体" w:hAnsi="宋体" w:cs="宋体"/>
                <w:sz w:val="24"/>
              </w:rPr>
              <w:t>3、施工组织</w:t>
            </w:r>
          </w:p>
          <w:p w14:paraId="7D8FF1A6">
            <w:pPr>
              <w:adjustRightInd w:val="0"/>
              <w:snapToGrid w:val="0"/>
              <w:spacing w:line="360" w:lineRule="auto"/>
              <w:ind w:firstLine="480" w:firstLineChars="200"/>
              <w:rPr>
                <w:rFonts w:ascii="宋体" w:hAnsi="宋体" w:cs="宋体"/>
                <w:sz w:val="24"/>
              </w:rPr>
            </w:pPr>
            <w:r>
              <w:rPr>
                <w:rFonts w:hint="eastAsia" w:ascii="宋体" w:hAnsi="宋体" w:cs="宋体"/>
                <w:sz w:val="24"/>
              </w:rPr>
              <w:t>（1）为保证工程质量和进度，业主在前期招投标过程中，应选择具有相应施工资质，机械化水平高、实力雄厚的专业化施工队伍。</w:t>
            </w:r>
          </w:p>
          <w:p w14:paraId="163669B0">
            <w:pPr>
              <w:adjustRightInd w:val="0"/>
              <w:snapToGrid w:val="0"/>
              <w:spacing w:line="360" w:lineRule="auto"/>
              <w:ind w:firstLine="480" w:firstLineChars="200"/>
              <w:rPr>
                <w:rFonts w:ascii="宋体" w:hAnsi="宋体" w:cs="宋体"/>
                <w:sz w:val="24"/>
              </w:rPr>
            </w:pPr>
            <w:r>
              <w:rPr>
                <w:rFonts w:hint="eastAsia" w:ascii="宋体" w:hAnsi="宋体" w:cs="宋体"/>
                <w:sz w:val="24"/>
              </w:rPr>
              <w:t>（2）应合理安排施工项目。对受气候影响较大的项目如混凝土工程应安排在温度适宜的季节施工，以确保工程质量。尽量将受气候因素影响较小的项目安排在冬季进行。</w:t>
            </w:r>
          </w:p>
          <w:p w14:paraId="40814C7F">
            <w:pPr>
              <w:adjustRightInd w:val="0"/>
              <w:snapToGrid w:val="0"/>
              <w:spacing w:line="360" w:lineRule="auto"/>
              <w:ind w:firstLine="480" w:firstLineChars="200"/>
              <w:rPr>
                <w:rFonts w:ascii="宋体" w:hAnsi="宋体" w:cs="宋体"/>
                <w:sz w:val="24"/>
              </w:rPr>
            </w:pPr>
            <w:r>
              <w:rPr>
                <w:rFonts w:hint="eastAsia" w:ascii="宋体" w:hAnsi="宋体" w:cs="宋体"/>
                <w:sz w:val="24"/>
              </w:rPr>
              <w:t>（3）本着便于施工、降低造价、缩短工期、保证质量、预防水土流失、保护生态环境的原则。路基路面排水工程要做到系统完善，严格掌握好各类防排水设施的衔接配套。</w:t>
            </w:r>
          </w:p>
          <w:p w14:paraId="3B606985">
            <w:pPr>
              <w:adjustRightInd w:val="0"/>
              <w:snapToGrid w:val="0"/>
              <w:spacing w:line="360" w:lineRule="auto"/>
              <w:ind w:firstLine="480" w:firstLineChars="200"/>
              <w:rPr>
                <w:rFonts w:ascii="宋体" w:hAnsi="宋体" w:cs="宋体"/>
                <w:sz w:val="24"/>
              </w:rPr>
            </w:pPr>
            <w:r>
              <w:rPr>
                <w:rFonts w:hint="eastAsia" w:ascii="宋体" w:hAnsi="宋体" w:cs="宋体"/>
                <w:sz w:val="24"/>
              </w:rPr>
              <w:t>（4）路堤填至设计高程后，应及时修筑外侧边缘的拦水、截水沟构造物和急流槽，将水引至坡脚以外。</w:t>
            </w:r>
          </w:p>
          <w:p w14:paraId="7CBCF4CB">
            <w:pPr>
              <w:adjustRightInd w:val="0"/>
              <w:snapToGrid w:val="0"/>
              <w:spacing w:line="360" w:lineRule="auto"/>
              <w:ind w:firstLine="480" w:firstLineChars="200"/>
              <w:rPr>
                <w:rFonts w:ascii="宋体" w:hAnsi="宋体" w:cs="宋体"/>
                <w:sz w:val="24"/>
              </w:rPr>
            </w:pPr>
            <w:r>
              <w:rPr>
                <w:rFonts w:hint="eastAsia" w:ascii="宋体" w:hAnsi="宋体" w:cs="宋体"/>
                <w:sz w:val="24"/>
              </w:rPr>
              <w:t>（5）合理组织施工材料和机械的调配工作，以免影响施工进度。</w:t>
            </w:r>
          </w:p>
          <w:p w14:paraId="78081C02">
            <w:pPr>
              <w:adjustRightInd w:val="0"/>
              <w:snapToGrid w:val="0"/>
              <w:spacing w:line="360" w:lineRule="auto"/>
              <w:ind w:firstLine="480" w:firstLineChars="200"/>
              <w:rPr>
                <w:rFonts w:ascii="宋体" w:hAnsi="宋体" w:cs="宋体"/>
                <w:sz w:val="24"/>
              </w:rPr>
            </w:pPr>
            <w:r>
              <w:rPr>
                <w:rFonts w:ascii="宋体" w:hAnsi="宋体" w:cs="宋体"/>
                <w:sz w:val="24"/>
              </w:rPr>
              <w:t>4、施工工艺</w:t>
            </w:r>
          </w:p>
          <w:p w14:paraId="6A277A20">
            <w:pPr>
              <w:adjustRightInd w:val="0"/>
              <w:snapToGrid w:val="0"/>
              <w:spacing w:line="360" w:lineRule="auto"/>
              <w:ind w:firstLine="480" w:firstLineChars="200"/>
              <w:rPr>
                <w:rFonts w:ascii="宋体" w:hAnsi="宋体" w:cs="宋体"/>
                <w:sz w:val="24"/>
              </w:rPr>
            </w:pPr>
            <w:r>
              <w:rPr>
                <w:rFonts w:hint="eastAsia" w:ascii="宋体" w:hAnsi="宋体" w:cs="宋体"/>
                <w:sz w:val="24"/>
              </w:rPr>
              <w:t>（1）施工期总施工方式</w:t>
            </w:r>
          </w:p>
          <w:p w14:paraId="07851224">
            <w:pPr>
              <w:adjustRightInd w:val="0"/>
              <w:snapToGrid w:val="0"/>
              <w:spacing w:line="360" w:lineRule="auto"/>
              <w:ind w:firstLine="480" w:firstLineChars="200"/>
              <w:rPr>
                <w:rFonts w:ascii="宋体" w:hAnsi="宋体" w:cs="宋体"/>
                <w:sz w:val="24"/>
              </w:rPr>
            </w:pPr>
            <w:r>
              <w:rPr>
                <w:rFonts w:hint="eastAsia" w:ascii="宋体" w:hAnsi="宋体" w:cs="宋体"/>
                <w:sz w:val="24"/>
              </w:rPr>
              <w:t>定线、征地→机械作业、材料运输→路基、桥梁施工→路面工程施工→交通工程（绿化）。</w:t>
            </w:r>
          </w:p>
          <w:p w14:paraId="1715B3DD">
            <w:pPr>
              <w:adjustRightInd w:val="0"/>
              <w:snapToGrid w:val="0"/>
              <w:spacing w:line="360" w:lineRule="auto"/>
              <w:ind w:firstLine="480" w:firstLineChars="200"/>
              <w:rPr>
                <w:rFonts w:ascii="宋体" w:hAnsi="宋体" w:cs="宋体"/>
                <w:sz w:val="24"/>
              </w:rPr>
            </w:pPr>
            <w:r>
              <w:rPr>
                <w:rFonts w:ascii="宋体" w:hAnsi="宋体" w:cs="宋体"/>
                <w:sz w:val="24"/>
              </w:rPr>
              <w:t>（2）路基工程</w:t>
            </w:r>
          </w:p>
          <w:p w14:paraId="36A1F562">
            <w:pPr>
              <w:adjustRightInd w:val="0"/>
              <w:snapToGrid w:val="0"/>
              <w:spacing w:line="360" w:lineRule="auto"/>
              <w:ind w:firstLine="480" w:firstLineChars="200"/>
              <w:rPr>
                <w:rFonts w:ascii="宋体" w:hAnsi="宋体" w:cs="宋体"/>
                <w:sz w:val="24"/>
              </w:rPr>
            </w:pPr>
            <w:r>
              <w:rPr>
                <w:rFonts w:hint="eastAsia" w:ascii="宋体" w:hAnsi="宋体" w:cs="宋体"/>
                <w:sz w:val="24"/>
              </w:rPr>
              <w:t>路基施工采用大规模机械化施工。施工前必须针对当地自然、社会特点做好施工组织设计，合理利用施工机械，合理安排路段的开工顺序和开工时间，首先在保证不中断现有道路交通的前提下，做到既能为结构物施工创造条件，又保证开挖的土方最经济地利用到填方路段。在任何情况下都应注意不要过分破坏原有植被，少占用农田。路基工程施工组织计划还要考虑气温的影响，合理安排</w:t>
            </w:r>
            <w:r>
              <w:rPr>
                <w:rFonts w:ascii="宋体" w:hAnsi="宋体" w:cs="宋体"/>
                <w:sz w:val="24"/>
              </w:rPr>
              <w:t>。</w:t>
            </w:r>
          </w:p>
          <w:p w14:paraId="7E4F911B">
            <w:pPr>
              <w:adjustRightInd w:val="0"/>
              <w:snapToGrid w:val="0"/>
              <w:spacing w:line="360"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3</w:t>
            </w:r>
            <w:r>
              <w:rPr>
                <w:rFonts w:ascii="宋体" w:hAnsi="宋体" w:cs="宋体"/>
                <w:sz w:val="24"/>
              </w:rPr>
              <w:t>）路基排水与防护工程</w:t>
            </w:r>
          </w:p>
          <w:p w14:paraId="4D7EB736">
            <w:pPr>
              <w:adjustRightInd w:val="0"/>
              <w:snapToGrid w:val="0"/>
              <w:spacing w:line="360" w:lineRule="auto"/>
              <w:ind w:firstLine="480" w:firstLineChars="200"/>
              <w:rPr>
                <w:rFonts w:ascii="宋体" w:hAnsi="宋体" w:cs="宋体"/>
                <w:sz w:val="24"/>
              </w:rPr>
            </w:pPr>
            <w:r>
              <w:rPr>
                <w:rFonts w:ascii="宋体" w:hAnsi="宋体" w:cs="宋体"/>
                <w:sz w:val="24"/>
              </w:rPr>
              <w:t>项目路基应建设排水系统，施工采用机械，及人工开挖土方，人工砌筑砼结构的方式。项目路基边坡防护，采用机械，及人工开挖土方人工砌筑砼结构，种植绿化的方式。</w:t>
            </w:r>
          </w:p>
          <w:p w14:paraId="15AA3FCE">
            <w:pPr>
              <w:adjustRightInd w:val="0"/>
              <w:snapToGrid w:val="0"/>
              <w:spacing w:line="360" w:lineRule="auto"/>
              <w:ind w:firstLine="480" w:firstLineChars="200"/>
              <w:rPr>
                <w:rFonts w:ascii="宋体" w:hAnsi="宋体" w:cs="宋体"/>
                <w:sz w:val="24"/>
              </w:rPr>
            </w:pPr>
            <w:r>
              <w:rPr>
                <w:rFonts w:hint="eastAsia" w:ascii="宋体" w:hAnsi="宋体" w:cs="宋体"/>
                <w:sz w:val="24"/>
              </w:rPr>
              <w:t>（4）桥梁工程</w:t>
            </w:r>
          </w:p>
          <w:p w14:paraId="49CF7714">
            <w:pPr>
              <w:adjustRightInd w:val="0"/>
              <w:snapToGrid w:val="0"/>
              <w:spacing w:line="360" w:lineRule="auto"/>
              <w:ind w:firstLine="480" w:firstLineChars="200"/>
              <w:rPr>
                <w:rFonts w:ascii="宋体" w:hAnsi="宋体" w:cs="宋体"/>
                <w:sz w:val="24"/>
              </w:rPr>
            </w:pPr>
            <w:r>
              <w:rPr>
                <w:rFonts w:hint="eastAsia" w:ascii="宋体" w:hAnsi="宋体" w:cs="宋体"/>
                <w:sz w:val="24"/>
              </w:rPr>
              <w:t>匝道桥施工采用机械化施工，选择技术成熟、工艺先进的施工方案，桥梁上部结构采用钢箱梁，下部结构桥台采用U台，桥墩采用花瓶墩，墩台采用桩基础。</w:t>
            </w:r>
            <w:r>
              <w:rPr>
                <w:rFonts w:ascii="宋体" w:hAnsi="宋体" w:cs="宋体"/>
                <w:sz w:val="24"/>
              </w:rPr>
              <w:t>工程过程主要产生施工扬尘、噪声。</w:t>
            </w:r>
          </w:p>
          <w:p w14:paraId="11477CF2">
            <w:pPr>
              <w:adjustRightInd w:val="0"/>
              <w:snapToGrid w:val="0"/>
              <w:spacing w:line="360"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5</w:t>
            </w:r>
            <w:r>
              <w:rPr>
                <w:rFonts w:ascii="宋体" w:hAnsi="宋体" w:cs="宋体"/>
                <w:sz w:val="24"/>
              </w:rPr>
              <w:t>）交通工程</w:t>
            </w:r>
          </w:p>
          <w:p w14:paraId="7E90F9B8">
            <w:pPr>
              <w:adjustRightInd w:val="0"/>
              <w:snapToGrid w:val="0"/>
              <w:spacing w:line="360" w:lineRule="auto"/>
              <w:ind w:firstLine="480" w:firstLineChars="200"/>
              <w:rPr>
                <w:rFonts w:ascii="宋体" w:hAnsi="宋体" w:cs="宋体"/>
                <w:sz w:val="24"/>
              </w:rPr>
            </w:pPr>
            <w:r>
              <w:rPr>
                <w:rFonts w:ascii="宋体" w:hAnsi="宋体" w:cs="宋体"/>
                <w:sz w:val="24"/>
              </w:rPr>
              <w:t>项目交通工程，均在路基完成后建设，交通工程设施的安装，主要为路面标线绘制、</w:t>
            </w:r>
            <w:r>
              <w:rPr>
                <w:rFonts w:hint="eastAsia" w:ascii="宋体" w:hAnsi="宋体" w:cs="宋体"/>
                <w:sz w:val="24"/>
              </w:rPr>
              <w:t>道路</w:t>
            </w:r>
            <w:r>
              <w:rPr>
                <w:rFonts w:ascii="宋体" w:hAnsi="宋体" w:cs="宋体"/>
                <w:sz w:val="24"/>
              </w:rPr>
              <w:t>交通标志、交通控制系统安装等，均采用外购设备安装，施工中产生极少量的土方工程。</w:t>
            </w:r>
          </w:p>
          <w:p w14:paraId="1AC915B0">
            <w:pPr>
              <w:adjustRightInd w:val="0"/>
              <w:snapToGrid w:val="0"/>
              <w:spacing w:line="360" w:lineRule="auto"/>
              <w:ind w:firstLine="480" w:firstLineChars="200"/>
              <w:rPr>
                <w:rFonts w:ascii="宋体" w:hAnsi="宋体" w:cs="宋体"/>
                <w:sz w:val="24"/>
              </w:rPr>
            </w:pPr>
            <w:r>
              <w:rPr>
                <w:rFonts w:ascii="宋体" w:hAnsi="宋体" w:cs="宋体"/>
                <w:sz w:val="24"/>
              </w:rPr>
              <w:t>（</w:t>
            </w:r>
            <w:r>
              <w:rPr>
                <w:rFonts w:hint="eastAsia" w:ascii="宋体" w:hAnsi="宋体" w:cs="宋体"/>
                <w:sz w:val="24"/>
              </w:rPr>
              <w:t>6</w:t>
            </w:r>
            <w:r>
              <w:rPr>
                <w:rFonts w:ascii="宋体" w:hAnsi="宋体" w:cs="宋体"/>
                <w:sz w:val="24"/>
              </w:rPr>
              <w:t>）绿化工程</w:t>
            </w:r>
          </w:p>
          <w:p w14:paraId="2F51AE92">
            <w:pPr>
              <w:adjustRightInd w:val="0"/>
              <w:snapToGrid w:val="0"/>
              <w:spacing w:line="360" w:lineRule="auto"/>
              <w:ind w:firstLine="480" w:firstLineChars="200"/>
              <w:rPr>
                <w:rFonts w:ascii="宋体" w:hAnsi="宋体" w:cs="宋体"/>
                <w:sz w:val="24"/>
              </w:rPr>
            </w:pPr>
            <w:r>
              <w:rPr>
                <w:rFonts w:ascii="宋体" w:hAnsi="宋体" w:cs="宋体"/>
                <w:sz w:val="24"/>
              </w:rPr>
              <w:t>绿化工程中乔灌采用苗木移栽的方式进行，草被采用喷播草种或植草皮方式。乔灌采用苗木移栽的方式进行，草被采用喷播草种或植草皮方式。</w:t>
            </w:r>
          </w:p>
          <w:p w14:paraId="6BA2E244">
            <w:pPr>
              <w:adjustRightInd w:val="0"/>
              <w:snapToGrid w:val="0"/>
              <w:spacing w:line="360" w:lineRule="auto"/>
              <w:ind w:firstLine="480" w:firstLineChars="200"/>
              <w:rPr>
                <w:rFonts w:ascii="宋体" w:hAnsi="宋体" w:cs="宋体"/>
                <w:sz w:val="24"/>
              </w:rPr>
            </w:pPr>
            <w:r>
              <w:rPr>
                <w:rFonts w:hint="eastAsia" w:ascii="宋体" w:hAnsi="宋体" w:cs="宋体"/>
                <w:sz w:val="24"/>
              </w:rPr>
              <w:t>（7）</w:t>
            </w:r>
            <w:r>
              <w:rPr>
                <w:rFonts w:ascii="宋体" w:hAnsi="宋体" w:cs="宋体"/>
                <w:sz w:val="24"/>
              </w:rPr>
              <w:t>给排水管道工程</w:t>
            </w:r>
          </w:p>
          <w:p w14:paraId="62CF32A0">
            <w:pPr>
              <w:adjustRightInd w:val="0"/>
              <w:snapToGrid w:val="0"/>
              <w:spacing w:line="360" w:lineRule="auto"/>
              <w:ind w:firstLine="480" w:firstLineChars="200"/>
              <w:rPr>
                <w:rFonts w:ascii="宋体" w:hAnsi="宋体" w:cs="宋体"/>
                <w:sz w:val="24"/>
              </w:rPr>
            </w:pPr>
            <w:r>
              <w:rPr>
                <w:rFonts w:ascii="宋体" w:hAnsi="宋体" w:cs="宋体"/>
                <w:sz w:val="24"/>
              </w:rPr>
              <w:t>给水管道沿道路敷设段采用开槽埋管施工。管道基础下需换填450mm黄土，换填材料为300mm厚3:7灰土及150mm厚素土垫层，分层夯实，压实系数≥0.95。沟槽回填从管道、检查井等构筑物两侧同时对称回填，确保管道及构筑物受力均匀，不产生位移。</w:t>
            </w:r>
          </w:p>
          <w:p w14:paraId="41D621EE">
            <w:pPr>
              <w:adjustRightInd w:val="0"/>
              <w:snapToGrid w:val="0"/>
              <w:spacing w:line="360" w:lineRule="auto"/>
              <w:ind w:firstLine="480" w:firstLineChars="200"/>
              <w:rPr>
                <w:rFonts w:ascii="宋体" w:hAnsi="宋体" w:cs="宋体"/>
                <w:sz w:val="24"/>
              </w:rPr>
            </w:pPr>
            <w:r>
              <w:rPr>
                <w:rFonts w:ascii="宋体" w:hAnsi="宋体" w:cs="宋体"/>
                <w:sz w:val="24"/>
              </w:rPr>
              <w:t>排水管道：根据本工程的场地条件、管道埋深，采用开槽埋施工，因与道路工程同步实施，按开槽埋管施工较为方便、快捷。给排水管道工程过程主要产生施工废水、扬尘、噪声。</w:t>
            </w:r>
          </w:p>
          <w:p w14:paraId="4EE08053">
            <w:pPr>
              <w:adjustRightInd w:val="0"/>
              <w:snapToGrid w:val="0"/>
              <w:spacing w:line="360" w:lineRule="auto"/>
              <w:ind w:firstLine="480" w:firstLineChars="200"/>
              <w:rPr>
                <w:rFonts w:ascii="宋体" w:hAnsi="宋体" w:cs="宋体"/>
                <w:sz w:val="24"/>
              </w:rPr>
            </w:pPr>
            <w:r>
              <w:rPr>
                <w:rFonts w:hint="eastAsia" w:ascii="宋体" w:hAnsi="宋体" w:cs="宋体"/>
                <w:sz w:val="24"/>
              </w:rPr>
              <w:t>（8）</w:t>
            </w:r>
            <w:r>
              <w:rPr>
                <w:rFonts w:ascii="宋体" w:hAnsi="宋体" w:cs="宋体"/>
                <w:sz w:val="24"/>
              </w:rPr>
              <w:t>电力管沟工程</w:t>
            </w:r>
          </w:p>
          <w:p w14:paraId="15A7DA54">
            <w:pPr>
              <w:adjustRightInd w:val="0"/>
              <w:snapToGrid w:val="0"/>
              <w:spacing w:line="360" w:lineRule="auto"/>
              <w:ind w:firstLine="480" w:firstLineChars="200"/>
              <w:rPr>
                <w:rFonts w:ascii="宋体" w:hAnsi="宋体" w:cs="宋体"/>
                <w:sz w:val="24"/>
              </w:rPr>
            </w:pPr>
            <w:r>
              <w:rPr>
                <w:rFonts w:ascii="宋体" w:hAnsi="宋体" w:cs="宋体"/>
                <w:sz w:val="24"/>
              </w:rPr>
              <w:t>电力管沟建设工程，全段采用明开挖施工。人井盖口圈、上覆、外盖要与路面基础结合紧密，口圈周边及板缝间采用水泥砂浆进行处理，与路基紧密结合，并与路面平齐。工程过程主要产生施工废水、扬尘、噪声。</w:t>
            </w:r>
          </w:p>
          <w:p w14:paraId="11C176C3">
            <w:pPr>
              <w:adjustRightInd w:val="0"/>
              <w:snapToGrid w:val="0"/>
              <w:spacing w:line="360" w:lineRule="auto"/>
              <w:ind w:firstLine="480" w:firstLineChars="200"/>
              <w:rPr>
                <w:rFonts w:ascii="宋体" w:hAnsi="宋体" w:cs="宋体"/>
                <w:sz w:val="24"/>
              </w:rPr>
            </w:pPr>
            <w:r>
              <w:rPr>
                <w:rFonts w:ascii="宋体" w:hAnsi="宋体" w:cs="宋体"/>
                <w:sz w:val="24"/>
              </w:rPr>
              <w:t>5、建设周期</w:t>
            </w:r>
          </w:p>
          <w:p w14:paraId="45F5C3B9">
            <w:pPr>
              <w:adjustRightInd w:val="0"/>
              <w:snapToGrid w:val="0"/>
              <w:spacing w:line="360" w:lineRule="auto"/>
              <w:ind w:firstLine="480" w:firstLineChars="200"/>
              <w:rPr>
                <w:rFonts w:ascii="宋体" w:hAnsi="宋体" w:cs="宋体"/>
                <w:sz w:val="24"/>
              </w:rPr>
            </w:pPr>
            <w:r>
              <w:rPr>
                <w:rFonts w:ascii="宋体" w:hAnsi="宋体" w:cs="宋体"/>
                <w:color w:val="FF0000"/>
                <w:sz w:val="24"/>
              </w:rPr>
              <w:t>本项目计划</w:t>
            </w:r>
            <w:r>
              <w:rPr>
                <w:rFonts w:hint="eastAsia" w:ascii="宋体" w:hAnsi="宋体" w:cs="宋体"/>
                <w:color w:val="FF0000"/>
                <w:sz w:val="24"/>
              </w:rPr>
              <w:t>2024年11月</w:t>
            </w:r>
            <w:r>
              <w:rPr>
                <w:rFonts w:ascii="宋体" w:hAnsi="宋体" w:cs="宋体"/>
                <w:color w:val="FF0000"/>
                <w:sz w:val="24"/>
              </w:rPr>
              <w:t>开工建设，</w:t>
            </w:r>
            <w:r>
              <w:rPr>
                <w:rFonts w:hint="eastAsia" w:ascii="宋体" w:hAnsi="宋体" w:cs="宋体"/>
                <w:color w:val="FF0000"/>
                <w:sz w:val="24"/>
              </w:rPr>
              <w:t>2025年</w:t>
            </w:r>
            <w:r>
              <w:rPr>
                <w:rFonts w:ascii="宋体" w:hAnsi="宋体" w:cs="宋体"/>
                <w:color w:val="FF0000"/>
                <w:sz w:val="24"/>
              </w:rPr>
              <w:t>10</w:t>
            </w:r>
            <w:r>
              <w:rPr>
                <w:rFonts w:hint="eastAsia" w:ascii="宋体" w:hAnsi="宋体" w:cs="宋体"/>
                <w:color w:val="FF0000"/>
                <w:sz w:val="24"/>
              </w:rPr>
              <w:t>月</w:t>
            </w:r>
            <w:r>
              <w:rPr>
                <w:rFonts w:ascii="宋体" w:hAnsi="宋体" w:cs="宋体"/>
                <w:color w:val="FF0000"/>
                <w:sz w:val="24"/>
              </w:rPr>
              <w:t>建成通车，建设工期</w:t>
            </w:r>
            <w:r>
              <w:rPr>
                <w:rFonts w:hint="eastAsia" w:ascii="宋体" w:hAnsi="宋体" w:cs="宋体"/>
                <w:color w:val="FF0000"/>
                <w:sz w:val="24"/>
              </w:rPr>
              <w:t>1</w:t>
            </w:r>
            <w:r>
              <w:rPr>
                <w:rFonts w:ascii="宋体" w:hAnsi="宋体" w:cs="宋体"/>
                <w:color w:val="FF0000"/>
                <w:sz w:val="24"/>
              </w:rPr>
              <w:t>2个月。</w:t>
            </w:r>
          </w:p>
        </w:tc>
      </w:tr>
      <w:tr w14:paraId="558AA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637" w:type="dxa"/>
            <w:vAlign w:val="center"/>
          </w:tcPr>
          <w:p w14:paraId="5968CD18">
            <w:pPr>
              <w:pStyle w:val="22"/>
              <w:adjustRightInd w:val="0"/>
              <w:snapToGrid w:val="0"/>
              <w:spacing w:before="0" w:beforeAutospacing="0" w:after="0" w:afterAutospacing="0"/>
              <w:jc w:val="center"/>
              <w:rPr>
                <w:sz w:val="21"/>
                <w:szCs w:val="21"/>
              </w:rPr>
            </w:pPr>
            <w:r>
              <w:rPr>
                <w:sz w:val="21"/>
                <w:szCs w:val="21"/>
              </w:rPr>
              <w:t>其他</w:t>
            </w:r>
          </w:p>
        </w:tc>
        <w:tc>
          <w:tcPr>
            <w:tcW w:w="8347" w:type="dxa"/>
            <w:vAlign w:val="center"/>
          </w:tcPr>
          <w:p w14:paraId="65BB17BD">
            <w:pPr>
              <w:pStyle w:val="8"/>
              <w:jc w:val="center"/>
              <w:rPr>
                <w:rFonts w:ascii="宋体" w:hAnsi="宋体" w:cs="宋体"/>
                <w:kern w:val="2"/>
                <w:sz w:val="24"/>
                <w:szCs w:val="24"/>
              </w:rPr>
            </w:pPr>
            <w:r>
              <w:rPr>
                <w:rFonts w:hint="eastAsia" w:ascii="宋体" w:hAnsi="宋体" w:cs="宋体"/>
                <w:kern w:val="2"/>
                <w:sz w:val="24"/>
                <w:szCs w:val="24"/>
              </w:rPr>
              <w:t>无</w:t>
            </w:r>
          </w:p>
        </w:tc>
      </w:tr>
    </w:tbl>
    <w:p w14:paraId="64200AF1">
      <w:pPr>
        <w:pStyle w:val="22"/>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3DE17AC0">
      <w:pPr>
        <w:pStyle w:val="22"/>
        <w:jc w:val="center"/>
        <w:outlineLvl w:val="0"/>
        <w:rPr>
          <w:rFonts w:ascii="Times New Roman" w:hAnsi="Times New Roman" w:eastAsia="黑体"/>
          <w:snapToGrid w:val="0"/>
          <w:sz w:val="30"/>
          <w:szCs w:val="30"/>
        </w:rPr>
      </w:pPr>
      <w:bookmarkStart w:id="2" w:name="_Toc90566527"/>
      <w:r>
        <w:rPr>
          <w:rFonts w:ascii="Times New Roman" w:hAnsi="Times New Roman" w:eastAsia="黑体"/>
          <w:snapToGrid w:val="0"/>
          <w:sz w:val="30"/>
          <w:szCs w:val="30"/>
        </w:rPr>
        <w:t>三、生态环境现状、保护目标及评价标准</w:t>
      </w:r>
      <w:bookmarkEnd w:id="2"/>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8329"/>
      </w:tblGrid>
      <w:tr w14:paraId="334F4A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 w:hRule="atLeast"/>
          <w:jc w:val="center"/>
        </w:trPr>
        <w:tc>
          <w:tcPr>
            <w:tcW w:w="516" w:type="pct"/>
            <w:vAlign w:val="center"/>
          </w:tcPr>
          <w:p w14:paraId="0E2EE202">
            <w:pPr>
              <w:adjustRightInd w:val="0"/>
              <w:snapToGrid w:val="0"/>
              <w:jc w:val="center"/>
              <w:rPr>
                <w:kern w:val="0"/>
              </w:rPr>
            </w:pPr>
            <w:r>
              <w:rPr>
                <w:kern w:val="0"/>
              </w:rPr>
              <w:t>生态环境现状</w:t>
            </w:r>
          </w:p>
        </w:tc>
        <w:tc>
          <w:tcPr>
            <w:tcW w:w="4484" w:type="pct"/>
            <w:vAlign w:val="center"/>
          </w:tcPr>
          <w:p w14:paraId="37A11A6E">
            <w:pPr>
              <w:adjustRightInd w:val="0"/>
              <w:snapToGrid w:val="0"/>
              <w:spacing w:line="360" w:lineRule="auto"/>
              <w:ind w:firstLine="480" w:firstLineChars="200"/>
              <w:rPr>
                <w:sz w:val="24"/>
              </w:rPr>
            </w:pPr>
            <w:r>
              <w:rPr>
                <w:sz w:val="24"/>
              </w:rPr>
              <w:t>1、生态环境</w:t>
            </w:r>
          </w:p>
          <w:p w14:paraId="3A7FAE2D">
            <w:pPr>
              <w:widowControl/>
              <w:kinsoku w:val="0"/>
              <w:autoSpaceDE w:val="0"/>
              <w:autoSpaceDN w:val="0"/>
              <w:adjustRightInd w:val="0"/>
              <w:snapToGrid w:val="0"/>
              <w:spacing w:before="1" w:line="385" w:lineRule="auto"/>
              <w:ind w:left="109" w:right="57" w:firstLine="477"/>
              <w:jc w:val="left"/>
              <w:textAlignment w:val="baseline"/>
              <w:rPr>
                <w:snapToGrid w:val="0"/>
                <w:spacing w:val="8"/>
                <w:kern w:val="0"/>
                <w:sz w:val="24"/>
              </w:rPr>
            </w:pPr>
            <w:r>
              <w:rPr>
                <w:snapToGrid w:val="0"/>
                <w:spacing w:val="8"/>
                <w:kern w:val="0"/>
                <w:sz w:val="24"/>
              </w:rPr>
              <w:t>（</w:t>
            </w:r>
            <w:r>
              <w:rPr>
                <w:rFonts w:hint="eastAsia"/>
                <w:snapToGrid w:val="0"/>
                <w:spacing w:val="8"/>
                <w:kern w:val="0"/>
                <w:sz w:val="24"/>
              </w:rPr>
              <w:t>1</w:t>
            </w:r>
            <w:r>
              <w:rPr>
                <w:snapToGrid w:val="0"/>
                <w:spacing w:val="8"/>
                <w:kern w:val="0"/>
                <w:sz w:val="24"/>
              </w:rPr>
              <w:t>）生态功能区划</w:t>
            </w:r>
          </w:p>
          <w:p w14:paraId="4F49C160">
            <w:pPr>
              <w:pStyle w:val="8"/>
              <w:spacing w:before="0" w:after="0" w:line="360" w:lineRule="auto"/>
              <w:ind w:right="0" w:firstLine="480" w:firstLineChars="200"/>
              <w:rPr>
                <w:sz w:val="24"/>
                <w:szCs w:val="24"/>
              </w:rPr>
            </w:pPr>
            <w:r>
              <w:rPr>
                <w:sz w:val="24"/>
                <w:szCs w:val="24"/>
              </w:rPr>
              <w:t>根据《陕西省生态功能区划》，项目区位于秦巴山地落叶阔叶、常绿阔叶混交林生态区。二级生态区划为汉江两岸丘陵盆地农业生态功能区，三级生态区划为月河盆地城镇及农业区。该区域城镇密集</w:t>
            </w:r>
            <w:r>
              <w:rPr>
                <w:rFonts w:hint="eastAsia"/>
                <w:sz w:val="24"/>
                <w:szCs w:val="24"/>
              </w:rPr>
              <w:t>，</w:t>
            </w:r>
            <w:r>
              <w:rPr>
                <w:sz w:val="24"/>
                <w:szCs w:val="24"/>
              </w:rPr>
              <w:t>农业发达，水环境敏感。合理布局城镇和企业，控制污染，搞好凤凰山等周边山地丘陵的绿化和水土保持。农业以种植和养殖为主，控制面源污染。</w:t>
            </w:r>
          </w:p>
          <w:p w14:paraId="5B8C4F39">
            <w:pPr>
              <w:widowControl/>
              <w:kinsoku w:val="0"/>
              <w:autoSpaceDE w:val="0"/>
              <w:autoSpaceDN w:val="0"/>
              <w:adjustRightInd w:val="0"/>
              <w:snapToGrid w:val="0"/>
              <w:spacing w:line="360" w:lineRule="auto"/>
              <w:ind w:firstLine="512" w:firstLineChars="200"/>
              <w:jc w:val="left"/>
              <w:textAlignment w:val="baseline"/>
              <w:rPr>
                <w:snapToGrid w:val="0"/>
                <w:spacing w:val="8"/>
                <w:kern w:val="0"/>
                <w:sz w:val="24"/>
              </w:rPr>
            </w:pPr>
            <w:r>
              <w:rPr>
                <w:snapToGrid w:val="0"/>
                <w:spacing w:val="8"/>
                <w:kern w:val="0"/>
                <w:sz w:val="24"/>
              </w:rPr>
              <w:t>项目为</w:t>
            </w:r>
            <w:r>
              <w:rPr>
                <w:rFonts w:hint="eastAsia"/>
                <w:snapToGrid w:val="0"/>
                <w:spacing w:val="8"/>
                <w:kern w:val="0"/>
                <w:sz w:val="24"/>
              </w:rPr>
              <w:t>市政道路项目</w:t>
            </w:r>
            <w:r>
              <w:rPr>
                <w:snapToGrid w:val="0"/>
                <w:spacing w:val="8"/>
                <w:kern w:val="0"/>
                <w:sz w:val="24"/>
              </w:rPr>
              <w:t>，环评提出了</w:t>
            </w:r>
            <w:r>
              <w:rPr>
                <w:rFonts w:hint="eastAsia"/>
                <w:snapToGrid w:val="0"/>
                <w:spacing w:val="8"/>
                <w:kern w:val="0"/>
                <w:sz w:val="24"/>
              </w:rPr>
              <w:t>项目</w:t>
            </w:r>
            <w:r>
              <w:rPr>
                <w:snapToGrid w:val="0"/>
                <w:spacing w:val="8"/>
                <w:kern w:val="0"/>
                <w:sz w:val="24"/>
              </w:rPr>
              <w:t>建设和营运期的生态恢复和水土流失防治措施，减少对周围环境和生态的污染和破坏。在满足评价要求的情况下。符合陕西省生态功能区划建设要求。</w:t>
            </w:r>
          </w:p>
          <w:p w14:paraId="30C82542">
            <w:pPr>
              <w:pStyle w:val="8"/>
              <w:spacing w:before="0" w:after="0" w:line="360" w:lineRule="auto"/>
              <w:ind w:right="0" w:firstLine="480" w:firstLineChars="200"/>
              <w:rPr>
                <w:sz w:val="24"/>
                <w:szCs w:val="24"/>
              </w:rPr>
            </w:pPr>
            <w:r>
              <w:rPr>
                <w:rFonts w:hint="eastAsia"/>
                <w:sz w:val="24"/>
                <w:szCs w:val="24"/>
              </w:rPr>
              <w:t>（2）生态环境现状</w:t>
            </w:r>
          </w:p>
          <w:p w14:paraId="094A2FDE">
            <w:pPr>
              <w:pStyle w:val="8"/>
              <w:spacing w:before="0" w:after="0" w:line="360" w:lineRule="auto"/>
              <w:ind w:right="0" w:firstLine="480" w:firstLineChars="200"/>
              <w:rPr>
                <w:sz w:val="24"/>
                <w:szCs w:val="24"/>
              </w:rPr>
            </w:pPr>
            <w:r>
              <w:rPr>
                <w:sz w:val="24"/>
                <w:szCs w:val="24"/>
              </w:rPr>
              <w:t>项目位于城镇规划区内，区域内人类活动较多，植被</w:t>
            </w:r>
            <w:r>
              <w:rPr>
                <w:rFonts w:hint="eastAsia"/>
                <w:sz w:val="24"/>
                <w:szCs w:val="24"/>
              </w:rPr>
              <w:t>以</w:t>
            </w:r>
            <w:r>
              <w:rPr>
                <w:sz w:val="24"/>
                <w:szCs w:val="24"/>
              </w:rPr>
              <w:t>景观绿化植被和农作物为主。区域内常见动物有麻雀、乌鸦、燕子、青蛙、蛇类等。评价区域内未发现历史文物古迹和人文景观，无国家明文规定的珍稀动、植物物种和群落。</w:t>
            </w:r>
            <w:r>
              <w:rPr>
                <w:rFonts w:hint="eastAsia"/>
                <w:sz w:val="24"/>
                <w:szCs w:val="24"/>
              </w:rPr>
              <w:t>道路周边现状用地主要有居住用地和城市绿地。</w:t>
            </w:r>
          </w:p>
          <w:p w14:paraId="6565A6E9">
            <w:pPr>
              <w:pStyle w:val="8"/>
              <w:spacing w:before="0" w:after="0" w:line="360" w:lineRule="auto"/>
              <w:ind w:right="0" w:firstLine="480" w:firstLineChars="200"/>
              <w:rPr>
                <w:sz w:val="24"/>
                <w:szCs w:val="24"/>
              </w:rPr>
            </w:pPr>
            <w:r>
              <w:rPr>
                <w:rFonts w:hint="eastAsia"/>
                <w:sz w:val="24"/>
                <w:szCs w:val="24"/>
              </w:rPr>
              <w:t>2</w:t>
            </w:r>
            <w:r>
              <w:rPr>
                <w:sz w:val="24"/>
                <w:szCs w:val="24"/>
              </w:rPr>
              <w:t>、环境空气质量现状</w:t>
            </w:r>
          </w:p>
          <w:p w14:paraId="07C1200D">
            <w:pPr>
              <w:pStyle w:val="8"/>
              <w:spacing w:before="0" w:after="0" w:line="360" w:lineRule="auto"/>
              <w:ind w:right="0" w:firstLine="480" w:firstLineChars="200"/>
              <w:rPr>
                <w:sz w:val="24"/>
                <w:szCs w:val="24"/>
              </w:rPr>
            </w:pPr>
            <w:r>
              <w:rPr>
                <w:sz w:val="24"/>
                <w:szCs w:val="24"/>
              </w:rPr>
              <w:t>根据《环境影响评价技术导则-大气环境》（HJ2.2-2018），项目所在区域达标判定，优先采用国家或地方生态环境主管部门公开发布的评价基准年环境质量公告或环境质量报告中的数据或结论。本次环评</w:t>
            </w:r>
            <w:r>
              <w:rPr>
                <w:rFonts w:hint="eastAsia"/>
                <w:sz w:val="24"/>
                <w:szCs w:val="24"/>
              </w:rPr>
              <w:t>区域环境空气质量达标判定采用安康市生态环境局发布的《2023年12月及1~12月全市环境空气质量状况》中安康高新区的统计数据，对区域环境空气质量现状进行</w:t>
            </w:r>
            <w:r>
              <w:rPr>
                <w:sz w:val="24"/>
                <w:szCs w:val="24"/>
              </w:rPr>
              <w:t>达标区判定。</w:t>
            </w:r>
          </w:p>
          <w:p w14:paraId="16F73950">
            <w:pPr>
              <w:pStyle w:val="70"/>
              <w:spacing w:before="0" w:beforeLines="0"/>
            </w:pPr>
            <w:r>
              <w:t>表</w:t>
            </w:r>
            <w:r>
              <w:rPr>
                <w:rFonts w:hint="eastAsia"/>
              </w:rPr>
              <w:t>3-1</w:t>
            </w:r>
            <w:r>
              <w:t xml:space="preserve">   </w:t>
            </w:r>
            <w:r>
              <w:rPr>
                <w:rFonts w:hint="eastAsia"/>
              </w:rPr>
              <w:t>2023</w:t>
            </w:r>
            <w:r>
              <w:t>年沿线环境空气质量统计表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838"/>
              <w:gridCol w:w="2616"/>
              <w:gridCol w:w="1060"/>
              <w:gridCol w:w="891"/>
              <w:gridCol w:w="1060"/>
              <w:gridCol w:w="752"/>
            </w:tblGrid>
            <w:tr w14:paraId="58537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shd w:val="clear" w:color="auto" w:fill="auto"/>
                  <w:vAlign w:val="center"/>
                </w:tcPr>
                <w:p w14:paraId="255E7A72">
                  <w:pPr>
                    <w:pStyle w:val="69"/>
                    <w:snapToGrid w:val="0"/>
                    <w:rPr>
                      <w:szCs w:val="21"/>
                    </w:rPr>
                  </w:pPr>
                  <w:r>
                    <w:rPr>
                      <w:szCs w:val="21"/>
                    </w:rPr>
                    <w:t>区域</w:t>
                  </w:r>
                </w:p>
              </w:tc>
              <w:tc>
                <w:tcPr>
                  <w:tcW w:w="517" w:type="pct"/>
                  <w:shd w:val="clear" w:color="auto" w:fill="auto"/>
                  <w:vAlign w:val="center"/>
                </w:tcPr>
                <w:p w14:paraId="348C2CB9">
                  <w:pPr>
                    <w:pStyle w:val="69"/>
                    <w:snapToGrid w:val="0"/>
                    <w:rPr>
                      <w:szCs w:val="21"/>
                    </w:rPr>
                  </w:pPr>
                  <w:r>
                    <w:rPr>
                      <w:szCs w:val="21"/>
                    </w:rPr>
                    <w:t>污染物</w:t>
                  </w:r>
                </w:p>
              </w:tc>
              <w:tc>
                <w:tcPr>
                  <w:tcW w:w="1614" w:type="pct"/>
                  <w:shd w:val="clear" w:color="auto" w:fill="auto"/>
                  <w:vAlign w:val="center"/>
                </w:tcPr>
                <w:p w14:paraId="009C8FB9">
                  <w:pPr>
                    <w:pStyle w:val="69"/>
                    <w:snapToGrid w:val="0"/>
                    <w:rPr>
                      <w:szCs w:val="21"/>
                    </w:rPr>
                  </w:pPr>
                  <w:r>
                    <w:rPr>
                      <w:szCs w:val="21"/>
                    </w:rPr>
                    <w:t>年评价指标</w:t>
                  </w:r>
                </w:p>
              </w:tc>
              <w:tc>
                <w:tcPr>
                  <w:tcW w:w="654" w:type="pct"/>
                  <w:shd w:val="clear" w:color="auto" w:fill="auto"/>
                  <w:vAlign w:val="center"/>
                </w:tcPr>
                <w:p w14:paraId="11426FDF">
                  <w:pPr>
                    <w:pStyle w:val="69"/>
                    <w:snapToGrid w:val="0"/>
                    <w:rPr>
                      <w:szCs w:val="21"/>
                    </w:rPr>
                  </w:pPr>
                  <w:r>
                    <w:rPr>
                      <w:szCs w:val="21"/>
                    </w:rPr>
                    <w:t>现状浓度μg/m</w:t>
                  </w:r>
                  <w:r>
                    <w:rPr>
                      <w:szCs w:val="21"/>
                      <w:vertAlign w:val="superscript"/>
                    </w:rPr>
                    <w:t>3</w:t>
                  </w:r>
                </w:p>
              </w:tc>
              <w:tc>
                <w:tcPr>
                  <w:tcW w:w="550" w:type="pct"/>
                  <w:shd w:val="clear" w:color="auto" w:fill="auto"/>
                  <w:vAlign w:val="center"/>
                </w:tcPr>
                <w:p w14:paraId="3CCA7250">
                  <w:pPr>
                    <w:pStyle w:val="69"/>
                    <w:snapToGrid w:val="0"/>
                    <w:rPr>
                      <w:szCs w:val="21"/>
                    </w:rPr>
                  </w:pPr>
                  <w:r>
                    <w:rPr>
                      <w:szCs w:val="21"/>
                    </w:rPr>
                    <w:t>标准值</w:t>
                  </w:r>
                </w:p>
              </w:tc>
              <w:tc>
                <w:tcPr>
                  <w:tcW w:w="654" w:type="pct"/>
                  <w:shd w:val="clear" w:color="auto" w:fill="auto"/>
                  <w:vAlign w:val="center"/>
                </w:tcPr>
                <w:p w14:paraId="3D904429">
                  <w:pPr>
                    <w:pStyle w:val="69"/>
                    <w:snapToGrid w:val="0"/>
                    <w:rPr>
                      <w:szCs w:val="21"/>
                    </w:rPr>
                  </w:pPr>
                  <w:r>
                    <w:rPr>
                      <w:szCs w:val="21"/>
                    </w:rPr>
                    <w:t>超标倍数</w:t>
                  </w:r>
                </w:p>
              </w:tc>
              <w:tc>
                <w:tcPr>
                  <w:tcW w:w="464" w:type="pct"/>
                  <w:shd w:val="clear" w:color="auto" w:fill="auto"/>
                  <w:vAlign w:val="center"/>
                </w:tcPr>
                <w:p w14:paraId="6293BA00">
                  <w:pPr>
                    <w:pStyle w:val="69"/>
                    <w:snapToGrid w:val="0"/>
                    <w:rPr>
                      <w:szCs w:val="21"/>
                    </w:rPr>
                  </w:pPr>
                  <w:r>
                    <w:rPr>
                      <w:szCs w:val="21"/>
                    </w:rPr>
                    <w:t>达标情况</w:t>
                  </w:r>
                </w:p>
              </w:tc>
            </w:tr>
            <w:tr w14:paraId="2FB8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restart"/>
                  <w:vAlign w:val="center"/>
                </w:tcPr>
                <w:p w14:paraId="15B2CDE1">
                  <w:pPr>
                    <w:pStyle w:val="69"/>
                    <w:snapToGrid w:val="0"/>
                    <w:jc w:val="both"/>
                    <w:rPr>
                      <w:szCs w:val="21"/>
                    </w:rPr>
                  </w:pPr>
                  <w:r>
                    <w:rPr>
                      <w:szCs w:val="21"/>
                    </w:rPr>
                    <w:t>高新区</w:t>
                  </w:r>
                </w:p>
              </w:tc>
              <w:tc>
                <w:tcPr>
                  <w:tcW w:w="517" w:type="pct"/>
                  <w:shd w:val="clear" w:color="auto" w:fill="auto"/>
                  <w:vAlign w:val="center"/>
                </w:tcPr>
                <w:p w14:paraId="0790FCF2">
                  <w:pPr>
                    <w:pStyle w:val="69"/>
                    <w:snapToGrid w:val="0"/>
                    <w:rPr>
                      <w:szCs w:val="21"/>
                    </w:rPr>
                  </w:pPr>
                  <w:r>
                    <w:rPr>
                      <w:szCs w:val="21"/>
                    </w:rPr>
                    <w:t>PM</w:t>
                  </w:r>
                  <w:r>
                    <w:rPr>
                      <w:szCs w:val="21"/>
                      <w:vertAlign w:val="subscript"/>
                    </w:rPr>
                    <w:t>10</w:t>
                  </w:r>
                </w:p>
              </w:tc>
              <w:tc>
                <w:tcPr>
                  <w:tcW w:w="1614" w:type="pct"/>
                  <w:shd w:val="clear" w:color="auto" w:fill="auto"/>
                  <w:vAlign w:val="center"/>
                </w:tcPr>
                <w:p w14:paraId="604478F9">
                  <w:pPr>
                    <w:pStyle w:val="69"/>
                    <w:snapToGrid w:val="0"/>
                    <w:rPr>
                      <w:szCs w:val="21"/>
                    </w:rPr>
                  </w:pPr>
                  <w:r>
                    <w:rPr>
                      <w:szCs w:val="21"/>
                    </w:rPr>
                    <w:t>年平均质量浓度</w:t>
                  </w:r>
                </w:p>
              </w:tc>
              <w:tc>
                <w:tcPr>
                  <w:tcW w:w="654" w:type="pct"/>
                  <w:shd w:val="clear" w:color="auto" w:fill="auto"/>
                  <w:vAlign w:val="center"/>
                </w:tcPr>
                <w:p w14:paraId="3DE1D6FA">
                  <w:pPr>
                    <w:pStyle w:val="69"/>
                    <w:snapToGrid w:val="0"/>
                    <w:rPr>
                      <w:szCs w:val="21"/>
                    </w:rPr>
                  </w:pPr>
                  <w:r>
                    <w:rPr>
                      <w:szCs w:val="21"/>
                    </w:rPr>
                    <w:t>50</w:t>
                  </w:r>
                </w:p>
              </w:tc>
              <w:tc>
                <w:tcPr>
                  <w:tcW w:w="550" w:type="pct"/>
                  <w:shd w:val="clear" w:color="auto" w:fill="auto"/>
                  <w:vAlign w:val="center"/>
                </w:tcPr>
                <w:p w14:paraId="1C010B97">
                  <w:pPr>
                    <w:pStyle w:val="69"/>
                    <w:snapToGrid w:val="0"/>
                    <w:rPr>
                      <w:szCs w:val="21"/>
                    </w:rPr>
                  </w:pPr>
                  <w:r>
                    <w:rPr>
                      <w:szCs w:val="21"/>
                    </w:rPr>
                    <w:t>70</w:t>
                  </w:r>
                </w:p>
              </w:tc>
              <w:tc>
                <w:tcPr>
                  <w:tcW w:w="654" w:type="pct"/>
                  <w:shd w:val="clear" w:color="auto" w:fill="auto"/>
                  <w:vAlign w:val="center"/>
                </w:tcPr>
                <w:p w14:paraId="6F26605E">
                  <w:pPr>
                    <w:pStyle w:val="69"/>
                    <w:snapToGrid w:val="0"/>
                    <w:rPr>
                      <w:szCs w:val="21"/>
                      <w:highlight w:val="yellow"/>
                    </w:rPr>
                  </w:pPr>
                  <w:r>
                    <w:rPr>
                      <w:szCs w:val="21"/>
                    </w:rPr>
                    <w:t>/</w:t>
                  </w:r>
                </w:p>
              </w:tc>
              <w:tc>
                <w:tcPr>
                  <w:tcW w:w="464" w:type="pct"/>
                  <w:shd w:val="clear" w:color="auto" w:fill="auto"/>
                  <w:vAlign w:val="center"/>
                </w:tcPr>
                <w:p w14:paraId="2E4BDF0D">
                  <w:pPr>
                    <w:pStyle w:val="69"/>
                    <w:snapToGrid w:val="0"/>
                    <w:rPr>
                      <w:szCs w:val="21"/>
                    </w:rPr>
                  </w:pPr>
                  <w:r>
                    <w:rPr>
                      <w:szCs w:val="21"/>
                    </w:rPr>
                    <w:t>达标</w:t>
                  </w:r>
                </w:p>
              </w:tc>
            </w:tr>
            <w:tr w14:paraId="36D3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5BF4C78A">
                  <w:pPr>
                    <w:pStyle w:val="69"/>
                    <w:snapToGrid w:val="0"/>
                    <w:rPr>
                      <w:szCs w:val="21"/>
                    </w:rPr>
                  </w:pPr>
                </w:p>
              </w:tc>
              <w:tc>
                <w:tcPr>
                  <w:tcW w:w="517" w:type="pct"/>
                  <w:shd w:val="clear" w:color="auto" w:fill="auto"/>
                  <w:vAlign w:val="center"/>
                </w:tcPr>
                <w:p w14:paraId="5897EC4C">
                  <w:pPr>
                    <w:pStyle w:val="69"/>
                    <w:snapToGrid w:val="0"/>
                    <w:rPr>
                      <w:szCs w:val="21"/>
                    </w:rPr>
                  </w:pPr>
                  <w:r>
                    <w:rPr>
                      <w:szCs w:val="21"/>
                    </w:rPr>
                    <w:t>PM</w:t>
                  </w:r>
                  <w:r>
                    <w:rPr>
                      <w:szCs w:val="21"/>
                      <w:vertAlign w:val="subscript"/>
                    </w:rPr>
                    <w:t>2.5</w:t>
                  </w:r>
                </w:p>
              </w:tc>
              <w:tc>
                <w:tcPr>
                  <w:tcW w:w="1614" w:type="pct"/>
                  <w:shd w:val="clear" w:color="auto" w:fill="auto"/>
                  <w:vAlign w:val="center"/>
                </w:tcPr>
                <w:p w14:paraId="5751006A">
                  <w:pPr>
                    <w:pStyle w:val="69"/>
                    <w:snapToGrid w:val="0"/>
                    <w:rPr>
                      <w:szCs w:val="21"/>
                    </w:rPr>
                  </w:pPr>
                  <w:r>
                    <w:rPr>
                      <w:szCs w:val="21"/>
                    </w:rPr>
                    <w:t>年平均质量浓度</w:t>
                  </w:r>
                </w:p>
              </w:tc>
              <w:tc>
                <w:tcPr>
                  <w:tcW w:w="654" w:type="pct"/>
                  <w:shd w:val="clear" w:color="auto" w:fill="auto"/>
                  <w:vAlign w:val="center"/>
                </w:tcPr>
                <w:p w14:paraId="5989D66C">
                  <w:pPr>
                    <w:pStyle w:val="69"/>
                    <w:snapToGrid w:val="0"/>
                    <w:rPr>
                      <w:szCs w:val="21"/>
                    </w:rPr>
                  </w:pPr>
                  <w:r>
                    <w:rPr>
                      <w:szCs w:val="21"/>
                    </w:rPr>
                    <w:t>25</w:t>
                  </w:r>
                </w:p>
              </w:tc>
              <w:tc>
                <w:tcPr>
                  <w:tcW w:w="550" w:type="pct"/>
                  <w:shd w:val="clear" w:color="auto" w:fill="auto"/>
                  <w:vAlign w:val="center"/>
                </w:tcPr>
                <w:p w14:paraId="17F3C700">
                  <w:pPr>
                    <w:pStyle w:val="69"/>
                    <w:snapToGrid w:val="0"/>
                    <w:rPr>
                      <w:szCs w:val="21"/>
                    </w:rPr>
                  </w:pPr>
                  <w:r>
                    <w:rPr>
                      <w:szCs w:val="21"/>
                    </w:rPr>
                    <w:t>35</w:t>
                  </w:r>
                </w:p>
              </w:tc>
              <w:tc>
                <w:tcPr>
                  <w:tcW w:w="654" w:type="pct"/>
                  <w:shd w:val="clear" w:color="auto" w:fill="auto"/>
                  <w:vAlign w:val="center"/>
                </w:tcPr>
                <w:p w14:paraId="7E2615B3">
                  <w:pPr>
                    <w:pStyle w:val="69"/>
                    <w:snapToGrid w:val="0"/>
                    <w:rPr>
                      <w:szCs w:val="21"/>
                    </w:rPr>
                  </w:pPr>
                  <w:r>
                    <w:rPr>
                      <w:szCs w:val="21"/>
                    </w:rPr>
                    <w:t>/</w:t>
                  </w:r>
                </w:p>
              </w:tc>
              <w:tc>
                <w:tcPr>
                  <w:tcW w:w="464" w:type="pct"/>
                  <w:shd w:val="clear" w:color="auto" w:fill="auto"/>
                  <w:vAlign w:val="center"/>
                </w:tcPr>
                <w:p w14:paraId="161B77E7">
                  <w:pPr>
                    <w:pStyle w:val="69"/>
                    <w:snapToGrid w:val="0"/>
                    <w:rPr>
                      <w:szCs w:val="21"/>
                    </w:rPr>
                  </w:pPr>
                  <w:r>
                    <w:rPr>
                      <w:szCs w:val="21"/>
                    </w:rPr>
                    <w:t>达标</w:t>
                  </w:r>
                </w:p>
              </w:tc>
            </w:tr>
            <w:tr w14:paraId="39CA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70B1A2D7">
                  <w:pPr>
                    <w:pStyle w:val="69"/>
                    <w:snapToGrid w:val="0"/>
                    <w:rPr>
                      <w:szCs w:val="21"/>
                    </w:rPr>
                  </w:pPr>
                </w:p>
              </w:tc>
              <w:tc>
                <w:tcPr>
                  <w:tcW w:w="517" w:type="pct"/>
                  <w:shd w:val="clear" w:color="auto" w:fill="auto"/>
                  <w:vAlign w:val="center"/>
                </w:tcPr>
                <w:p w14:paraId="69C0F2B0">
                  <w:pPr>
                    <w:pStyle w:val="69"/>
                    <w:snapToGrid w:val="0"/>
                    <w:rPr>
                      <w:szCs w:val="21"/>
                    </w:rPr>
                  </w:pPr>
                  <w:r>
                    <w:rPr>
                      <w:szCs w:val="21"/>
                    </w:rPr>
                    <w:t>SO</w:t>
                  </w:r>
                  <w:r>
                    <w:rPr>
                      <w:szCs w:val="21"/>
                      <w:vertAlign w:val="subscript"/>
                    </w:rPr>
                    <w:t>2</w:t>
                  </w:r>
                </w:p>
              </w:tc>
              <w:tc>
                <w:tcPr>
                  <w:tcW w:w="1614" w:type="pct"/>
                  <w:shd w:val="clear" w:color="auto" w:fill="auto"/>
                  <w:vAlign w:val="center"/>
                </w:tcPr>
                <w:p w14:paraId="2A2B2906">
                  <w:pPr>
                    <w:pStyle w:val="69"/>
                    <w:snapToGrid w:val="0"/>
                    <w:rPr>
                      <w:szCs w:val="21"/>
                    </w:rPr>
                  </w:pPr>
                  <w:r>
                    <w:rPr>
                      <w:szCs w:val="21"/>
                    </w:rPr>
                    <w:t>年平均质量浓度</w:t>
                  </w:r>
                </w:p>
              </w:tc>
              <w:tc>
                <w:tcPr>
                  <w:tcW w:w="654" w:type="pct"/>
                  <w:shd w:val="clear" w:color="auto" w:fill="auto"/>
                  <w:vAlign w:val="center"/>
                </w:tcPr>
                <w:p w14:paraId="54D191E9">
                  <w:pPr>
                    <w:pStyle w:val="69"/>
                    <w:snapToGrid w:val="0"/>
                    <w:rPr>
                      <w:szCs w:val="21"/>
                    </w:rPr>
                  </w:pPr>
                  <w:r>
                    <w:rPr>
                      <w:szCs w:val="21"/>
                    </w:rPr>
                    <w:t>4</w:t>
                  </w:r>
                </w:p>
              </w:tc>
              <w:tc>
                <w:tcPr>
                  <w:tcW w:w="550" w:type="pct"/>
                  <w:shd w:val="clear" w:color="auto" w:fill="auto"/>
                  <w:vAlign w:val="center"/>
                </w:tcPr>
                <w:p w14:paraId="06D78378">
                  <w:pPr>
                    <w:pStyle w:val="69"/>
                    <w:snapToGrid w:val="0"/>
                    <w:rPr>
                      <w:szCs w:val="21"/>
                    </w:rPr>
                  </w:pPr>
                  <w:r>
                    <w:rPr>
                      <w:szCs w:val="21"/>
                    </w:rPr>
                    <w:t>60</w:t>
                  </w:r>
                </w:p>
              </w:tc>
              <w:tc>
                <w:tcPr>
                  <w:tcW w:w="654" w:type="pct"/>
                  <w:shd w:val="clear" w:color="auto" w:fill="auto"/>
                  <w:vAlign w:val="center"/>
                </w:tcPr>
                <w:p w14:paraId="14DB54AF">
                  <w:pPr>
                    <w:pStyle w:val="69"/>
                    <w:snapToGrid w:val="0"/>
                    <w:rPr>
                      <w:szCs w:val="21"/>
                    </w:rPr>
                  </w:pPr>
                  <w:r>
                    <w:rPr>
                      <w:szCs w:val="21"/>
                    </w:rPr>
                    <w:t>/</w:t>
                  </w:r>
                </w:p>
              </w:tc>
              <w:tc>
                <w:tcPr>
                  <w:tcW w:w="464" w:type="pct"/>
                  <w:shd w:val="clear" w:color="auto" w:fill="auto"/>
                  <w:vAlign w:val="center"/>
                </w:tcPr>
                <w:p w14:paraId="3D4C78FE">
                  <w:pPr>
                    <w:pStyle w:val="69"/>
                    <w:snapToGrid w:val="0"/>
                    <w:rPr>
                      <w:szCs w:val="21"/>
                    </w:rPr>
                  </w:pPr>
                  <w:r>
                    <w:rPr>
                      <w:szCs w:val="21"/>
                    </w:rPr>
                    <w:t>达标</w:t>
                  </w:r>
                </w:p>
              </w:tc>
            </w:tr>
            <w:tr w14:paraId="62E2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292AC17E">
                  <w:pPr>
                    <w:pStyle w:val="69"/>
                    <w:snapToGrid w:val="0"/>
                    <w:rPr>
                      <w:szCs w:val="21"/>
                    </w:rPr>
                  </w:pPr>
                </w:p>
              </w:tc>
              <w:tc>
                <w:tcPr>
                  <w:tcW w:w="517" w:type="pct"/>
                  <w:shd w:val="clear" w:color="auto" w:fill="auto"/>
                  <w:vAlign w:val="center"/>
                </w:tcPr>
                <w:p w14:paraId="684DCE58">
                  <w:pPr>
                    <w:pStyle w:val="69"/>
                    <w:snapToGrid w:val="0"/>
                    <w:rPr>
                      <w:szCs w:val="21"/>
                    </w:rPr>
                  </w:pPr>
                  <w:r>
                    <w:rPr>
                      <w:szCs w:val="21"/>
                    </w:rPr>
                    <w:t>NO</w:t>
                  </w:r>
                  <w:r>
                    <w:rPr>
                      <w:szCs w:val="21"/>
                      <w:vertAlign w:val="subscript"/>
                    </w:rPr>
                    <w:t>2</w:t>
                  </w:r>
                </w:p>
              </w:tc>
              <w:tc>
                <w:tcPr>
                  <w:tcW w:w="1614" w:type="pct"/>
                  <w:shd w:val="clear" w:color="auto" w:fill="auto"/>
                  <w:vAlign w:val="center"/>
                </w:tcPr>
                <w:p w14:paraId="0BF2026E">
                  <w:pPr>
                    <w:pStyle w:val="69"/>
                    <w:snapToGrid w:val="0"/>
                    <w:rPr>
                      <w:szCs w:val="21"/>
                    </w:rPr>
                  </w:pPr>
                  <w:r>
                    <w:rPr>
                      <w:szCs w:val="21"/>
                    </w:rPr>
                    <w:t>年平均质量浓度</w:t>
                  </w:r>
                </w:p>
              </w:tc>
              <w:tc>
                <w:tcPr>
                  <w:tcW w:w="654" w:type="pct"/>
                  <w:shd w:val="clear" w:color="auto" w:fill="auto"/>
                  <w:vAlign w:val="center"/>
                </w:tcPr>
                <w:p w14:paraId="5E53DE1F">
                  <w:pPr>
                    <w:pStyle w:val="69"/>
                    <w:snapToGrid w:val="0"/>
                    <w:rPr>
                      <w:szCs w:val="21"/>
                    </w:rPr>
                  </w:pPr>
                  <w:r>
                    <w:rPr>
                      <w:szCs w:val="21"/>
                    </w:rPr>
                    <w:t>18</w:t>
                  </w:r>
                </w:p>
              </w:tc>
              <w:tc>
                <w:tcPr>
                  <w:tcW w:w="550" w:type="pct"/>
                  <w:shd w:val="clear" w:color="auto" w:fill="auto"/>
                  <w:vAlign w:val="center"/>
                </w:tcPr>
                <w:p w14:paraId="527D32E3">
                  <w:pPr>
                    <w:pStyle w:val="69"/>
                    <w:snapToGrid w:val="0"/>
                    <w:rPr>
                      <w:szCs w:val="21"/>
                    </w:rPr>
                  </w:pPr>
                  <w:r>
                    <w:rPr>
                      <w:szCs w:val="21"/>
                    </w:rPr>
                    <w:t>40</w:t>
                  </w:r>
                </w:p>
              </w:tc>
              <w:tc>
                <w:tcPr>
                  <w:tcW w:w="654" w:type="pct"/>
                  <w:shd w:val="clear" w:color="auto" w:fill="auto"/>
                  <w:vAlign w:val="center"/>
                </w:tcPr>
                <w:p w14:paraId="28161053">
                  <w:pPr>
                    <w:pStyle w:val="69"/>
                    <w:snapToGrid w:val="0"/>
                    <w:rPr>
                      <w:szCs w:val="21"/>
                    </w:rPr>
                  </w:pPr>
                  <w:r>
                    <w:rPr>
                      <w:szCs w:val="21"/>
                    </w:rPr>
                    <w:t>/</w:t>
                  </w:r>
                </w:p>
              </w:tc>
              <w:tc>
                <w:tcPr>
                  <w:tcW w:w="464" w:type="pct"/>
                  <w:shd w:val="clear" w:color="auto" w:fill="auto"/>
                  <w:vAlign w:val="center"/>
                </w:tcPr>
                <w:p w14:paraId="717CFC2B">
                  <w:pPr>
                    <w:pStyle w:val="69"/>
                    <w:snapToGrid w:val="0"/>
                    <w:rPr>
                      <w:szCs w:val="21"/>
                    </w:rPr>
                  </w:pPr>
                  <w:r>
                    <w:rPr>
                      <w:szCs w:val="21"/>
                    </w:rPr>
                    <w:t>达标</w:t>
                  </w:r>
                </w:p>
              </w:tc>
            </w:tr>
            <w:tr w14:paraId="50F8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3647DAD2">
                  <w:pPr>
                    <w:pStyle w:val="69"/>
                    <w:snapToGrid w:val="0"/>
                    <w:rPr>
                      <w:szCs w:val="21"/>
                    </w:rPr>
                  </w:pPr>
                </w:p>
              </w:tc>
              <w:tc>
                <w:tcPr>
                  <w:tcW w:w="517" w:type="pct"/>
                  <w:shd w:val="clear" w:color="auto" w:fill="auto"/>
                  <w:vAlign w:val="center"/>
                </w:tcPr>
                <w:p w14:paraId="7DA27CDB">
                  <w:pPr>
                    <w:pStyle w:val="69"/>
                    <w:snapToGrid w:val="0"/>
                    <w:rPr>
                      <w:szCs w:val="21"/>
                    </w:rPr>
                  </w:pPr>
                  <w:r>
                    <w:rPr>
                      <w:szCs w:val="21"/>
                    </w:rPr>
                    <w:t>CO</w:t>
                  </w:r>
                </w:p>
              </w:tc>
              <w:tc>
                <w:tcPr>
                  <w:tcW w:w="1614" w:type="pct"/>
                  <w:shd w:val="clear" w:color="auto" w:fill="auto"/>
                  <w:vAlign w:val="center"/>
                </w:tcPr>
                <w:p w14:paraId="5D9CE434">
                  <w:pPr>
                    <w:pStyle w:val="69"/>
                    <w:snapToGrid w:val="0"/>
                    <w:rPr>
                      <w:szCs w:val="21"/>
                    </w:rPr>
                  </w:pPr>
                  <w:r>
                    <w:rPr>
                      <w:szCs w:val="21"/>
                    </w:rPr>
                    <w:t>24小时平均第95百分位数</w:t>
                  </w:r>
                </w:p>
              </w:tc>
              <w:tc>
                <w:tcPr>
                  <w:tcW w:w="654" w:type="pct"/>
                  <w:shd w:val="clear" w:color="auto" w:fill="auto"/>
                  <w:vAlign w:val="center"/>
                </w:tcPr>
                <w:p w14:paraId="66EB8876">
                  <w:pPr>
                    <w:pStyle w:val="69"/>
                    <w:snapToGrid w:val="0"/>
                    <w:rPr>
                      <w:szCs w:val="21"/>
                    </w:rPr>
                  </w:pPr>
                  <w:r>
                    <w:rPr>
                      <w:szCs w:val="21"/>
                    </w:rPr>
                    <w:t>1.0mg/m</w:t>
                  </w:r>
                  <w:r>
                    <w:rPr>
                      <w:szCs w:val="21"/>
                      <w:vertAlign w:val="superscript"/>
                    </w:rPr>
                    <w:t>3</w:t>
                  </w:r>
                </w:p>
              </w:tc>
              <w:tc>
                <w:tcPr>
                  <w:tcW w:w="550" w:type="pct"/>
                  <w:shd w:val="clear" w:color="auto" w:fill="auto"/>
                  <w:vAlign w:val="center"/>
                </w:tcPr>
                <w:p w14:paraId="74DF1472">
                  <w:pPr>
                    <w:pStyle w:val="69"/>
                    <w:snapToGrid w:val="0"/>
                    <w:rPr>
                      <w:szCs w:val="21"/>
                    </w:rPr>
                  </w:pPr>
                  <w:r>
                    <w:rPr>
                      <w:szCs w:val="21"/>
                    </w:rPr>
                    <w:t>4mg/m</w:t>
                  </w:r>
                  <w:r>
                    <w:rPr>
                      <w:szCs w:val="21"/>
                      <w:vertAlign w:val="superscript"/>
                    </w:rPr>
                    <w:t>3</w:t>
                  </w:r>
                </w:p>
              </w:tc>
              <w:tc>
                <w:tcPr>
                  <w:tcW w:w="654" w:type="pct"/>
                  <w:shd w:val="clear" w:color="auto" w:fill="auto"/>
                  <w:vAlign w:val="center"/>
                </w:tcPr>
                <w:p w14:paraId="2D2043BD">
                  <w:pPr>
                    <w:pStyle w:val="69"/>
                    <w:snapToGrid w:val="0"/>
                    <w:rPr>
                      <w:szCs w:val="21"/>
                    </w:rPr>
                  </w:pPr>
                  <w:r>
                    <w:rPr>
                      <w:szCs w:val="21"/>
                    </w:rPr>
                    <w:t>/</w:t>
                  </w:r>
                </w:p>
              </w:tc>
              <w:tc>
                <w:tcPr>
                  <w:tcW w:w="464" w:type="pct"/>
                  <w:shd w:val="clear" w:color="auto" w:fill="auto"/>
                  <w:vAlign w:val="center"/>
                </w:tcPr>
                <w:p w14:paraId="49D379E8">
                  <w:pPr>
                    <w:pStyle w:val="69"/>
                    <w:snapToGrid w:val="0"/>
                    <w:rPr>
                      <w:szCs w:val="21"/>
                    </w:rPr>
                  </w:pPr>
                  <w:r>
                    <w:rPr>
                      <w:szCs w:val="21"/>
                    </w:rPr>
                    <w:t>达标</w:t>
                  </w:r>
                </w:p>
              </w:tc>
            </w:tr>
            <w:tr w14:paraId="2913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47" w:type="pct"/>
                  <w:vMerge w:val="continue"/>
                  <w:vAlign w:val="center"/>
                </w:tcPr>
                <w:p w14:paraId="6E475A5E">
                  <w:pPr>
                    <w:pStyle w:val="69"/>
                    <w:snapToGrid w:val="0"/>
                    <w:rPr>
                      <w:szCs w:val="21"/>
                    </w:rPr>
                  </w:pPr>
                </w:p>
              </w:tc>
              <w:tc>
                <w:tcPr>
                  <w:tcW w:w="517" w:type="pct"/>
                  <w:shd w:val="clear" w:color="auto" w:fill="auto"/>
                  <w:vAlign w:val="center"/>
                </w:tcPr>
                <w:p w14:paraId="4262B325">
                  <w:pPr>
                    <w:pStyle w:val="69"/>
                    <w:snapToGrid w:val="0"/>
                    <w:rPr>
                      <w:szCs w:val="21"/>
                    </w:rPr>
                  </w:pPr>
                  <w:r>
                    <w:rPr>
                      <w:szCs w:val="21"/>
                    </w:rPr>
                    <w:t>O</w:t>
                  </w:r>
                  <w:r>
                    <w:rPr>
                      <w:szCs w:val="21"/>
                      <w:vertAlign w:val="subscript"/>
                    </w:rPr>
                    <w:t>3</w:t>
                  </w:r>
                </w:p>
              </w:tc>
              <w:tc>
                <w:tcPr>
                  <w:tcW w:w="1614" w:type="pct"/>
                  <w:shd w:val="clear" w:color="auto" w:fill="auto"/>
                  <w:vAlign w:val="center"/>
                </w:tcPr>
                <w:p w14:paraId="5F7F7AF7">
                  <w:pPr>
                    <w:pStyle w:val="69"/>
                    <w:snapToGrid w:val="0"/>
                    <w:rPr>
                      <w:szCs w:val="21"/>
                    </w:rPr>
                  </w:pPr>
                  <w:r>
                    <w:rPr>
                      <w:szCs w:val="21"/>
                    </w:rPr>
                    <w:t>最大8小时平均值的第90百分位数</w:t>
                  </w:r>
                </w:p>
              </w:tc>
              <w:tc>
                <w:tcPr>
                  <w:tcW w:w="654" w:type="pct"/>
                  <w:shd w:val="clear" w:color="auto" w:fill="auto"/>
                  <w:vAlign w:val="center"/>
                </w:tcPr>
                <w:p w14:paraId="389D3E7B">
                  <w:pPr>
                    <w:pStyle w:val="69"/>
                    <w:snapToGrid w:val="0"/>
                    <w:rPr>
                      <w:szCs w:val="21"/>
                    </w:rPr>
                  </w:pPr>
                  <w:r>
                    <w:rPr>
                      <w:szCs w:val="21"/>
                    </w:rPr>
                    <w:t>121</w:t>
                  </w:r>
                </w:p>
              </w:tc>
              <w:tc>
                <w:tcPr>
                  <w:tcW w:w="550" w:type="pct"/>
                  <w:shd w:val="clear" w:color="auto" w:fill="auto"/>
                  <w:vAlign w:val="center"/>
                </w:tcPr>
                <w:p w14:paraId="0372CBFB">
                  <w:pPr>
                    <w:pStyle w:val="69"/>
                    <w:snapToGrid w:val="0"/>
                    <w:rPr>
                      <w:szCs w:val="21"/>
                    </w:rPr>
                  </w:pPr>
                  <w:r>
                    <w:rPr>
                      <w:szCs w:val="21"/>
                    </w:rPr>
                    <w:t>160</w:t>
                  </w:r>
                </w:p>
              </w:tc>
              <w:tc>
                <w:tcPr>
                  <w:tcW w:w="654" w:type="pct"/>
                  <w:shd w:val="clear" w:color="auto" w:fill="auto"/>
                  <w:vAlign w:val="center"/>
                </w:tcPr>
                <w:p w14:paraId="660800BF">
                  <w:pPr>
                    <w:pStyle w:val="69"/>
                    <w:snapToGrid w:val="0"/>
                    <w:rPr>
                      <w:szCs w:val="21"/>
                    </w:rPr>
                  </w:pPr>
                  <w:r>
                    <w:rPr>
                      <w:szCs w:val="21"/>
                    </w:rPr>
                    <w:t>/</w:t>
                  </w:r>
                </w:p>
              </w:tc>
              <w:tc>
                <w:tcPr>
                  <w:tcW w:w="464" w:type="pct"/>
                  <w:shd w:val="clear" w:color="auto" w:fill="auto"/>
                  <w:vAlign w:val="center"/>
                </w:tcPr>
                <w:p w14:paraId="5C1191CD">
                  <w:pPr>
                    <w:pStyle w:val="69"/>
                    <w:snapToGrid w:val="0"/>
                    <w:rPr>
                      <w:szCs w:val="21"/>
                    </w:rPr>
                  </w:pPr>
                  <w:r>
                    <w:rPr>
                      <w:szCs w:val="21"/>
                    </w:rPr>
                    <w:t>达标</w:t>
                  </w:r>
                </w:p>
              </w:tc>
            </w:tr>
          </w:tbl>
          <w:p w14:paraId="648A398C">
            <w:pPr>
              <w:spacing w:line="360" w:lineRule="auto"/>
              <w:ind w:firstLine="480" w:firstLineChars="200"/>
              <w:rPr>
                <w:sz w:val="24"/>
              </w:rPr>
            </w:pPr>
            <w:r>
              <w:rPr>
                <w:sz w:val="24"/>
              </w:rPr>
              <w:t>根据表</w:t>
            </w:r>
            <w:r>
              <w:rPr>
                <w:rFonts w:hint="eastAsia"/>
                <w:sz w:val="24"/>
              </w:rPr>
              <w:t>3-1</w:t>
            </w:r>
            <w:r>
              <w:rPr>
                <w:sz w:val="24"/>
              </w:rPr>
              <w:t>判定结果，</w:t>
            </w:r>
            <w:r>
              <w:rPr>
                <w:rFonts w:hint="eastAsia"/>
                <w:sz w:val="24"/>
              </w:rPr>
              <w:t>项目所在区域高新区</w:t>
            </w:r>
            <w:r>
              <w:rPr>
                <w:sz w:val="24"/>
              </w:rPr>
              <w:t>为达标区。</w:t>
            </w:r>
          </w:p>
          <w:p w14:paraId="25CEAC3E">
            <w:pPr>
              <w:pStyle w:val="8"/>
              <w:spacing w:before="0" w:after="0" w:line="360" w:lineRule="auto"/>
              <w:ind w:right="0" w:firstLine="480" w:firstLineChars="200"/>
              <w:rPr>
                <w:sz w:val="24"/>
                <w:szCs w:val="24"/>
              </w:rPr>
            </w:pPr>
            <w:r>
              <w:rPr>
                <w:rFonts w:hint="eastAsia"/>
                <w:sz w:val="24"/>
                <w:szCs w:val="24"/>
              </w:rPr>
              <w:t>3、</w:t>
            </w:r>
            <w:r>
              <w:rPr>
                <w:sz w:val="24"/>
                <w:szCs w:val="24"/>
              </w:rPr>
              <w:t>声环境质量现状</w:t>
            </w:r>
          </w:p>
          <w:p w14:paraId="04B28E15">
            <w:pPr>
              <w:pStyle w:val="8"/>
              <w:spacing w:before="0" w:after="0" w:line="360" w:lineRule="auto"/>
              <w:ind w:right="0" w:firstLine="480" w:firstLineChars="200"/>
              <w:rPr>
                <w:sz w:val="24"/>
                <w:szCs w:val="24"/>
              </w:rPr>
            </w:pPr>
            <w:r>
              <w:rPr>
                <w:rFonts w:hint="eastAsia"/>
                <w:sz w:val="24"/>
                <w:szCs w:val="24"/>
              </w:rPr>
              <w:t>根据《环境影响评价技术导则 声环境》（HJ2.4-2021），本项目评价范围内不涉及声环境敏感点，本次对项目所在地进行声环境现状监测。</w:t>
            </w:r>
            <w:r>
              <w:rPr>
                <w:sz w:val="24"/>
                <w:szCs w:val="24"/>
              </w:rPr>
              <w:t>根据监测结果</w:t>
            </w:r>
            <w:r>
              <w:rPr>
                <w:rFonts w:hint="eastAsia"/>
                <w:sz w:val="24"/>
                <w:szCs w:val="24"/>
              </w:rPr>
              <w:t>；</w:t>
            </w:r>
          </w:p>
          <w:p w14:paraId="51018103">
            <w:pPr>
              <w:adjustRightInd w:val="0"/>
              <w:snapToGrid w:val="0"/>
              <w:ind w:firstLine="420" w:firstLineChars="200"/>
              <w:jc w:val="center"/>
              <w:rPr>
                <w:rFonts w:ascii="黑体" w:hAnsi="黑体" w:eastAsia="黑体" w:cs="黑体"/>
                <w:bCs/>
                <w:kern w:val="0"/>
                <w:szCs w:val="21"/>
              </w:rPr>
            </w:pPr>
            <w:r>
              <w:rPr>
                <w:rFonts w:hint="eastAsia" w:ascii="黑体" w:hAnsi="黑体" w:eastAsia="黑体" w:cs="黑体"/>
                <w:bCs/>
                <w:kern w:val="0"/>
                <w:szCs w:val="21"/>
              </w:rPr>
              <w:t>表3-2    项目噪声监测结果一览表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561"/>
              <w:gridCol w:w="1549"/>
              <w:gridCol w:w="828"/>
              <w:gridCol w:w="796"/>
              <w:gridCol w:w="737"/>
              <w:gridCol w:w="736"/>
            </w:tblGrid>
            <w:tr w14:paraId="5802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pct"/>
                  <w:vAlign w:val="center"/>
                </w:tcPr>
                <w:p w14:paraId="09651CA9">
                  <w:pPr>
                    <w:jc w:val="center"/>
                    <w:rPr>
                      <w:szCs w:val="21"/>
                    </w:rPr>
                  </w:pPr>
                  <w:r>
                    <w:rPr>
                      <w:szCs w:val="21"/>
                    </w:rPr>
                    <w:t>监测点位</w:t>
                  </w:r>
                </w:p>
              </w:tc>
              <w:tc>
                <w:tcPr>
                  <w:tcW w:w="1918" w:type="pct"/>
                  <w:gridSpan w:val="2"/>
                  <w:vAlign w:val="center"/>
                </w:tcPr>
                <w:p w14:paraId="07093A71">
                  <w:pPr>
                    <w:jc w:val="center"/>
                    <w:rPr>
                      <w:szCs w:val="21"/>
                    </w:rPr>
                  </w:pPr>
                  <w:r>
                    <w:rPr>
                      <w:szCs w:val="21"/>
                    </w:rPr>
                    <w:t>监测结果dB(A)</w:t>
                  </w:r>
                </w:p>
              </w:tc>
              <w:tc>
                <w:tcPr>
                  <w:tcW w:w="1002" w:type="pct"/>
                  <w:gridSpan w:val="2"/>
                  <w:vAlign w:val="center"/>
                </w:tcPr>
                <w:p w14:paraId="0813B9A0">
                  <w:pPr>
                    <w:jc w:val="center"/>
                    <w:rPr>
                      <w:szCs w:val="21"/>
                    </w:rPr>
                  </w:pPr>
                  <w:r>
                    <w:rPr>
                      <w:szCs w:val="21"/>
                    </w:rPr>
                    <w:t>执行标准dB(A)</w:t>
                  </w:r>
                </w:p>
              </w:tc>
              <w:tc>
                <w:tcPr>
                  <w:tcW w:w="909" w:type="pct"/>
                  <w:gridSpan w:val="2"/>
                  <w:vAlign w:val="center"/>
                </w:tcPr>
                <w:p w14:paraId="77C4E7EB">
                  <w:pPr>
                    <w:jc w:val="center"/>
                    <w:rPr>
                      <w:szCs w:val="21"/>
                    </w:rPr>
                  </w:pPr>
                  <w:r>
                    <w:rPr>
                      <w:szCs w:val="21"/>
                    </w:rPr>
                    <w:t>达标情况</w:t>
                  </w:r>
                </w:p>
              </w:tc>
            </w:tr>
            <w:tr w14:paraId="4D8E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70" w:type="pct"/>
                  <w:vMerge w:val="restart"/>
                  <w:vAlign w:val="center"/>
                </w:tcPr>
                <w:p w14:paraId="63238819">
                  <w:pPr>
                    <w:jc w:val="center"/>
                    <w:rPr>
                      <w:szCs w:val="21"/>
                    </w:rPr>
                  </w:pPr>
                  <w:r>
                    <w:rPr>
                      <w:rFonts w:hint="eastAsia"/>
                      <w:szCs w:val="21"/>
                    </w:rPr>
                    <w:t>项目所在地</w:t>
                  </w:r>
                </w:p>
              </w:tc>
              <w:tc>
                <w:tcPr>
                  <w:tcW w:w="963" w:type="pct"/>
                  <w:vAlign w:val="center"/>
                </w:tcPr>
                <w:p w14:paraId="652916E0">
                  <w:pPr>
                    <w:jc w:val="center"/>
                    <w:rPr>
                      <w:szCs w:val="21"/>
                    </w:rPr>
                  </w:pPr>
                  <w:r>
                    <w:rPr>
                      <w:szCs w:val="21"/>
                    </w:rPr>
                    <w:t>昼间</w:t>
                  </w:r>
                </w:p>
              </w:tc>
              <w:tc>
                <w:tcPr>
                  <w:tcW w:w="956" w:type="pct"/>
                  <w:vAlign w:val="center"/>
                </w:tcPr>
                <w:p w14:paraId="745F6983">
                  <w:pPr>
                    <w:jc w:val="center"/>
                    <w:rPr>
                      <w:szCs w:val="21"/>
                    </w:rPr>
                  </w:pPr>
                  <w:r>
                    <w:rPr>
                      <w:szCs w:val="21"/>
                    </w:rPr>
                    <w:t>夜间</w:t>
                  </w:r>
                </w:p>
              </w:tc>
              <w:tc>
                <w:tcPr>
                  <w:tcW w:w="511" w:type="pct"/>
                  <w:vAlign w:val="center"/>
                </w:tcPr>
                <w:p w14:paraId="0B5FB423">
                  <w:pPr>
                    <w:jc w:val="center"/>
                    <w:rPr>
                      <w:szCs w:val="21"/>
                    </w:rPr>
                  </w:pPr>
                  <w:r>
                    <w:rPr>
                      <w:szCs w:val="21"/>
                    </w:rPr>
                    <w:t>昼间</w:t>
                  </w:r>
                </w:p>
              </w:tc>
              <w:tc>
                <w:tcPr>
                  <w:tcW w:w="491" w:type="pct"/>
                  <w:vAlign w:val="center"/>
                </w:tcPr>
                <w:p w14:paraId="718E6BC4">
                  <w:pPr>
                    <w:jc w:val="center"/>
                    <w:rPr>
                      <w:szCs w:val="21"/>
                    </w:rPr>
                  </w:pPr>
                  <w:r>
                    <w:rPr>
                      <w:szCs w:val="21"/>
                    </w:rPr>
                    <w:t>夜间</w:t>
                  </w:r>
                </w:p>
              </w:tc>
              <w:tc>
                <w:tcPr>
                  <w:tcW w:w="455" w:type="pct"/>
                  <w:vAlign w:val="center"/>
                </w:tcPr>
                <w:p w14:paraId="7FC94239">
                  <w:pPr>
                    <w:jc w:val="center"/>
                    <w:rPr>
                      <w:szCs w:val="21"/>
                    </w:rPr>
                  </w:pPr>
                  <w:r>
                    <w:rPr>
                      <w:szCs w:val="21"/>
                    </w:rPr>
                    <w:t>昼间</w:t>
                  </w:r>
                </w:p>
              </w:tc>
              <w:tc>
                <w:tcPr>
                  <w:tcW w:w="454" w:type="pct"/>
                  <w:vAlign w:val="center"/>
                </w:tcPr>
                <w:p w14:paraId="66FE8701">
                  <w:pPr>
                    <w:jc w:val="center"/>
                    <w:rPr>
                      <w:szCs w:val="21"/>
                    </w:rPr>
                  </w:pPr>
                  <w:r>
                    <w:rPr>
                      <w:szCs w:val="21"/>
                    </w:rPr>
                    <w:t>夜间</w:t>
                  </w:r>
                </w:p>
              </w:tc>
            </w:tr>
            <w:tr w14:paraId="617C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0" w:type="pct"/>
                  <w:vMerge w:val="continue"/>
                  <w:vAlign w:val="center"/>
                </w:tcPr>
                <w:p w14:paraId="6258619F">
                  <w:pPr>
                    <w:jc w:val="center"/>
                    <w:rPr>
                      <w:szCs w:val="21"/>
                    </w:rPr>
                  </w:pPr>
                </w:p>
              </w:tc>
              <w:tc>
                <w:tcPr>
                  <w:tcW w:w="963" w:type="pct"/>
                  <w:vAlign w:val="center"/>
                </w:tcPr>
                <w:p w14:paraId="73A60BB7">
                  <w:pPr>
                    <w:jc w:val="center"/>
                    <w:rPr>
                      <w:szCs w:val="21"/>
                    </w:rPr>
                  </w:pPr>
                  <w:r>
                    <w:rPr>
                      <w:rFonts w:hint="eastAsia"/>
                      <w:szCs w:val="21"/>
                    </w:rPr>
                    <w:t>50</w:t>
                  </w:r>
                </w:p>
              </w:tc>
              <w:tc>
                <w:tcPr>
                  <w:tcW w:w="956" w:type="pct"/>
                  <w:vAlign w:val="center"/>
                </w:tcPr>
                <w:p w14:paraId="441C6E75">
                  <w:pPr>
                    <w:jc w:val="center"/>
                    <w:rPr>
                      <w:szCs w:val="21"/>
                    </w:rPr>
                  </w:pPr>
                  <w:r>
                    <w:rPr>
                      <w:rFonts w:hint="eastAsia"/>
                      <w:szCs w:val="21"/>
                    </w:rPr>
                    <w:t>42</w:t>
                  </w:r>
                </w:p>
              </w:tc>
              <w:tc>
                <w:tcPr>
                  <w:tcW w:w="511" w:type="pct"/>
                  <w:vAlign w:val="center"/>
                </w:tcPr>
                <w:p w14:paraId="11C64577">
                  <w:pPr>
                    <w:jc w:val="center"/>
                    <w:rPr>
                      <w:szCs w:val="21"/>
                    </w:rPr>
                  </w:pPr>
                  <w:r>
                    <w:rPr>
                      <w:szCs w:val="21"/>
                    </w:rPr>
                    <w:t>60</w:t>
                  </w:r>
                </w:p>
              </w:tc>
              <w:tc>
                <w:tcPr>
                  <w:tcW w:w="491" w:type="pct"/>
                  <w:vAlign w:val="center"/>
                </w:tcPr>
                <w:p w14:paraId="7E639A3A">
                  <w:pPr>
                    <w:jc w:val="center"/>
                    <w:rPr>
                      <w:szCs w:val="21"/>
                    </w:rPr>
                  </w:pPr>
                  <w:r>
                    <w:rPr>
                      <w:szCs w:val="21"/>
                    </w:rPr>
                    <w:t>50</w:t>
                  </w:r>
                </w:p>
              </w:tc>
              <w:tc>
                <w:tcPr>
                  <w:tcW w:w="455" w:type="pct"/>
                  <w:vAlign w:val="center"/>
                </w:tcPr>
                <w:p w14:paraId="4E20A585">
                  <w:pPr>
                    <w:jc w:val="center"/>
                    <w:rPr>
                      <w:szCs w:val="21"/>
                    </w:rPr>
                  </w:pPr>
                  <w:r>
                    <w:rPr>
                      <w:szCs w:val="21"/>
                    </w:rPr>
                    <w:t>达标</w:t>
                  </w:r>
                </w:p>
              </w:tc>
              <w:tc>
                <w:tcPr>
                  <w:tcW w:w="454" w:type="pct"/>
                  <w:vAlign w:val="center"/>
                </w:tcPr>
                <w:p w14:paraId="557AC24C">
                  <w:pPr>
                    <w:jc w:val="center"/>
                    <w:rPr>
                      <w:szCs w:val="21"/>
                    </w:rPr>
                  </w:pPr>
                  <w:r>
                    <w:rPr>
                      <w:szCs w:val="21"/>
                    </w:rPr>
                    <w:t>达标</w:t>
                  </w:r>
                </w:p>
              </w:tc>
            </w:tr>
          </w:tbl>
          <w:p w14:paraId="44F0CFCE">
            <w:pPr>
              <w:pStyle w:val="8"/>
              <w:spacing w:before="0" w:after="0" w:line="360" w:lineRule="auto"/>
              <w:ind w:right="0" w:firstLine="480" w:firstLineChars="200"/>
              <w:rPr>
                <w:sz w:val="24"/>
                <w:szCs w:val="24"/>
              </w:rPr>
            </w:pPr>
            <w:r>
              <w:rPr>
                <w:rFonts w:hint="eastAsia"/>
                <w:sz w:val="24"/>
                <w:szCs w:val="24"/>
              </w:rPr>
              <w:t>根据声环境质量现状监测结果，本项目现状监测值均满足《声环境质量标准》中的2类标准。</w:t>
            </w:r>
          </w:p>
          <w:p w14:paraId="6560EA8D">
            <w:pPr>
              <w:pStyle w:val="8"/>
              <w:spacing w:before="0" w:after="0" w:line="360" w:lineRule="auto"/>
              <w:ind w:right="0" w:firstLine="480" w:firstLineChars="200"/>
              <w:rPr>
                <w:sz w:val="24"/>
                <w:szCs w:val="24"/>
              </w:rPr>
            </w:pPr>
            <w:r>
              <w:rPr>
                <w:rFonts w:hint="eastAsia"/>
                <w:sz w:val="24"/>
                <w:szCs w:val="24"/>
              </w:rPr>
              <w:t>因此，本项目沿线声环境现状很好</w:t>
            </w:r>
            <w:r>
              <w:rPr>
                <w:sz w:val="24"/>
                <w:szCs w:val="24"/>
              </w:rPr>
              <w:t>。声环境评价详见噪声专题。</w:t>
            </w:r>
          </w:p>
          <w:p w14:paraId="5212FF75">
            <w:pPr>
              <w:pStyle w:val="8"/>
              <w:spacing w:before="0" w:after="0" w:line="360" w:lineRule="auto"/>
              <w:ind w:right="0" w:firstLine="480" w:firstLineChars="200"/>
              <w:rPr>
                <w:sz w:val="24"/>
                <w:szCs w:val="24"/>
              </w:rPr>
            </w:pPr>
            <w:r>
              <w:rPr>
                <w:rFonts w:hint="eastAsia"/>
                <w:sz w:val="24"/>
                <w:szCs w:val="24"/>
              </w:rPr>
              <w:t xml:space="preserve">4、水环境质量现状 </w:t>
            </w:r>
          </w:p>
          <w:p w14:paraId="3DDF1C59">
            <w:pPr>
              <w:pStyle w:val="8"/>
              <w:spacing w:before="0" w:after="0" w:line="360" w:lineRule="auto"/>
              <w:ind w:right="0" w:firstLine="480" w:firstLineChars="200"/>
            </w:pPr>
            <w:r>
              <w:rPr>
                <w:rFonts w:hint="eastAsia"/>
                <w:sz w:val="24"/>
                <w:szCs w:val="24"/>
              </w:rPr>
              <w:t>本次评价引用汉滨月河口国考监测断面进行评价，根据安康市生态环境局发布的“安康市河（湖）长制主要河流（湖库）2024年上半年水环境质量状况”，汉滨月河口国考断面2024年上半年水质现状达到《地表水环境质量标准》（GB3838-2002）Ⅱ类标准限值要求，说明区域水质现状良好。</w:t>
            </w:r>
          </w:p>
        </w:tc>
      </w:tr>
      <w:tr w14:paraId="68705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516" w:type="pct"/>
            <w:vAlign w:val="center"/>
          </w:tcPr>
          <w:p w14:paraId="03FAB368">
            <w:pPr>
              <w:adjustRightInd w:val="0"/>
              <w:snapToGrid w:val="0"/>
              <w:jc w:val="center"/>
              <w:rPr>
                <w:kern w:val="0"/>
                <w:szCs w:val="21"/>
              </w:rPr>
            </w:pPr>
            <w:r>
              <w:rPr>
                <w:kern w:val="0"/>
                <w:szCs w:val="21"/>
              </w:rPr>
              <w:t>与项目有关的原有环境污染和生态破坏问题</w:t>
            </w:r>
          </w:p>
        </w:tc>
        <w:tc>
          <w:tcPr>
            <w:tcW w:w="4484" w:type="pct"/>
            <w:vAlign w:val="center"/>
          </w:tcPr>
          <w:p w14:paraId="43C14491">
            <w:pPr>
              <w:jc w:val="center"/>
            </w:pPr>
            <w:r>
              <w:rPr>
                <w:rFonts w:hint="eastAsia"/>
              </w:rPr>
              <w:t>无</w:t>
            </w:r>
          </w:p>
        </w:tc>
      </w:tr>
      <w:tr w14:paraId="72141A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Align w:val="center"/>
          </w:tcPr>
          <w:p w14:paraId="3932C3C0">
            <w:pPr>
              <w:adjustRightInd w:val="0"/>
              <w:snapToGrid w:val="0"/>
              <w:jc w:val="center"/>
              <w:rPr>
                <w:kern w:val="0"/>
                <w:szCs w:val="21"/>
              </w:rPr>
            </w:pPr>
            <w:r>
              <w:rPr>
                <w:rFonts w:hint="eastAsia"/>
                <w:kern w:val="0"/>
                <w:szCs w:val="21"/>
              </w:rPr>
              <w:t>生态环境保护目标</w:t>
            </w:r>
          </w:p>
        </w:tc>
        <w:tc>
          <w:tcPr>
            <w:tcW w:w="4484" w:type="pct"/>
            <w:vAlign w:val="center"/>
          </w:tcPr>
          <w:p w14:paraId="6B8C7D41">
            <w:pPr>
              <w:pStyle w:val="8"/>
              <w:spacing w:before="0" w:after="0" w:line="360" w:lineRule="auto"/>
              <w:ind w:right="0" w:firstLine="480" w:firstLineChars="200"/>
              <w:rPr>
                <w:sz w:val="24"/>
                <w:szCs w:val="24"/>
              </w:rPr>
            </w:pPr>
            <w:r>
              <w:rPr>
                <w:sz w:val="24"/>
                <w:szCs w:val="24"/>
              </w:rPr>
              <w:t>1、生态环境保护目标</w:t>
            </w:r>
          </w:p>
          <w:p w14:paraId="07AE2505">
            <w:pPr>
              <w:pStyle w:val="8"/>
              <w:spacing w:before="0" w:after="0" w:line="360" w:lineRule="auto"/>
              <w:ind w:right="0" w:firstLine="480" w:firstLineChars="200"/>
              <w:rPr>
                <w:sz w:val="24"/>
                <w:szCs w:val="24"/>
              </w:rPr>
            </w:pPr>
            <w:r>
              <w:rPr>
                <w:sz w:val="24"/>
                <w:szCs w:val="24"/>
              </w:rPr>
              <w:t>项目所经地区处于</w:t>
            </w:r>
            <w:r>
              <w:rPr>
                <w:rFonts w:hint="eastAsia"/>
                <w:sz w:val="24"/>
                <w:szCs w:val="24"/>
              </w:rPr>
              <w:t>城市</w:t>
            </w:r>
            <w:r>
              <w:rPr>
                <w:sz w:val="24"/>
                <w:szCs w:val="24"/>
              </w:rPr>
              <w:t>规划区郊区，生态系统以农业生态系统为主，生态评价应重视的沿线</w:t>
            </w:r>
            <w:r>
              <w:rPr>
                <w:rFonts w:hint="eastAsia"/>
                <w:sz w:val="24"/>
                <w:szCs w:val="24"/>
              </w:rPr>
              <w:t>植物保护、</w:t>
            </w:r>
            <w:r>
              <w:rPr>
                <w:sz w:val="24"/>
                <w:szCs w:val="24"/>
              </w:rPr>
              <w:t>减少占地和水土流失等。项目沿线主要的生态保护目标见表</w:t>
            </w:r>
            <w:r>
              <w:rPr>
                <w:rFonts w:hint="eastAsia"/>
                <w:sz w:val="24"/>
                <w:szCs w:val="24"/>
              </w:rPr>
              <w:t>3-3</w:t>
            </w:r>
            <w:r>
              <w:rPr>
                <w:sz w:val="24"/>
                <w:szCs w:val="24"/>
              </w:rPr>
              <w:t>。</w:t>
            </w:r>
          </w:p>
          <w:p w14:paraId="3ECEF4C7">
            <w:pPr>
              <w:pStyle w:val="8"/>
              <w:spacing w:before="0" w:after="0" w:line="360" w:lineRule="auto"/>
              <w:ind w:right="0" w:firstLine="420" w:firstLineChars="200"/>
              <w:jc w:val="center"/>
              <w:rPr>
                <w:rFonts w:eastAsia="黑体"/>
                <w:sz w:val="21"/>
                <w:szCs w:val="21"/>
              </w:rPr>
            </w:pPr>
            <w:r>
              <w:rPr>
                <w:rFonts w:eastAsia="黑体"/>
                <w:sz w:val="21"/>
                <w:szCs w:val="21"/>
              </w:rPr>
              <w:t>表</w:t>
            </w:r>
            <w:r>
              <w:rPr>
                <w:rFonts w:hint="eastAsia" w:eastAsia="黑体"/>
                <w:sz w:val="21"/>
                <w:szCs w:val="21"/>
              </w:rPr>
              <w:t>3-3</w:t>
            </w:r>
            <w:r>
              <w:rPr>
                <w:rFonts w:eastAsia="黑体"/>
                <w:sz w:val="21"/>
                <w:szCs w:val="21"/>
              </w:rPr>
              <w:t xml:space="preserve">   生态环境保护目标</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2331"/>
              <w:gridCol w:w="1644"/>
              <w:gridCol w:w="2864"/>
            </w:tblGrid>
            <w:tr w14:paraId="6067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24914678">
                  <w:pPr>
                    <w:snapToGrid w:val="0"/>
                    <w:jc w:val="center"/>
                  </w:pPr>
                  <w:r>
                    <w:t>保护目标</w:t>
                  </w:r>
                </w:p>
              </w:tc>
              <w:tc>
                <w:tcPr>
                  <w:tcW w:w="2410" w:type="dxa"/>
                  <w:shd w:val="clear" w:color="auto" w:fill="auto"/>
                  <w:vAlign w:val="center"/>
                </w:tcPr>
                <w:p w14:paraId="74492AB4">
                  <w:pPr>
                    <w:snapToGrid w:val="0"/>
                    <w:jc w:val="center"/>
                  </w:pPr>
                  <w:r>
                    <w:t>保护内容</w:t>
                  </w:r>
                </w:p>
              </w:tc>
              <w:tc>
                <w:tcPr>
                  <w:tcW w:w="1701" w:type="dxa"/>
                  <w:shd w:val="clear" w:color="auto" w:fill="auto"/>
                  <w:vAlign w:val="center"/>
                </w:tcPr>
                <w:p w14:paraId="35F835AD">
                  <w:pPr>
                    <w:snapToGrid w:val="0"/>
                    <w:jc w:val="center"/>
                  </w:pPr>
                  <w:r>
                    <w:t>位置及相关关系</w:t>
                  </w:r>
                </w:p>
              </w:tc>
              <w:tc>
                <w:tcPr>
                  <w:tcW w:w="2968" w:type="dxa"/>
                  <w:shd w:val="clear" w:color="auto" w:fill="auto"/>
                  <w:vAlign w:val="center"/>
                </w:tcPr>
                <w:p w14:paraId="0E2FF21C">
                  <w:pPr>
                    <w:snapToGrid w:val="0"/>
                    <w:jc w:val="center"/>
                  </w:pPr>
                  <w:r>
                    <w:t>主要影响及时段</w:t>
                  </w:r>
                </w:p>
              </w:tc>
            </w:tr>
            <w:tr w14:paraId="4ACE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auto"/>
                  <w:vAlign w:val="center"/>
                </w:tcPr>
                <w:p w14:paraId="70100D49">
                  <w:pPr>
                    <w:snapToGrid w:val="0"/>
                    <w:jc w:val="center"/>
                  </w:pPr>
                  <w:r>
                    <w:t>沿线植被</w:t>
                  </w:r>
                </w:p>
              </w:tc>
              <w:tc>
                <w:tcPr>
                  <w:tcW w:w="2410" w:type="dxa"/>
                  <w:shd w:val="clear" w:color="auto" w:fill="auto"/>
                  <w:vAlign w:val="center"/>
                </w:tcPr>
                <w:p w14:paraId="32DA90C6">
                  <w:pPr>
                    <w:snapToGrid w:val="0"/>
                    <w:jc w:val="center"/>
                  </w:pPr>
                  <w:r>
                    <w:t>农业生产、植被覆盖率</w:t>
                  </w:r>
                </w:p>
              </w:tc>
              <w:tc>
                <w:tcPr>
                  <w:tcW w:w="1701" w:type="dxa"/>
                  <w:shd w:val="clear" w:color="auto" w:fill="auto"/>
                  <w:vAlign w:val="center"/>
                </w:tcPr>
                <w:p w14:paraId="05F0BB19">
                  <w:pPr>
                    <w:snapToGrid w:val="0"/>
                    <w:jc w:val="center"/>
                  </w:pPr>
                  <w:r>
                    <w:t>路线占用</w:t>
                  </w:r>
                </w:p>
              </w:tc>
              <w:tc>
                <w:tcPr>
                  <w:tcW w:w="2968" w:type="dxa"/>
                  <w:shd w:val="clear" w:color="auto" w:fill="auto"/>
                  <w:vAlign w:val="center"/>
                </w:tcPr>
                <w:p w14:paraId="7F466646">
                  <w:pPr>
                    <w:snapToGrid w:val="0"/>
                  </w:pPr>
                  <w:r>
                    <w:t>土地占用将造成植被的损失。影响时段为施工期。</w:t>
                  </w:r>
                </w:p>
              </w:tc>
            </w:tr>
          </w:tbl>
          <w:p w14:paraId="7222C856">
            <w:pPr>
              <w:pStyle w:val="8"/>
              <w:spacing w:before="0" w:after="0" w:line="360" w:lineRule="auto"/>
              <w:ind w:right="0" w:firstLine="480" w:firstLineChars="200"/>
              <w:rPr>
                <w:sz w:val="24"/>
                <w:szCs w:val="24"/>
              </w:rPr>
            </w:pPr>
            <w:r>
              <w:rPr>
                <w:sz w:val="24"/>
                <w:szCs w:val="24"/>
              </w:rPr>
              <w:t>3、声环境、环境空气保护目标</w:t>
            </w:r>
          </w:p>
          <w:p w14:paraId="3B6C780A">
            <w:pPr>
              <w:pStyle w:val="8"/>
              <w:spacing w:before="0" w:after="0" w:line="360" w:lineRule="auto"/>
              <w:ind w:right="0" w:firstLine="480" w:firstLineChars="200"/>
              <w:rPr>
                <w:sz w:val="24"/>
                <w:szCs w:val="24"/>
              </w:rPr>
            </w:pPr>
            <w:bookmarkStart w:id="3" w:name="_Hlk176713464"/>
            <w:bookmarkStart w:id="4" w:name="_Toc483322872"/>
            <w:r>
              <w:rPr>
                <w:rFonts w:hint="eastAsia"/>
                <w:sz w:val="24"/>
                <w:szCs w:val="24"/>
              </w:rPr>
              <w:t>根据现场调查，项目地</w:t>
            </w:r>
            <w:r>
              <w:rPr>
                <w:rFonts w:hint="eastAsia"/>
                <w:bCs/>
                <w:sz w:val="24"/>
              </w:rPr>
              <w:t>冯台村在安康高铁西站建设拆迁范围内</w:t>
            </w:r>
            <w:r>
              <w:rPr>
                <w:rFonts w:hint="eastAsia"/>
                <w:sz w:val="24"/>
                <w:szCs w:val="24"/>
              </w:rPr>
              <w:t>，现状该村庄正在进行拆除，已无人居住，</w:t>
            </w:r>
            <w:bookmarkEnd w:id="3"/>
            <w:r>
              <w:rPr>
                <w:rFonts w:hint="eastAsia"/>
                <w:sz w:val="24"/>
                <w:szCs w:val="24"/>
              </w:rPr>
              <w:t>拆除后项目评价范围内不涉及声环境保护目标，涉及大气</w:t>
            </w:r>
            <w:r>
              <w:rPr>
                <w:sz w:val="24"/>
                <w:szCs w:val="24"/>
              </w:rPr>
              <w:t>环境保护目标</w:t>
            </w:r>
            <w:bookmarkEnd w:id="4"/>
            <w:r>
              <w:rPr>
                <w:rFonts w:hint="eastAsia"/>
                <w:sz w:val="24"/>
                <w:szCs w:val="24"/>
              </w:rPr>
              <w:t>见表3-4。</w:t>
            </w:r>
          </w:p>
          <w:p w14:paraId="4B45E795">
            <w:pPr>
              <w:pStyle w:val="8"/>
              <w:spacing w:before="0" w:after="0" w:line="240" w:lineRule="auto"/>
              <w:ind w:right="0"/>
              <w:jc w:val="center"/>
              <w:rPr>
                <w:rFonts w:eastAsia="黑体"/>
                <w:sz w:val="21"/>
                <w:szCs w:val="21"/>
              </w:rPr>
            </w:pPr>
            <w:r>
              <w:rPr>
                <w:rFonts w:eastAsia="黑体"/>
                <w:sz w:val="21"/>
                <w:szCs w:val="21"/>
              </w:rPr>
              <w:t>表3-4   声、大气环境保护目标</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443"/>
              <w:gridCol w:w="719"/>
              <w:gridCol w:w="1011"/>
              <w:gridCol w:w="1153"/>
              <w:gridCol w:w="2744"/>
            </w:tblGrid>
            <w:tr w14:paraId="61D1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6" w:type="pct"/>
                  <w:vAlign w:val="center"/>
                </w:tcPr>
                <w:p w14:paraId="6FE7626E">
                  <w:pPr>
                    <w:snapToGrid w:val="0"/>
                    <w:jc w:val="center"/>
                    <w:rPr>
                      <w:szCs w:val="21"/>
                    </w:rPr>
                  </w:pPr>
                  <w:r>
                    <w:rPr>
                      <w:szCs w:val="21"/>
                    </w:rPr>
                    <w:t>保护</w:t>
                  </w:r>
                </w:p>
                <w:p w14:paraId="1AB801A3">
                  <w:pPr>
                    <w:snapToGrid w:val="0"/>
                    <w:jc w:val="center"/>
                    <w:rPr>
                      <w:szCs w:val="21"/>
                    </w:rPr>
                  </w:pPr>
                  <w:r>
                    <w:rPr>
                      <w:szCs w:val="21"/>
                    </w:rPr>
                    <w:t>对象</w:t>
                  </w:r>
                </w:p>
              </w:tc>
              <w:tc>
                <w:tcPr>
                  <w:tcW w:w="891" w:type="pct"/>
                  <w:vAlign w:val="center"/>
                </w:tcPr>
                <w:p w14:paraId="20237E71">
                  <w:pPr>
                    <w:snapToGrid w:val="0"/>
                    <w:jc w:val="center"/>
                    <w:rPr>
                      <w:szCs w:val="21"/>
                    </w:rPr>
                  </w:pPr>
                  <w:r>
                    <w:rPr>
                      <w:szCs w:val="21"/>
                    </w:rPr>
                    <w:t>主要敏感点</w:t>
                  </w:r>
                </w:p>
              </w:tc>
              <w:tc>
                <w:tcPr>
                  <w:tcW w:w="444" w:type="pct"/>
                  <w:vAlign w:val="center"/>
                </w:tcPr>
                <w:p w14:paraId="0CB67FAF">
                  <w:pPr>
                    <w:snapToGrid w:val="0"/>
                    <w:jc w:val="center"/>
                    <w:rPr>
                      <w:szCs w:val="21"/>
                    </w:rPr>
                  </w:pPr>
                  <w:r>
                    <w:rPr>
                      <w:szCs w:val="21"/>
                    </w:rPr>
                    <w:t>方位</w:t>
                  </w:r>
                </w:p>
              </w:tc>
              <w:tc>
                <w:tcPr>
                  <w:tcW w:w="624" w:type="pct"/>
                  <w:vAlign w:val="center"/>
                </w:tcPr>
                <w:p w14:paraId="504D0CC1">
                  <w:pPr>
                    <w:snapToGrid w:val="0"/>
                    <w:jc w:val="center"/>
                    <w:rPr>
                      <w:szCs w:val="21"/>
                    </w:rPr>
                  </w:pPr>
                  <w:r>
                    <w:rPr>
                      <w:rFonts w:hint="eastAsia"/>
                      <w:szCs w:val="21"/>
                    </w:rPr>
                    <w:t>相对</w:t>
                  </w:r>
                  <w:r>
                    <w:rPr>
                      <w:szCs w:val="21"/>
                    </w:rPr>
                    <w:t>距离m</w:t>
                  </w:r>
                </w:p>
              </w:tc>
              <w:tc>
                <w:tcPr>
                  <w:tcW w:w="712" w:type="pct"/>
                  <w:vAlign w:val="center"/>
                </w:tcPr>
                <w:p w14:paraId="36EF1A16">
                  <w:pPr>
                    <w:snapToGrid w:val="0"/>
                    <w:jc w:val="center"/>
                    <w:rPr>
                      <w:szCs w:val="21"/>
                    </w:rPr>
                  </w:pPr>
                  <w:r>
                    <w:rPr>
                      <w:rFonts w:hint="eastAsia"/>
                      <w:szCs w:val="21"/>
                    </w:rPr>
                    <w:t>规模</w:t>
                  </w:r>
                </w:p>
              </w:tc>
              <w:tc>
                <w:tcPr>
                  <w:tcW w:w="1693" w:type="pct"/>
                  <w:vAlign w:val="center"/>
                </w:tcPr>
                <w:p w14:paraId="0DC88CE5">
                  <w:pPr>
                    <w:snapToGrid w:val="0"/>
                    <w:jc w:val="center"/>
                    <w:rPr>
                      <w:szCs w:val="21"/>
                    </w:rPr>
                  </w:pPr>
                  <w:r>
                    <w:rPr>
                      <w:szCs w:val="21"/>
                    </w:rPr>
                    <w:t>保护级别</w:t>
                  </w:r>
                </w:p>
              </w:tc>
            </w:tr>
            <w:tr w14:paraId="510C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36" w:type="pct"/>
                  <w:vAlign w:val="center"/>
                </w:tcPr>
                <w:p w14:paraId="10BFDD29">
                  <w:pPr>
                    <w:snapToGrid w:val="0"/>
                    <w:jc w:val="center"/>
                    <w:rPr>
                      <w:szCs w:val="21"/>
                    </w:rPr>
                  </w:pPr>
                  <w:r>
                    <w:rPr>
                      <w:rFonts w:hint="eastAsia"/>
                      <w:szCs w:val="21"/>
                    </w:rPr>
                    <w:t>大气环境</w:t>
                  </w:r>
                </w:p>
              </w:tc>
              <w:tc>
                <w:tcPr>
                  <w:tcW w:w="891" w:type="pct"/>
                  <w:vAlign w:val="center"/>
                </w:tcPr>
                <w:p w14:paraId="2B9422B8">
                  <w:pPr>
                    <w:snapToGrid w:val="0"/>
                    <w:jc w:val="center"/>
                    <w:rPr>
                      <w:szCs w:val="21"/>
                    </w:rPr>
                  </w:pPr>
                  <w:r>
                    <w:rPr>
                      <w:rFonts w:hint="eastAsia"/>
                      <w:szCs w:val="21"/>
                    </w:rPr>
                    <w:t>二档村</w:t>
                  </w:r>
                </w:p>
              </w:tc>
              <w:tc>
                <w:tcPr>
                  <w:tcW w:w="444" w:type="pct"/>
                  <w:vAlign w:val="center"/>
                </w:tcPr>
                <w:p w14:paraId="6D04C8DA">
                  <w:pPr>
                    <w:snapToGrid w:val="0"/>
                    <w:jc w:val="center"/>
                    <w:rPr>
                      <w:szCs w:val="21"/>
                    </w:rPr>
                  </w:pPr>
                  <w:r>
                    <w:rPr>
                      <w:szCs w:val="21"/>
                    </w:rPr>
                    <w:t>S</w:t>
                  </w:r>
                </w:p>
              </w:tc>
              <w:tc>
                <w:tcPr>
                  <w:tcW w:w="624" w:type="pct"/>
                  <w:vAlign w:val="center"/>
                </w:tcPr>
                <w:p w14:paraId="6B9A557E">
                  <w:pPr>
                    <w:snapToGrid w:val="0"/>
                    <w:jc w:val="center"/>
                    <w:rPr>
                      <w:szCs w:val="21"/>
                    </w:rPr>
                  </w:pPr>
                  <w:r>
                    <w:rPr>
                      <w:rFonts w:hint="eastAsia"/>
                      <w:szCs w:val="21"/>
                    </w:rPr>
                    <w:t>2</w:t>
                  </w:r>
                  <w:r>
                    <w:rPr>
                      <w:szCs w:val="21"/>
                    </w:rPr>
                    <w:t>60</w:t>
                  </w:r>
                </w:p>
              </w:tc>
              <w:tc>
                <w:tcPr>
                  <w:tcW w:w="712" w:type="pct"/>
                  <w:vAlign w:val="center"/>
                </w:tcPr>
                <w:p w14:paraId="1ACEBE2F">
                  <w:pPr>
                    <w:snapToGrid w:val="0"/>
                    <w:jc w:val="center"/>
                    <w:rPr>
                      <w:szCs w:val="21"/>
                    </w:rPr>
                  </w:pPr>
                  <w:r>
                    <w:rPr>
                      <w:rFonts w:hint="eastAsia"/>
                      <w:szCs w:val="21"/>
                    </w:rPr>
                    <w:t>约</w:t>
                  </w:r>
                  <w:r>
                    <w:rPr>
                      <w:szCs w:val="21"/>
                    </w:rPr>
                    <w:t>200</w:t>
                  </w:r>
                  <w:r>
                    <w:rPr>
                      <w:rFonts w:hint="eastAsia"/>
                      <w:szCs w:val="21"/>
                    </w:rPr>
                    <w:t>人</w:t>
                  </w:r>
                </w:p>
              </w:tc>
              <w:tc>
                <w:tcPr>
                  <w:tcW w:w="1693" w:type="pct"/>
                  <w:vAlign w:val="center"/>
                </w:tcPr>
                <w:p w14:paraId="0862CAD9">
                  <w:pPr>
                    <w:snapToGrid w:val="0"/>
                    <w:jc w:val="center"/>
                    <w:rPr>
                      <w:szCs w:val="21"/>
                    </w:rPr>
                  </w:pPr>
                  <w:r>
                    <w:rPr>
                      <w:rFonts w:hint="eastAsia"/>
                      <w:szCs w:val="21"/>
                    </w:rPr>
                    <w:t>《环境空气质量标准》（GB3095-2012）二级标准</w:t>
                  </w:r>
                </w:p>
              </w:tc>
            </w:tr>
          </w:tbl>
          <w:p w14:paraId="513179A2">
            <w:pPr>
              <w:pStyle w:val="8"/>
              <w:spacing w:before="0" w:after="0" w:line="360" w:lineRule="auto"/>
              <w:ind w:right="0" w:firstLine="480" w:firstLineChars="200"/>
              <w:rPr>
                <w:sz w:val="24"/>
                <w:szCs w:val="24"/>
              </w:rPr>
            </w:pPr>
          </w:p>
        </w:tc>
      </w:tr>
      <w:tr w14:paraId="38364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8" w:hRule="atLeast"/>
          <w:jc w:val="center"/>
        </w:trPr>
        <w:tc>
          <w:tcPr>
            <w:tcW w:w="516" w:type="pct"/>
            <w:vAlign w:val="center"/>
          </w:tcPr>
          <w:p w14:paraId="084BD092">
            <w:pPr>
              <w:adjustRightInd w:val="0"/>
              <w:snapToGrid w:val="0"/>
              <w:jc w:val="center"/>
              <w:rPr>
                <w:kern w:val="0"/>
              </w:rPr>
            </w:pPr>
            <w:r>
              <w:rPr>
                <w:kern w:val="0"/>
              </w:rPr>
              <w:t>评价</w:t>
            </w:r>
          </w:p>
          <w:p w14:paraId="5F8D24D0">
            <w:pPr>
              <w:adjustRightInd w:val="0"/>
              <w:snapToGrid w:val="0"/>
              <w:jc w:val="center"/>
              <w:rPr>
                <w:kern w:val="0"/>
              </w:rPr>
            </w:pPr>
            <w:r>
              <w:rPr>
                <w:kern w:val="0"/>
              </w:rPr>
              <w:t>标准</w:t>
            </w:r>
          </w:p>
        </w:tc>
        <w:tc>
          <w:tcPr>
            <w:tcW w:w="4484" w:type="pct"/>
            <w:vAlign w:val="center"/>
          </w:tcPr>
          <w:p w14:paraId="44CA2D1C">
            <w:pPr>
              <w:rPr>
                <w:b/>
                <w:bCs/>
                <w:sz w:val="24"/>
              </w:rPr>
            </w:pPr>
            <w:r>
              <w:rPr>
                <w:b/>
                <w:bCs/>
                <w:sz w:val="24"/>
              </w:rPr>
              <w:t>环境质量标准：</w:t>
            </w:r>
          </w:p>
          <w:p w14:paraId="1B315414">
            <w:pPr>
              <w:adjustRightInd w:val="0"/>
              <w:snapToGrid w:val="0"/>
              <w:spacing w:line="360" w:lineRule="auto"/>
              <w:ind w:firstLine="480" w:firstLineChars="200"/>
              <w:rPr>
                <w:bCs/>
                <w:sz w:val="24"/>
              </w:rPr>
            </w:pPr>
            <w:r>
              <w:rPr>
                <w:bCs/>
                <w:sz w:val="24"/>
              </w:rPr>
              <w:t>1、环境空气</w:t>
            </w:r>
          </w:p>
          <w:p w14:paraId="4E7352FD">
            <w:pPr>
              <w:adjustRightInd w:val="0"/>
              <w:snapToGrid w:val="0"/>
              <w:spacing w:line="360" w:lineRule="auto"/>
              <w:ind w:firstLine="480" w:firstLineChars="200"/>
              <w:rPr>
                <w:sz w:val="24"/>
              </w:rPr>
            </w:pPr>
            <w:r>
              <w:rPr>
                <w:sz w:val="24"/>
              </w:rPr>
              <w:t>SO</w:t>
            </w:r>
            <w:r>
              <w:rPr>
                <w:sz w:val="24"/>
                <w:vertAlign w:val="subscript"/>
              </w:rPr>
              <w:t>2</w:t>
            </w:r>
            <w:r>
              <w:rPr>
                <w:sz w:val="24"/>
              </w:rPr>
              <w:t>、NO</w:t>
            </w:r>
            <w:r>
              <w:rPr>
                <w:sz w:val="24"/>
                <w:vertAlign w:val="subscript"/>
              </w:rPr>
              <w:t>2</w:t>
            </w:r>
            <w:r>
              <w:rPr>
                <w:sz w:val="24"/>
              </w:rPr>
              <w:t>、CO、O</w:t>
            </w:r>
            <w:r>
              <w:rPr>
                <w:sz w:val="24"/>
                <w:vertAlign w:val="subscript"/>
              </w:rPr>
              <w:t>3</w:t>
            </w:r>
            <w:r>
              <w:rPr>
                <w:sz w:val="24"/>
              </w:rPr>
              <w:t>、PM</w:t>
            </w:r>
            <w:r>
              <w:rPr>
                <w:sz w:val="24"/>
                <w:vertAlign w:val="subscript"/>
              </w:rPr>
              <w:t>10</w:t>
            </w:r>
            <w:r>
              <w:rPr>
                <w:sz w:val="24"/>
              </w:rPr>
              <w:t>、PM</w:t>
            </w:r>
            <w:r>
              <w:rPr>
                <w:sz w:val="24"/>
                <w:vertAlign w:val="subscript"/>
              </w:rPr>
              <w:t>2.5</w:t>
            </w:r>
            <w:r>
              <w:rPr>
                <w:sz w:val="24"/>
              </w:rPr>
              <w:t>执行《环境空气质量标准》（GB3095-2012）中二级标准，具体见表</w:t>
            </w:r>
            <w:r>
              <w:rPr>
                <w:rFonts w:hint="eastAsia"/>
                <w:sz w:val="24"/>
              </w:rPr>
              <w:t>3-5</w:t>
            </w:r>
            <w:r>
              <w:rPr>
                <w:sz w:val="24"/>
              </w:rPr>
              <w:t>。</w:t>
            </w:r>
          </w:p>
          <w:p w14:paraId="394397F1">
            <w:pPr>
              <w:pStyle w:val="70"/>
              <w:spacing w:before="0" w:beforeLines="0"/>
            </w:pPr>
            <w:r>
              <w:t>表</w:t>
            </w:r>
            <w:r>
              <w:rPr>
                <w:rFonts w:hint="eastAsia"/>
              </w:rPr>
              <w:t>3-5</w:t>
            </w:r>
            <w:r>
              <w:t xml:space="preserve">   环境空气现状执行标准表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03"/>
              <w:gridCol w:w="1081"/>
              <w:gridCol w:w="1271"/>
              <w:gridCol w:w="2112"/>
              <w:gridCol w:w="1007"/>
              <w:gridCol w:w="829"/>
            </w:tblGrid>
            <w:tr w14:paraId="2BF8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restart"/>
                  <w:tcBorders>
                    <w:tl2br w:val="nil"/>
                    <w:tr2bl w:val="nil"/>
                  </w:tcBorders>
                  <w:vAlign w:val="center"/>
                </w:tcPr>
                <w:p w14:paraId="7128BED5">
                  <w:pPr>
                    <w:pStyle w:val="69"/>
                    <w:rPr>
                      <w:szCs w:val="21"/>
                    </w:rPr>
                  </w:pPr>
                  <w:r>
                    <w:rPr>
                      <w:szCs w:val="21"/>
                    </w:rPr>
                    <w:t>执行标准</w:t>
                  </w:r>
                </w:p>
              </w:tc>
              <w:tc>
                <w:tcPr>
                  <w:tcW w:w="667" w:type="pct"/>
                  <w:vMerge w:val="restart"/>
                  <w:tcBorders>
                    <w:tl2br w:val="nil"/>
                    <w:tr2bl w:val="nil"/>
                  </w:tcBorders>
                  <w:vAlign w:val="center"/>
                </w:tcPr>
                <w:p w14:paraId="432DD9C1">
                  <w:pPr>
                    <w:pStyle w:val="69"/>
                    <w:rPr>
                      <w:szCs w:val="21"/>
                    </w:rPr>
                  </w:pPr>
                  <w:r>
                    <w:rPr>
                      <w:szCs w:val="21"/>
                    </w:rPr>
                    <w:t>污染物</w:t>
                  </w:r>
                </w:p>
              </w:tc>
              <w:tc>
                <w:tcPr>
                  <w:tcW w:w="3219" w:type="pct"/>
                  <w:gridSpan w:val="4"/>
                  <w:tcBorders>
                    <w:tl2br w:val="nil"/>
                    <w:tr2bl w:val="nil"/>
                  </w:tcBorders>
                  <w:vAlign w:val="center"/>
                </w:tcPr>
                <w:p w14:paraId="51079C00">
                  <w:pPr>
                    <w:pStyle w:val="69"/>
                    <w:rPr>
                      <w:szCs w:val="21"/>
                    </w:rPr>
                  </w:pPr>
                  <w:r>
                    <w:rPr>
                      <w:szCs w:val="21"/>
                    </w:rPr>
                    <w:t>标准限值</w:t>
                  </w:r>
                </w:p>
              </w:tc>
            </w:tr>
            <w:tr w14:paraId="7848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7A1924EB">
                  <w:pPr>
                    <w:pStyle w:val="69"/>
                    <w:rPr>
                      <w:szCs w:val="21"/>
                    </w:rPr>
                  </w:pPr>
                </w:p>
              </w:tc>
              <w:tc>
                <w:tcPr>
                  <w:tcW w:w="667" w:type="pct"/>
                  <w:vMerge w:val="continue"/>
                  <w:tcBorders>
                    <w:tl2br w:val="nil"/>
                    <w:tr2bl w:val="nil"/>
                  </w:tcBorders>
                  <w:vAlign w:val="center"/>
                </w:tcPr>
                <w:p w14:paraId="31AA4535">
                  <w:pPr>
                    <w:pStyle w:val="69"/>
                    <w:rPr>
                      <w:szCs w:val="21"/>
                    </w:rPr>
                  </w:pPr>
                </w:p>
              </w:tc>
              <w:tc>
                <w:tcPr>
                  <w:tcW w:w="784" w:type="pct"/>
                  <w:tcBorders>
                    <w:tl2br w:val="nil"/>
                    <w:tr2bl w:val="nil"/>
                  </w:tcBorders>
                  <w:vAlign w:val="center"/>
                </w:tcPr>
                <w:p w14:paraId="6C2DC337">
                  <w:pPr>
                    <w:pStyle w:val="69"/>
                    <w:rPr>
                      <w:szCs w:val="21"/>
                    </w:rPr>
                  </w:pPr>
                  <w:r>
                    <w:rPr>
                      <w:szCs w:val="21"/>
                    </w:rPr>
                    <w:t>1小时平均</w:t>
                  </w:r>
                </w:p>
              </w:tc>
              <w:tc>
                <w:tcPr>
                  <w:tcW w:w="1303" w:type="pct"/>
                  <w:tcBorders>
                    <w:tl2br w:val="nil"/>
                    <w:tr2bl w:val="nil"/>
                  </w:tcBorders>
                  <w:vAlign w:val="center"/>
                </w:tcPr>
                <w:p w14:paraId="32A70154">
                  <w:pPr>
                    <w:pStyle w:val="69"/>
                    <w:rPr>
                      <w:szCs w:val="21"/>
                    </w:rPr>
                  </w:pPr>
                  <w:r>
                    <w:rPr>
                      <w:szCs w:val="21"/>
                    </w:rPr>
                    <w:t>24小时平均</w:t>
                  </w:r>
                </w:p>
              </w:tc>
              <w:tc>
                <w:tcPr>
                  <w:tcW w:w="621" w:type="pct"/>
                  <w:tcBorders>
                    <w:tl2br w:val="nil"/>
                    <w:tr2bl w:val="nil"/>
                  </w:tcBorders>
                  <w:vAlign w:val="center"/>
                </w:tcPr>
                <w:p w14:paraId="4BEAC02B">
                  <w:pPr>
                    <w:pStyle w:val="69"/>
                    <w:rPr>
                      <w:szCs w:val="21"/>
                    </w:rPr>
                  </w:pPr>
                  <w:r>
                    <w:rPr>
                      <w:szCs w:val="21"/>
                    </w:rPr>
                    <w:t>年平均</w:t>
                  </w:r>
                </w:p>
              </w:tc>
              <w:tc>
                <w:tcPr>
                  <w:tcW w:w="509" w:type="pct"/>
                  <w:tcBorders>
                    <w:tl2br w:val="nil"/>
                    <w:tr2bl w:val="nil"/>
                  </w:tcBorders>
                  <w:vAlign w:val="center"/>
                </w:tcPr>
                <w:p w14:paraId="07DB047F">
                  <w:pPr>
                    <w:pStyle w:val="69"/>
                    <w:rPr>
                      <w:szCs w:val="21"/>
                    </w:rPr>
                  </w:pPr>
                  <w:r>
                    <w:rPr>
                      <w:szCs w:val="21"/>
                    </w:rPr>
                    <w:t>单位</w:t>
                  </w:r>
                </w:p>
              </w:tc>
            </w:tr>
            <w:tr w14:paraId="0B08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restart"/>
                  <w:tcBorders>
                    <w:tl2br w:val="nil"/>
                    <w:tr2bl w:val="nil"/>
                  </w:tcBorders>
                  <w:vAlign w:val="center"/>
                </w:tcPr>
                <w:p w14:paraId="03BC32B2">
                  <w:pPr>
                    <w:pStyle w:val="69"/>
                    <w:rPr>
                      <w:szCs w:val="21"/>
                    </w:rPr>
                  </w:pPr>
                  <w:r>
                    <w:rPr>
                      <w:szCs w:val="21"/>
                    </w:rPr>
                    <w:t>《环境空气质量标准》（GB3095-2012）中二级标准</w:t>
                  </w:r>
                </w:p>
              </w:tc>
              <w:tc>
                <w:tcPr>
                  <w:tcW w:w="667" w:type="pct"/>
                  <w:tcBorders>
                    <w:tl2br w:val="nil"/>
                    <w:tr2bl w:val="nil"/>
                  </w:tcBorders>
                  <w:vAlign w:val="center"/>
                </w:tcPr>
                <w:p w14:paraId="65F1820C">
                  <w:pPr>
                    <w:pStyle w:val="69"/>
                    <w:rPr>
                      <w:szCs w:val="21"/>
                    </w:rPr>
                  </w:pPr>
                  <w:r>
                    <w:rPr>
                      <w:szCs w:val="21"/>
                    </w:rPr>
                    <w:t>SO</w:t>
                  </w:r>
                  <w:r>
                    <w:rPr>
                      <w:szCs w:val="21"/>
                      <w:vertAlign w:val="subscript"/>
                    </w:rPr>
                    <w:t>2</w:t>
                  </w:r>
                </w:p>
              </w:tc>
              <w:tc>
                <w:tcPr>
                  <w:tcW w:w="784" w:type="pct"/>
                  <w:tcBorders>
                    <w:tl2br w:val="nil"/>
                    <w:tr2bl w:val="nil"/>
                  </w:tcBorders>
                  <w:vAlign w:val="center"/>
                </w:tcPr>
                <w:p w14:paraId="7D16E6B7">
                  <w:pPr>
                    <w:pStyle w:val="69"/>
                    <w:rPr>
                      <w:szCs w:val="21"/>
                    </w:rPr>
                  </w:pPr>
                  <w:r>
                    <w:rPr>
                      <w:szCs w:val="21"/>
                    </w:rPr>
                    <w:t>500</w:t>
                  </w:r>
                </w:p>
              </w:tc>
              <w:tc>
                <w:tcPr>
                  <w:tcW w:w="1303" w:type="pct"/>
                  <w:tcBorders>
                    <w:tl2br w:val="nil"/>
                    <w:tr2bl w:val="nil"/>
                  </w:tcBorders>
                  <w:vAlign w:val="center"/>
                </w:tcPr>
                <w:p w14:paraId="729DEAF2">
                  <w:pPr>
                    <w:pStyle w:val="69"/>
                    <w:rPr>
                      <w:szCs w:val="21"/>
                    </w:rPr>
                  </w:pPr>
                  <w:r>
                    <w:rPr>
                      <w:szCs w:val="21"/>
                    </w:rPr>
                    <w:t>150</w:t>
                  </w:r>
                </w:p>
              </w:tc>
              <w:tc>
                <w:tcPr>
                  <w:tcW w:w="621" w:type="pct"/>
                  <w:tcBorders>
                    <w:tl2br w:val="nil"/>
                    <w:tr2bl w:val="nil"/>
                  </w:tcBorders>
                  <w:vAlign w:val="center"/>
                </w:tcPr>
                <w:p w14:paraId="2F4B387B">
                  <w:pPr>
                    <w:pStyle w:val="69"/>
                    <w:rPr>
                      <w:szCs w:val="21"/>
                    </w:rPr>
                  </w:pPr>
                  <w:r>
                    <w:rPr>
                      <w:szCs w:val="21"/>
                    </w:rPr>
                    <w:t>60</w:t>
                  </w:r>
                </w:p>
              </w:tc>
              <w:tc>
                <w:tcPr>
                  <w:tcW w:w="509" w:type="pct"/>
                  <w:vMerge w:val="restart"/>
                  <w:tcBorders>
                    <w:tl2br w:val="nil"/>
                    <w:tr2bl w:val="nil"/>
                  </w:tcBorders>
                  <w:vAlign w:val="center"/>
                </w:tcPr>
                <w:p w14:paraId="73C2962E">
                  <w:pPr>
                    <w:pStyle w:val="69"/>
                    <w:rPr>
                      <w:szCs w:val="21"/>
                    </w:rPr>
                  </w:pPr>
                  <w:r>
                    <w:rPr>
                      <w:szCs w:val="21"/>
                    </w:rPr>
                    <w:t>μg/m</w:t>
                  </w:r>
                  <w:r>
                    <w:rPr>
                      <w:szCs w:val="21"/>
                      <w:vertAlign w:val="superscript"/>
                    </w:rPr>
                    <w:t>3</w:t>
                  </w:r>
                </w:p>
              </w:tc>
            </w:tr>
            <w:tr w14:paraId="5CB1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5A2C6F2C">
                  <w:pPr>
                    <w:pStyle w:val="69"/>
                    <w:rPr>
                      <w:szCs w:val="21"/>
                    </w:rPr>
                  </w:pPr>
                </w:p>
              </w:tc>
              <w:tc>
                <w:tcPr>
                  <w:tcW w:w="667" w:type="pct"/>
                  <w:tcBorders>
                    <w:tl2br w:val="nil"/>
                    <w:tr2bl w:val="nil"/>
                  </w:tcBorders>
                  <w:vAlign w:val="center"/>
                </w:tcPr>
                <w:p w14:paraId="75B1D23C">
                  <w:pPr>
                    <w:pStyle w:val="69"/>
                    <w:rPr>
                      <w:szCs w:val="21"/>
                    </w:rPr>
                  </w:pPr>
                  <w:r>
                    <w:rPr>
                      <w:szCs w:val="21"/>
                    </w:rPr>
                    <w:t>NO</w:t>
                  </w:r>
                  <w:r>
                    <w:rPr>
                      <w:szCs w:val="21"/>
                      <w:vertAlign w:val="subscript"/>
                    </w:rPr>
                    <w:t>2</w:t>
                  </w:r>
                </w:p>
              </w:tc>
              <w:tc>
                <w:tcPr>
                  <w:tcW w:w="784" w:type="pct"/>
                  <w:tcBorders>
                    <w:tl2br w:val="nil"/>
                    <w:tr2bl w:val="nil"/>
                  </w:tcBorders>
                  <w:vAlign w:val="center"/>
                </w:tcPr>
                <w:p w14:paraId="41DB2D2D">
                  <w:pPr>
                    <w:pStyle w:val="69"/>
                    <w:rPr>
                      <w:szCs w:val="21"/>
                    </w:rPr>
                  </w:pPr>
                  <w:r>
                    <w:rPr>
                      <w:szCs w:val="21"/>
                    </w:rPr>
                    <w:t>200</w:t>
                  </w:r>
                </w:p>
              </w:tc>
              <w:tc>
                <w:tcPr>
                  <w:tcW w:w="1303" w:type="pct"/>
                  <w:tcBorders>
                    <w:tl2br w:val="nil"/>
                    <w:tr2bl w:val="nil"/>
                  </w:tcBorders>
                  <w:vAlign w:val="center"/>
                </w:tcPr>
                <w:p w14:paraId="1060E80C">
                  <w:pPr>
                    <w:pStyle w:val="69"/>
                    <w:rPr>
                      <w:szCs w:val="21"/>
                    </w:rPr>
                  </w:pPr>
                  <w:r>
                    <w:rPr>
                      <w:szCs w:val="21"/>
                    </w:rPr>
                    <w:t>80</w:t>
                  </w:r>
                </w:p>
              </w:tc>
              <w:tc>
                <w:tcPr>
                  <w:tcW w:w="621" w:type="pct"/>
                  <w:tcBorders>
                    <w:tl2br w:val="nil"/>
                    <w:tr2bl w:val="nil"/>
                  </w:tcBorders>
                  <w:vAlign w:val="center"/>
                </w:tcPr>
                <w:p w14:paraId="70B2DFE2">
                  <w:pPr>
                    <w:pStyle w:val="69"/>
                    <w:rPr>
                      <w:szCs w:val="21"/>
                    </w:rPr>
                  </w:pPr>
                  <w:r>
                    <w:rPr>
                      <w:szCs w:val="21"/>
                    </w:rPr>
                    <w:t>40</w:t>
                  </w:r>
                </w:p>
              </w:tc>
              <w:tc>
                <w:tcPr>
                  <w:tcW w:w="509" w:type="pct"/>
                  <w:vMerge w:val="continue"/>
                  <w:tcBorders>
                    <w:tl2br w:val="nil"/>
                    <w:tr2bl w:val="nil"/>
                  </w:tcBorders>
                  <w:vAlign w:val="center"/>
                </w:tcPr>
                <w:p w14:paraId="1943E4E7">
                  <w:pPr>
                    <w:pStyle w:val="69"/>
                    <w:rPr>
                      <w:szCs w:val="21"/>
                    </w:rPr>
                  </w:pPr>
                </w:p>
              </w:tc>
            </w:tr>
            <w:tr w14:paraId="28B4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15DFC3BE">
                  <w:pPr>
                    <w:pStyle w:val="69"/>
                    <w:rPr>
                      <w:szCs w:val="21"/>
                    </w:rPr>
                  </w:pPr>
                </w:p>
              </w:tc>
              <w:tc>
                <w:tcPr>
                  <w:tcW w:w="667" w:type="pct"/>
                  <w:tcBorders>
                    <w:tl2br w:val="nil"/>
                    <w:tr2bl w:val="nil"/>
                  </w:tcBorders>
                  <w:vAlign w:val="center"/>
                </w:tcPr>
                <w:p w14:paraId="446505BF">
                  <w:pPr>
                    <w:pStyle w:val="69"/>
                    <w:rPr>
                      <w:szCs w:val="21"/>
                    </w:rPr>
                  </w:pPr>
                  <w:r>
                    <w:rPr>
                      <w:szCs w:val="21"/>
                    </w:rPr>
                    <w:t>CO</w:t>
                  </w:r>
                </w:p>
              </w:tc>
              <w:tc>
                <w:tcPr>
                  <w:tcW w:w="784" w:type="pct"/>
                  <w:tcBorders>
                    <w:tl2br w:val="nil"/>
                    <w:tr2bl w:val="nil"/>
                  </w:tcBorders>
                  <w:vAlign w:val="center"/>
                </w:tcPr>
                <w:p w14:paraId="729A534A">
                  <w:pPr>
                    <w:pStyle w:val="69"/>
                    <w:rPr>
                      <w:szCs w:val="21"/>
                    </w:rPr>
                  </w:pPr>
                  <w:r>
                    <w:rPr>
                      <w:szCs w:val="21"/>
                    </w:rPr>
                    <w:t>10</w:t>
                  </w:r>
                </w:p>
              </w:tc>
              <w:tc>
                <w:tcPr>
                  <w:tcW w:w="1303" w:type="pct"/>
                  <w:tcBorders>
                    <w:tl2br w:val="nil"/>
                    <w:tr2bl w:val="nil"/>
                  </w:tcBorders>
                  <w:vAlign w:val="center"/>
                </w:tcPr>
                <w:p w14:paraId="257A3518">
                  <w:pPr>
                    <w:pStyle w:val="69"/>
                    <w:rPr>
                      <w:szCs w:val="21"/>
                    </w:rPr>
                  </w:pPr>
                  <w:r>
                    <w:rPr>
                      <w:szCs w:val="21"/>
                    </w:rPr>
                    <w:t>4</w:t>
                  </w:r>
                </w:p>
              </w:tc>
              <w:tc>
                <w:tcPr>
                  <w:tcW w:w="621" w:type="pct"/>
                  <w:tcBorders>
                    <w:tl2br w:val="nil"/>
                    <w:tr2bl w:val="nil"/>
                  </w:tcBorders>
                  <w:vAlign w:val="center"/>
                </w:tcPr>
                <w:p w14:paraId="5C53B342">
                  <w:pPr>
                    <w:pStyle w:val="69"/>
                    <w:rPr>
                      <w:szCs w:val="21"/>
                    </w:rPr>
                  </w:pPr>
                  <w:r>
                    <w:rPr>
                      <w:szCs w:val="21"/>
                    </w:rPr>
                    <w:t>/</w:t>
                  </w:r>
                </w:p>
              </w:tc>
              <w:tc>
                <w:tcPr>
                  <w:tcW w:w="509" w:type="pct"/>
                  <w:tcBorders>
                    <w:tl2br w:val="nil"/>
                    <w:tr2bl w:val="nil"/>
                  </w:tcBorders>
                  <w:vAlign w:val="center"/>
                </w:tcPr>
                <w:p w14:paraId="1210C724">
                  <w:pPr>
                    <w:pStyle w:val="69"/>
                    <w:rPr>
                      <w:szCs w:val="21"/>
                    </w:rPr>
                  </w:pPr>
                  <w:r>
                    <w:rPr>
                      <w:szCs w:val="21"/>
                    </w:rPr>
                    <w:t>mg/m</w:t>
                  </w:r>
                  <w:r>
                    <w:rPr>
                      <w:szCs w:val="21"/>
                      <w:vertAlign w:val="superscript"/>
                    </w:rPr>
                    <w:t>3</w:t>
                  </w:r>
                </w:p>
              </w:tc>
            </w:tr>
            <w:tr w14:paraId="1F8F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2DC33495">
                  <w:pPr>
                    <w:pStyle w:val="69"/>
                    <w:rPr>
                      <w:szCs w:val="21"/>
                    </w:rPr>
                  </w:pPr>
                </w:p>
              </w:tc>
              <w:tc>
                <w:tcPr>
                  <w:tcW w:w="667" w:type="pct"/>
                  <w:tcBorders>
                    <w:tl2br w:val="nil"/>
                    <w:tr2bl w:val="nil"/>
                  </w:tcBorders>
                  <w:vAlign w:val="center"/>
                </w:tcPr>
                <w:p w14:paraId="34C511F8">
                  <w:pPr>
                    <w:pStyle w:val="69"/>
                    <w:rPr>
                      <w:szCs w:val="21"/>
                    </w:rPr>
                  </w:pPr>
                  <w:r>
                    <w:rPr>
                      <w:szCs w:val="21"/>
                    </w:rPr>
                    <w:t>O</w:t>
                  </w:r>
                  <w:r>
                    <w:rPr>
                      <w:szCs w:val="21"/>
                      <w:vertAlign w:val="subscript"/>
                    </w:rPr>
                    <w:t>3</w:t>
                  </w:r>
                </w:p>
              </w:tc>
              <w:tc>
                <w:tcPr>
                  <w:tcW w:w="784" w:type="pct"/>
                  <w:tcBorders>
                    <w:tl2br w:val="nil"/>
                    <w:tr2bl w:val="nil"/>
                  </w:tcBorders>
                  <w:vAlign w:val="center"/>
                </w:tcPr>
                <w:p w14:paraId="074F28C5">
                  <w:pPr>
                    <w:pStyle w:val="69"/>
                    <w:rPr>
                      <w:szCs w:val="21"/>
                    </w:rPr>
                  </w:pPr>
                  <w:r>
                    <w:rPr>
                      <w:szCs w:val="21"/>
                    </w:rPr>
                    <w:t>200</w:t>
                  </w:r>
                </w:p>
              </w:tc>
              <w:tc>
                <w:tcPr>
                  <w:tcW w:w="1303" w:type="pct"/>
                  <w:tcBorders>
                    <w:tl2br w:val="nil"/>
                    <w:tr2bl w:val="nil"/>
                  </w:tcBorders>
                  <w:vAlign w:val="center"/>
                </w:tcPr>
                <w:p w14:paraId="02DBC099">
                  <w:pPr>
                    <w:pStyle w:val="69"/>
                    <w:rPr>
                      <w:szCs w:val="21"/>
                    </w:rPr>
                  </w:pPr>
                  <w:r>
                    <w:rPr>
                      <w:szCs w:val="21"/>
                    </w:rPr>
                    <w:t>160（日最大8h平均）</w:t>
                  </w:r>
                </w:p>
              </w:tc>
              <w:tc>
                <w:tcPr>
                  <w:tcW w:w="621" w:type="pct"/>
                  <w:tcBorders>
                    <w:tl2br w:val="nil"/>
                    <w:tr2bl w:val="nil"/>
                  </w:tcBorders>
                  <w:vAlign w:val="center"/>
                </w:tcPr>
                <w:p w14:paraId="43785572">
                  <w:pPr>
                    <w:pStyle w:val="69"/>
                    <w:rPr>
                      <w:szCs w:val="21"/>
                    </w:rPr>
                  </w:pPr>
                  <w:r>
                    <w:rPr>
                      <w:szCs w:val="21"/>
                    </w:rPr>
                    <w:t>/</w:t>
                  </w:r>
                </w:p>
              </w:tc>
              <w:tc>
                <w:tcPr>
                  <w:tcW w:w="509" w:type="pct"/>
                  <w:vMerge w:val="restart"/>
                  <w:tcBorders>
                    <w:tl2br w:val="nil"/>
                    <w:tr2bl w:val="nil"/>
                  </w:tcBorders>
                  <w:vAlign w:val="center"/>
                </w:tcPr>
                <w:p w14:paraId="7A72C22A">
                  <w:pPr>
                    <w:pStyle w:val="69"/>
                    <w:rPr>
                      <w:szCs w:val="21"/>
                    </w:rPr>
                  </w:pPr>
                  <w:r>
                    <w:rPr>
                      <w:szCs w:val="21"/>
                    </w:rPr>
                    <w:t>μg/m</w:t>
                  </w:r>
                  <w:r>
                    <w:rPr>
                      <w:szCs w:val="21"/>
                      <w:vertAlign w:val="superscript"/>
                    </w:rPr>
                    <w:t>3</w:t>
                  </w:r>
                </w:p>
              </w:tc>
            </w:tr>
            <w:tr w14:paraId="3384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6AF5C1D5">
                  <w:pPr>
                    <w:pStyle w:val="69"/>
                    <w:rPr>
                      <w:szCs w:val="21"/>
                    </w:rPr>
                  </w:pPr>
                </w:p>
              </w:tc>
              <w:tc>
                <w:tcPr>
                  <w:tcW w:w="667" w:type="pct"/>
                  <w:tcBorders>
                    <w:tl2br w:val="nil"/>
                    <w:tr2bl w:val="nil"/>
                  </w:tcBorders>
                  <w:vAlign w:val="center"/>
                </w:tcPr>
                <w:p w14:paraId="711A0B0D">
                  <w:pPr>
                    <w:pStyle w:val="69"/>
                    <w:rPr>
                      <w:szCs w:val="21"/>
                    </w:rPr>
                  </w:pPr>
                  <w:r>
                    <w:rPr>
                      <w:szCs w:val="21"/>
                    </w:rPr>
                    <w:t>PM</w:t>
                  </w:r>
                  <w:r>
                    <w:rPr>
                      <w:szCs w:val="21"/>
                      <w:vertAlign w:val="subscript"/>
                    </w:rPr>
                    <w:t>10</w:t>
                  </w:r>
                </w:p>
              </w:tc>
              <w:tc>
                <w:tcPr>
                  <w:tcW w:w="784" w:type="pct"/>
                  <w:tcBorders>
                    <w:tl2br w:val="nil"/>
                    <w:tr2bl w:val="nil"/>
                  </w:tcBorders>
                  <w:vAlign w:val="center"/>
                </w:tcPr>
                <w:p w14:paraId="0F26E989">
                  <w:pPr>
                    <w:pStyle w:val="69"/>
                    <w:rPr>
                      <w:szCs w:val="21"/>
                    </w:rPr>
                  </w:pPr>
                  <w:r>
                    <w:rPr>
                      <w:szCs w:val="21"/>
                    </w:rPr>
                    <w:t>/</w:t>
                  </w:r>
                </w:p>
              </w:tc>
              <w:tc>
                <w:tcPr>
                  <w:tcW w:w="1303" w:type="pct"/>
                  <w:tcBorders>
                    <w:tl2br w:val="nil"/>
                    <w:tr2bl w:val="nil"/>
                  </w:tcBorders>
                  <w:vAlign w:val="center"/>
                </w:tcPr>
                <w:p w14:paraId="62D9F154">
                  <w:pPr>
                    <w:pStyle w:val="69"/>
                    <w:rPr>
                      <w:szCs w:val="21"/>
                    </w:rPr>
                  </w:pPr>
                  <w:r>
                    <w:rPr>
                      <w:szCs w:val="21"/>
                    </w:rPr>
                    <w:t>150</w:t>
                  </w:r>
                </w:p>
              </w:tc>
              <w:tc>
                <w:tcPr>
                  <w:tcW w:w="621" w:type="pct"/>
                  <w:tcBorders>
                    <w:tl2br w:val="nil"/>
                    <w:tr2bl w:val="nil"/>
                  </w:tcBorders>
                  <w:vAlign w:val="center"/>
                </w:tcPr>
                <w:p w14:paraId="5E0C0512">
                  <w:pPr>
                    <w:pStyle w:val="69"/>
                    <w:rPr>
                      <w:szCs w:val="21"/>
                    </w:rPr>
                  </w:pPr>
                  <w:r>
                    <w:rPr>
                      <w:szCs w:val="21"/>
                    </w:rPr>
                    <w:t>70</w:t>
                  </w:r>
                </w:p>
              </w:tc>
              <w:tc>
                <w:tcPr>
                  <w:tcW w:w="509" w:type="pct"/>
                  <w:vMerge w:val="continue"/>
                  <w:tcBorders>
                    <w:tl2br w:val="nil"/>
                    <w:tr2bl w:val="nil"/>
                  </w:tcBorders>
                  <w:vAlign w:val="center"/>
                </w:tcPr>
                <w:p w14:paraId="0E2B706A">
                  <w:pPr>
                    <w:pStyle w:val="69"/>
                    <w:rPr>
                      <w:szCs w:val="21"/>
                    </w:rPr>
                  </w:pPr>
                </w:p>
              </w:tc>
            </w:tr>
            <w:tr w14:paraId="5D41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12" w:type="pct"/>
                  <w:vMerge w:val="continue"/>
                  <w:tcBorders>
                    <w:tl2br w:val="nil"/>
                    <w:tr2bl w:val="nil"/>
                  </w:tcBorders>
                  <w:vAlign w:val="center"/>
                </w:tcPr>
                <w:p w14:paraId="740D8B42">
                  <w:pPr>
                    <w:pStyle w:val="69"/>
                    <w:rPr>
                      <w:szCs w:val="21"/>
                    </w:rPr>
                  </w:pPr>
                </w:p>
              </w:tc>
              <w:tc>
                <w:tcPr>
                  <w:tcW w:w="667" w:type="pct"/>
                  <w:tcBorders>
                    <w:tl2br w:val="nil"/>
                    <w:tr2bl w:val="nil"/>
                  </w:tcBorders>
                  <w:vAlign w:val="center"/>
                </w:tcPr>
                <w:p w14:paraId="46A469FF">
                  <w:pPr>
                    <w:pStyle w:val="69"/>
                    <w:rPr>
                      <w:szCs w:val="21"/>
                    </w:rPr>
                  </w:pPr>
                  <w:r>
                    <w:rPr>
                      <w:szCs w:val="21"/>
                    </w:rPr>
                    <w:t>PM</w:t>
                  </w:r>
                  <w:r>
                    <w:rPr>
                      <w:szCs w:val="21"/>
                      <w:vertAlign w:val="subscript"/>
                    </w:rPr>
                    <w:t>2.5</w:t>
                  </w:r>
                </w:p>
              </w:tc>
              <w:tc>
                <w:tcPr>
                  <w:tcW w:w="784" w:type="pct"/>
                  <w:tcBorders>
                    <w:tl2br w:val="nil"/>
                    <w:tr2bl w:val="nil"/>
                  </w:tcBorders>
                  <w:vAlign w:val="center"/>
                </w:tcPr>
                <w:p w14:paraId="2C8341C4">
                  <w:pPr>
                    <w:pStyle w:val="69"/>
                    <w:rPr>
                      <w:szCs w:val="21"/>
                    </w:rPr>
                  </w:pPr>
                  <w:r>
                    <w:rPr>
                      <w:szCs w:val="21"/>
                    </w:rPr>
                    <w:t>/</w:t>
                  </w:r>
                </w:p>
              </w:tc>
              <w:tc>
                <w:tcPr>
                  <w:tcW w:w="1303" w:type="pct"/>
                  <w:tcBorders>
                    <w:tl2br w:val="nil"/>
                    <w:tr2bl w:val="nil"/>
                  </w:tcBorders>
                  <w:vAlign w:val="center"/>
                </w:tcPr>
                <w:p w14:paraId="427EC5C8">
                  <w:pPr>
                    <w:pStyle w:val="69"/>
                    <w:rPr>
                      <w:szCs w:val="21"/>
                    </w:rPr>
                  </w:pPr>
                  <w:r>
                    <w:rPr>
                      <w:szCs w:val="21"/>
                    </w:rPr>
                    <w:t>75</w:t>
                  </w:r>
                </w:p>
              </w:tc>
              <w:tc>
                <w:tcPr>
                  <w:tcW w:w="621" w:type="pct"/>
                  <w:tcBorders>
                    <w:tl2br w:val="nil"/>
                    <w:tr2bl w:val="nil"/>
                  </w:tcBorders>
                  <w:vAlign w:val="center"/>
                </w:tcPr>
                <w:p w14:paraId="147671BC">
                  <w:pPr>
                    <w:pStyle w:val="69"/>
                    <w:rPr>
                      <w:szCs w:val="21"/>
                    </w:rPr>
                  </w:pPr>
                  <w:r>
                    <w:rPr>
                      <w:szCs w:val="21"/>
                    </w:rPr>
                    <w:t>35</w:t>
                  </w:r>
                </w:p>
              </w:tc>
              <w:tc>
                <w:tcPr>
                  <w:tcW w:w="509" w:type="pct"/>
                  <w:vMerge w:val="continue"/>
                  <w:tcBorders>
                    <w:tl2br w:val="nil"/>
                    <w:tr2bl w:val="nil"/>
                  </w:tcBorders>
                  <w:vAlign w:val="center"/>
                </w:tcPr>
                <w:p w14:paraId="1EF5F83D">
                  <w:pPr>
                    <w:pStyle w:val="69"/>
                    <w:rPr>
                      <w:szCs w:val="21"/>
                    </w:rPr>
                  </w:pPr>
                </w:p>
              </w:tc>
            </w:tr>
          </w:tbl>
          <w:p w14:paraId="2288EB9C">
            <w:pPr>
              <w:adjustRightInd w:val="0"/>
              <w:snapToGrid w:val="0"/>
              <w:spacing w:line="360" w:lineRule="auto"/>
              <w:ind w:firstLine="480" w:firstLineChars="200"/>
              <w:rPr>
                <w:bCs/>
                <w:sz w:val="24"/>
              </w:rPr>
            </w:pPr>
            <w:r>
              <w:rPr>
                <w:rFonts w:hint="eastAsia"/>
                <w:bCs/>
                <w:sz w:val="24"/>
              </w:rPr>
              <w:t>2</w:t>
            </w:r>
            <w:r>
              <w:rPr>
                <w:bCs/>
                <w:sz w:val="24"/>
              </w:rPr>
              <w:t>、声环境</w:t>
            </w:r>
          </w:p>
          <w:p w14:paraId="79C37A7D">
            <w:pPr>
              <w:adjustRightInd w:val="0"/>
              <w:snapToGrid w:val="0"/>
              <w:spacing w:line="360" w:lineRule="auto"/>
              <w:ind w:firstLine="480" w:firstLineChars="200"/>
              <w:rPr>
                <w:bCs/>
                <w:sz w:val="24"/>
              </w:rPr>
            </w:pPr>
            <w:r>
              <w:rPr>
                <w:bCs/>
                <w:sz w:val="24"/>
              </w:rPr>
              <w:t>根据《</w:t>
            </w:r>
            <w:r>
              <w:rPr>
                <w:rFonts w:hint="eastAsia"/>
                <w:bCs/>
                <w:sz w:val="24"/>
              </w:rPr>
              <w:t>安康市城市声环境功能区划分方案</w:t>
            </w:r>
            <w:r>
              <w:rPr>
                <w:bCs/>
                <w:sz w:val="24"/>
              </w:rPr>
              <w:t>》（</w:t>
            </w:r>
            <w:r>
              <w:rPr>
                <w:rFonts w:hint="eastAsia"/>
                <w:bCs/>
                <w:sz w:val="24"/>
              </w:rPr>
              <w:t>安政办发〔2020〕15号</w:t>
            </w:r>
            <w:r>
              <w:rPr>
                <w:bCs/>
                <w:sz w:val="24"/>
              </w:rPr>
              <w:t>）</w:t>
            </w:r>
            <w:r>
              <w:rPr>
                <w:rFonts w:hint="eastAsia"/>
                <w:bCs/>
                <w:sz w:val="24"/>
              </w:rPr>
              <w:t>，本项目所在区域属2类声环境功能区，</w:t>
            </w:r>
            <w:r>
              <w:rPr>
                <w:bCs/>
                <w:sz w:val="24"/>
              </w:rPr>
              <w:t>参照《声环境功能区划分技术规范》（GB/T 15190-2014）中相关要求执行，</w:t>
            </w:r>
            <w:r>
              <w:rPr>
                <w:rFonts w:hint="eastAsia"/>
                <w:bCs/>
                <w:sz w:val="24"/>
              </w:rPr>
              <w:t>交通干线</w:t>
            </w:r>
            <w:r>
              <w:rPr>
                <w:bCs/>
                <w:sz w:val="24"/>
              </w:rPr>
              <w:t>两侧区域，距</w:t>
            </w:r>
            <w:r>
              <w:rPr>
                <w:rFonts w:hint="eastAsia"/>
                <w:bCs/>
                <w:sz w:val="24"/>
              </w:rPr>
              <w:t>道路</w:t>
            </w:r>
            <w:r>
              <w:rPr>
                <w:bCs/>
                <w:sz w:val="24"/>
              </w:rPr>
              <w:t>红线</w:t>
            </w:r>
            <w:r>
              <w:rPr>
                <w:rFonts w:hint="eastAsia"/>
                <w:bCs/>
                <w:sz w:val="24"/>
              </w:rPr>
              <w:t>35</w:t>
            </w:r>
            <w:r>
              <w:rPr>
                <w:bCs/>
                <w:sz w:val="24"/>
              </w:rPr>
              <w:t>m以内区域执行《声环境质量标准》（GB3096-2008）4a类标准，其它区域执行2类标准见表</w:t>
            </w:r>
            <w:r>
              <w:rPr>
                <w:rFonts w:hint="eastAsia"/>
                <w:bCs/>
                <w:sz w:val="24"/>
              </w:rPr>
              <w:t>3-6</w:t>
            </w:r>
            <w:r>
              <w:rPr>
                <w:bCs/>
                <w:sz w:val="24"/>
              </w:rPr>
              <w:t>。</w:t>
            </w:r>
          </w:p>
          <w:p w14:paraId="5B3EFDCD">
            <w:pPr>
              <w:pStyle w:val="70"/>
              <w:spacing w:before="0" w:beforeLines="0"/>
            </w:pPr>
            <w:r>
              <w:t>表</w:t>
            </w:r>
            <w:r>
              <w:rPr>
                <w:rFonts w:hint="eastAsia"/>
              </w:rPr>
              <w:t>3-6</w:t>
            </w:r>
            <w:r>
              <w:t xml:space="preserve"> </w:t>
            </w:r>
            <w:r>
              <w:rPr>
                <w:rFonts w:hint="eastAsia"/>
              </w:rPr>
              <w:t xml:space="preserve">  </w:t>
            </w:r>
            <w:r>
              <w:t>声环境现状执行标准表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78"/>
              <w:gridCol w:w="840"/>
              <w:gridCol w:w="3795"/>
              <w:gridCol w:w="853"/>
              <w:gridCol w:w="934"/>
            </w:tblGrid>
            <w:tr w14:paraId="1627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1" w:type="pct"/>
                  <w:vMerge w:val="restart"/>
                  <w:tcBorders>
                    <w:tl2br w:val="nil"/>
                    <w:tr2bl w:val="nil"/>
                  </w:tcBorders>
                  <w:vAlign w:val="center"/>
                </w:tcPr>
                <w:p w14:paraId="1A9B8CFF">
                  <w:pPr>
                    <w:adjustRightInd w:val="0"/>
                    <w:snapToGrid w:val="0"/>
                    <w:jc w:val="center"/>
                    <w:rPr>
                      <w:szCs w:val="21"/>
                    </w:rPr>
                  </w:pPr>
                  <w:r>
                    <w:rPr>
                      <w:szCs w:val="21"/>
                    </w:rPr>
                    <w:t>执行标准</w:t>
                  </w:r>
                </w:p>
              </w:tc>
              <w:tc>
                <w:tcPr>
                  <w:tcW w:w="522" w:type="pct"/>
                  <w:vMerge w:val="restart"/>
                  <w:tcBorders>
                    <w:tl2br w:val="nil"/>
                    <w:tr2bl w:val="nil"/>
                  </w:tcBorders>
                  <w:vAlign w:val="center"/>
                </w:tcPr>
                <w:p w14:paraId="5C7CDF36">
                  <w:pPr>
                    <w:adjustRightInd w:val="0"/>
                    <w:snapToGrid w:val="0"/>
                    <w:jc w:val="center"/>
                    <w:rPr>
                      <w:kern w:val="0"/>
                      <w:szCs w:val="21"/>
                    </w:rPr>
                  </w:pPr>
                  <w:r>
                    <w:rPr>
                      <w:kern w:val="0"/>
                      <w:szCs w:val="21"/>
                    </w:rPr>
                    <w:t>级别</w:t>
                  </w:r>
                </w:p>
              </w:tc>
              <w:tc>
                <w:tcPr>
                  <w:tcW w:w="2346" w:type="pct"/>
                  <w:vMerge w:val="restart"/>
                  <w:tcBorders>
                    <w:tl2br w:val="nil"/>
                    <w:tr2bl w:val="nil"/>
                  </w:tcBorders>
                  <w:vAlign w:val="center"/>
                </w:tcPr>
                <w:p w14:paraId="3D8C0CE2">
                  <w:pPr>
                    <w:adjustRightInd w:val="0"/>
                    <w:snapToGrid w:val="0"/>
                    <w:jc w:val="center"/>
                    <w:rPr>
                      <w:kern w:val="0"/>
                      <w:szCs w:val="21"/>
                    </w:rPr>
                  </w:pPr>
                  <w:r>
                    <w:rPr>
                      <w:rFonts w:hint="eastAsia"/>
                      <w:kern w:val="0"/>
                      <w:szCs w:val="21"/>
                    </w:rPr>
                    <w:t>适用范围</w:t>
                  </w:r>
                </w:p>
              </w:tc>
              <w:tc>
                <w:tcPr>
                  <w:tcW w:w="1110" w:type="pct"/>
                  <w:gridSpan w:val="2"/>
                  <w:tcBorders>
                    <w:tl2br w:val="nil"/>
                    <w:tr2bl w:val="nil"/>
                  </w:tcBorders>
                  <w:vAlign w:val="center"/>
                </w:tcPr>
                <w:p w14:paraId="40D71404">
                  <w:pPr>
                    <w:adjustRightInd w:val="0"/>
                    <w:snapToGrid w:val="0"/>
                    <w:jc w:val="center"/>
                    <w:rPr>
                      <w:kern w:val="0"/>
                      <w:szCs w:val="21"/>
                    </w:rPr>
                  </w:pPr>
                  <w:r>
                    <w:rPr>
                      <w:kern w:val="0"/>
                      <w:szCs w:val="21"/>
                    </w:rPr>
                    <w:t>标准限值</w:t>
                  </w:r>
                  <w:r>
                    <w:rPr>
                      <w:bCs/>
                      <w:snapToGrid w:val="0"/>
                      <w:szCs w:val="21"/>
                    </w:rPr>
                    <w:t>dB（A）</w:t>
                  </w:r>
                </w:p>
              </w:tc>
            </w:tr>
            <w:tr w14:paraId="674B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1" w:type="pct"/>
                  <w:vMerge w:val="continue"/>
                  <w:tcBorders>
                    <w:tl2br w:val="nil"/>
                    <w:tr2bl w:val="nil"/>
                  </w:tcBorders>
                  <w:vAlign w:val="center"/>
                </w:tcPr>
                <w:p w14:paraId="0C818BFE">
                  <w:pPr>
                    <w:adjustRightInd w:val="0"/>
                    <w:snapToGrid w:val="0"/>
                    <w:jc w:val="center"/>
                    <w:rPr>
                      <w:szCs w:val="21"/>
                    </w:rPr>
                  </w:pPr>
                </w:p>
              </w:tc>
              <w:tc>
                <w:tcPr>
                  <w:tcW w:w="522" w:type="pct"/>
                  <w:vMerge w:val="continue"/>
                  <w:tcBorders>
                    <w:tl2br w:val="nil"/>
                    <w:tr2bl w:val="nil"/>
                  </w:tcBorders>
                  <w:vAlign w:val="center"/>
                </w:tcPr>
                <w:p w14:paraId="60E43782">
                  <w:pPr>
                    <w:adjustRightInd w:val="0"/>
                    <w:snapToGrid w:val="0"/>
                    <w:jc w:val="center"/>
                    <w:rPr>
                      <w:kern w:val="0"/>
                      <w:szCs w:val="21"/>
                    </w:rPr>
                  </w:pPr>
                </w:p>
              </w:tc>
              <w:tc>
                <w:tcPr>
                  <w:tcW w:w="2346" w:type="pct"/>
                  <w:vMerge w:val="continue"/>
                  <w:tcBorders>
                    <w:tl2br w:val="nil"/>
                    <w:tr2bl w:val="nil"/>
                  </w:tcBorders>
                  <w:vAlign w:val="center"/>
                </w:tcPr>
                <w:p w14:paraId="2E3264D2">
                  <w:pPr>
                    <w:adjustRightInd w:val="0"/>
                    <w:snapToGrid w:val="0"/>
                    <w:jc w:val="center"/>
                    <w:rPr>
                      <w:kern w:val="0"/>
                      <w:szCs w:val="21"/>
                    </w:rPr>
                  </w:pPr>
                </w:p>
              </w:tc>
              <w:tc>
                <w:tcPr>
                  <w:tcW w:w="530" w:type="pct"/>
                  <w:tcBorders>
                    <w:tl2br w:val="nil"/>
                    <w:tr2bl w:val="nil"/>
                  </w:tcBorders>
                  <w:vAlign w:val="center"/>
                </w:tcPr>
                <w:p w14:paraId="5E52AA06">
                  <w:pPr>
                    <w:adjustRightInd w:val="0"/>
                    <w:snapToGrid w:val="0"/>
                    <w:jc w:val="center"/>
                    <w:rPr>
                      <w:kern w:val="0"/>
                      <w:szCs w:val="21"/>
                    </w:rPr>
                  </w:pPr>
                  <w:r>
                    <w:rPr>
                      <w:kern w:val="0"/>
                      <w:szCs w:val="21"/>
                    </w:rPr>
                    <w:t>昼间</w:t>
                  </w:r>
                </w:p>
              </w:tc>
              <w:tc>
                <w:tcPr>
                  <w:tcW w:w="580" w:type="pct"/>
                  <w:tcBorders>
                    <w:tl2br w:val="nil"/>
                    <w:tr2bl w:val="nil"/>
                  </w:tcBorders>
                  <w:vAlign w:val="center"/>
                </w:tcPr>
                <w:p w14:paraId="24518AF0">
                  <w:pPr>
                    <w:adjustRightInd w:val="0"/>
                    <w:snapToGrid w:val="0"/>
                    <w:jc w:val="center"/>
                    <w:rPr>
                      <w:kern w:val="0"/>
                      <w:szCs w:val="21"/>
                    </w:rPr>
                  </w:pPr>
                  <w:r>
                    <w:rPr>
                      <w:kern w:val="0"/>
                      <w:szCs w:val="21"/>
                    </w:rPr>
                    <w:t>夜间</w:t>
                  </w:r>
                </w:p>
              </w:tc>
            </w:tr>
            <w:tr w14:paraId="2F88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1" w:type="pct"/>
                  <w:vMerge w:val="restart"/>
                  <w:tcBorders>
                    <w:tl2br w:val="nil"/>
                    <w:tr2bl w:val="nil"/>
                  </w:tcBorders>
                  <w:vAlign w:val="center"/>
                </w:tcPr>
                <w:p w14:paraId="64478CC9">
                  <w:pPr>
                    <w:adjustRightInd w:val="0"/>
                    <w:snapToGrid w:val="0"/>
                    <w:jc w:val="center"/>
                    <w:rPr>
                      <w:szCs w:val="21"/>
                    </w:rPr>
                  </w:pPr>
                  <w:r>
                    <w:rPr>
                      <w:szCs w:val="21"/>
                    </w:rPr>
                    <w:t>声环境质量标准（GB3096-2008）</w:t>
                  </w:r>
                </w:p>
              </w:tc>
              <w:tc>
                <w:tcPr>
                  <w:tcW w:w="522" w:type="pct"/>
                  <w:tcBorders>
                    <w:tl2br w:val="nil"/>
                    <w:tr2bl w:val="nil"/>
                  </w:tcBorders>
                  <w:vAlign w:val="center"/>
                </w:tcPr>
                <w:p w14:paraId="27F0F5D4">
                  <w:pPr>
                    <w:adjustRightInd w:val="0"/>
                    <w:snapToGrid w:val="0"/>
                    <w:jc w:val="center"/>
                    <w:rPr>
                      <w:kern w:val="0"/>
                      <w:szCs w:val="21"/>
                    </w:rPr>
                  </w:pPr>
                  <w:r>
                    <w:rPr>
                      <w:rFonts w:hint="eastAsia"/>
                      <w:kern w:val="0"/>
                      <w:szCs w:val="21"/>
                    </w:rPr>
                    <w:t>4a类</w:t>
                  </w:r>
                </w:p>
              </w:tc>
              <w:tc>
                <w:tcPr>
                  <w:tcW w:w="2346" w:type="pct"/>
                  <w:tcBorders>
                    <w:tl2br w:val="nil"/>
                    <w:tr2bl w:val="nil"/>
                  </w:tcBorders>
                  <w:vAlign w:val="center"/>
                </w:tcPr>
                <w:p w14:paraId="621394B0">
                  <w:pPr>
                    <w:adjustRightInd w:val="0"/>
                    <w:snapToGrid w:val="0"/>
                    <w:jc w:val="center"/>
                    <w:rPr>
                      <w:kern w:val="0"/>
                      <w:szCs w:val="21"/>
                    </w:rPr>
                  </w:pPr>
                  <w:r>
                    <w:rPr>
                      <w:rFonts w:hint="eastAsia"/>
                      <w:kern w:val="0"/>
                      <w:szCs w:val="21"/>
                    </w:rPr>
                    <w:t>高速公路、一级公路、二级公路、城市快速路、城市主干路、城市次干路、城市轨道交通 （地面段）、内河航道两侧区域</w:t>
                  </w:r>
                </w:p>
              </w:tc>
              <w:tc>
                <w:tcPr>
                  <w:tcW w:w="530" w:type="pct"/>
                  <w:tcBorders>
                    <w:tl2br w:val="nil"/>
                    <w:tr2bl w:val="nil"/>
                  </w:tcBorders>
                  <w:vAlign w:val="center"/>
                </w:tcPr>
                <w:p w14:paraId="243C1981">
                  <w:pPr>
                    <w:adjustRightInd w:val="0"/>
                    <w:snapToGrid w:val="0"/>
                    <w:jc w:val="center"/>
                    <w:rPr>
                      <w:kern w:val="0"/>
                      <w:szCs w:val="21"/>
                    </w:rPr>
                  </w:pPr>
                  <w:r>
                    <w:rPr>
                      <w:rFonts w:hint="eastAsia"/>
                      <w:kern w:val="0"/>
                      <w:szCs w:val="21"/>
                    </w:rPr>
                    <w:t>70</w:t>
                  </w:r>
                </w:p>
              </w:tc>
              <w:tc>
                <w:tcPr>
                  <w:tcW w:w="580" w:type="pct"/>
                  <w:tcBorders>
                    <w:tl2br w:val="nil"/>
                    <w:tr2bl w:val="nil"/>
                  </w:tcBorders>
                  <w:vAlign w:val="center"/>
                </w:tcPr>
                <w:p w14:paraId="30AB1D1E">
                  <w:pPr>
                    <w:adjustRightInd w:val="0"/>
                    <w:snapToGrid w:val="0"/>
                    <w:jc w:val="center"/>
                    <w:rPr>
                      <w:kern w:val="0"/>
                      <w:szCs w:val="21"/>
                    </w:rPr>
                  </w:pPr>
                  <w:r>
                    <w:rPr>
                      <w:rFonts w:hint="eastAsia"/>
                      <w:kern w:val="0"/>
                      <w:szCs w:val="21"/>
                    </w:rPr>
                    <w:t>55</w:t>
                  </w:r>
                </w:p>
              </w:tc>
            </w:tr>
            <w:tr w14:paraId="5F586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21" w:type="pct"/>
                  <w:vMerge w:val="continue"/>
                  <w:tcBorders>
                    <w:tl2br w:val="nil"/>
                    <w:tr2bl w:val="nil"/>
                  </w:tcBorders>
                  <w:vAlign w:val="center"/>
                </w:tcPr>
                <w:p w14:paraId="2CED9383">
                  <w:pPr>
                    <w:adjustRightInd w:val="0"/>
                    <w:snapToGrid w:val="0"/>
                    <w:jc w:val="center"/>
                    <w:rPr>
                      <w:szCs w:val="21"/>
                    </w:rPr>
                  </w:pPr>
                </w:p>
              </w:tc>
              <w:tc>
                <w:tcPr>
                  <w:tcW w:w="522" w:type="pct"/>
                  <w:tcBorders>
                    <w:tl2br w:val="nil"/>
                    <w:tr2bl w:val="nil"/>
                  </w:tcBorders>
                  <w:vAlign w:val="center"/>
                </w:tcPr>
                <w:p w14:paraId="3140D5B1">
                  <w:pPr>
                    <w:adjustRightInd w:val="0"/>
                    <w:snapToGrid w:val="0"/>
                    <w:jc w:val="center"/>
                    <w:rPr>
                      <w:kern w:val="0"/>
                      <w:szCs w:val="21"/>
                    </w:rPr>
                  </w:pPr>
                  <w:r>
                    <w:rPr>
                      <w:kern w:val="0"/>
                      <w:szCs w:val="21"/>
                    </w:rPr>
                    <w:t>2类</w:t>
                  </w:r>
                </w:p>
              </w:tc>
              <w:tc>
                <w:tcPr>
                  <w:tcW w:w="2346" w:type="pct"/>
                  <w:tcBorders>
                    <w:tl2br w:val="nil"/>
                    <w:tr2bl w:val="nil"/>
                  </w:tcBorders>
                  <w:vAlign w:val="center"/>
                </w:tcPr>
                <w:p w14:paraId="1F52BD9F">
                  <w:pPr>
                    <w:adjustRightInd w:val="0"/>
                    <w:snapToGrid w:val="0"/>
                    <w:jc w:val="center"/>
                    <w:rPr>
                      <w:kern w:val="0"/>
                      <w:szCs w:val="21"/>
                    </w:rPr>
                  </w:pPr>
                  <w:r>
                    <w:rPr>
                      <w:rFonts w:hint="eastAsia"/>
                      <w:kern w:val="0"/>
                      <w:szCs w:val="21"/>
                    </w:rPr>
                    <w:t>商业金融、集市贸易为主要功能或居住商业、工业混杂，需要维护安静的区域</w:t>
                  </w:r>
                  <w:r>
                    <w:rPr>
                      <w:kern w:val="0"/>
                      <w:szCs w:val="21"/>
                    </w:rPr>
                    <w:t xml:space="preserve"> </w:t>
                  </w:r>
                </w:p>
              </w:tc>
              <w:tc>
                <w:tcPr>
                  <w:tcW w:w="530" w:type="pct"/>
                  <w:tcBorders>
                    <w:tl2br w:val="nil"/>
                    <w:tr2bl w:val="nil"/>
                  </w:tcBorders>
                  <w:vAlign w:val="center"/>
                </w:tcPr>
                <w:p w14:paraId="444139D4">
                  <w:pPr>
                    <w:adjustRightInd w:val="0"/>
                    <w:snapToGrid w:val="0"/>
                    <w:jc w:val="center"/>
                    <w:rPr>
                      <w:kern w:val="0"/>
                      <w:szCs w:val="21"/>
                    </w:rPr>
                  </w:pPr>
                  <w:r>
                    <w:rPr>
                      <w:kern w:val="0"/>
                      <w:szCs w:val="21"/>
                    </w:rPr>
                    <w:t>60</w:t>
                  </w:r>
                </w:p>
              </w:tc>
              <w:tc>
                <w:tcPr>
                  <w:tcW w:w="580" w:type="pct"/>
                  <w:tcBorders>
                    <w:tl2br w:val="nil"/>
                    <w:tr2bl w:val="nil"/>
                  </w:tcBorders>
                  <w:vAlign w:val="center"/>
                </w:tcPr>
                <w:p w14:paraId="15545548">
                  <w:pPr>
                    <w:adjustRightInd w:val="0"/>
                    <w:snapToGrid w:val="0"/>
                    <w:jc w:val="center"/>
                    <w:rPr>
                      <w:kern w:val="0"/>
                      <w:szCs w:val="21"/>
                    </w:rPr>
                  </w:pPr>
                  <w:r>
                    <w:rPr>
                      <w:kern w:val="0"/>
                      <w:szCs w:val="21"/>
                    </w:rPr>
                    <w:t>50</w:t>
                  </w:r>
                </w:p>
              </w:tc>
            </w:tr>
          </w:tbl>
          <w:p w14:paraId="5D91EEBF">
            <w:pPr>
              <w:rPr>
                <w:b/>
                <w:bCs/>
                <w:sz w:val="24"/>
              </w:rPr>
            </w:pPr>
            <w:r>
              <w:rPr>
                <w:b/>
                <w:bCs/>
                <w:sz w:val="24"/>
              </w:rPr>
              <w:t>污染物排放标准：</w:t>
            </w:r>
          </w:p>
          <w:p w14:paraId="4280EABB">
            <w:pPr>
              <w:adjustRightInd w:val="0"/>
              <w:snapToGrid w:val="0"/>
              <w:spacing w:line="360" w:lineRule="auto"/>
              <w:ind w:firstLine="480" w:firstLineChars="200"/>
              <w:rPr>
                <w:bCs/>
                <w:sz w:val="24"/>
              </w:rPr>
            </w:pPr>
            <w:r>
              <w:rPr>
                <w:bCs/>
                <w:sz w:val="24"/>
              </w:rPr>
              <w:t>1、废气：施工期工地扬尘执行《施工场界扬尘排放限值》（DB61/1078-2017）中相关浓度限值要求，</w:t>
            </w:r>
            <w:r>
              <w:rPr>
                <w:rFonts w:hint="eastAsia"/>
                <w:bCs/>
                <w:sz w:val="24"/>
              </w:rPr>
              <w:t>非道路移动机械执行《非道路移动机械用柴油机排气污染物排放限值及测量方法（中国第三、四阶段）》（GB 20891-2014）及其修改单要求，</w:t>
            </w:r>
            <w:r>
              <w:rPr>
                <w:bCs/>
                <w:sz w:val="24"/>
              </w:rPr>
              <w:t>见表</w:t>
            </w:r>
            <w:r>
              <w:rPr>
                <w:rFonts w:hint="eastAsia"/>
                <w:bCs/>
                <w:sz w:val="24"/>
              </w:rPr>
              <w:t>3-7、表3</w:t>
            </w:r>
            <w:r>
              <w:rPr>
                <w:bCs/>
                <w:sz w:val="24"/>
              </w:rPr>
              <w:t>-8</w:t>
            </w:r>
            <w:r>
              <w:rPr>
                <w:rFonts w:hint="eastAsia"/>
                <w:bCs/>
                <w:sz w:val="24"/>
              </w:rPr>
              <w:t>。</w:t>
            </w:r>
          </w:p>
          <w:p w14:paraId="66B9DD80">
            <w:pPr>
              <w:pStyle w:val="70"/>
              <w:spacing w:before="0" w:beforeLines="0"/>
            </w:pPr>
            <w:r>
              <w:t>表</w:t>
            </w:r>
            <w:r>
              <w:rPr>
                <w:rFonts w:hint="eastAsia"/>
              </w:rPr>
              <w:t>3-7</w:t>
            </w:r>
            <w:r>
              <w:t xml:space="preserve">   施工期扬尘执行标准表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553"/>
              <w:gridCol w:w="1282"/>
              <w:gridCol w:w="2993"/>
              <w:gridCol w:w="1624"/>
            </w:tblGrid>
            <w:tr w14:paraId="55F09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tcBorders>
                    <w:tl2br w:val="nil"/>
                    <w:tr2bl w:val="nil"/>
                  </w:tcBorders>
                  <w:vAlign w:val="center"/>
                </w:tcPr>
                <w:p w14:paraId="037361FA">
                  <w:pPr>
                    <w:pStyle w:val="69"/>
                    <w:snapToGrid w:val="0"/>
                  </w:pPr>
                  <w:r>
                    <w:t>序号</w:t>
                  </w:r>
                </w:p>
              </w:tc>
              <w:tc>
                <w:tcPr>
                  <w:tcW w:w="958" w:type="pct"/>
                  <w:tcBorders>
                    <w:tl2br w:val="nil"/>
                    <w:tr2bl w:val="nil"/>
                  </w:tcBorders>
                  <w:vAlign w:val="center"/>
                </w:tcPr>
                <w:p w14:paraId="7C826B90">
                  <w:pPr>
                    <w:pStyle w:val="69"/>
                    <w:snapToGrid w:val="0"/>
                  </w:pPr>
                  <w:r>
                    <w:t>污染物</w:t>
                  </w:r>
                </w:p>
              </w:tc>
              <w:tc>
                <w:tcPr>
                  <w:tcW w:w="791" w:type="pct"/>
                  <w:tcBorders>
                    <w:tl2br w:val="nil"/>
                    <w:tr2bl w:val="nil"/>
                  </w:tcBorders>
                  <w:vAlign w:val="center"/>
                </w:tcPr>
                <w:p w14:paraId="326578E9">
                  <w:pPr>
                    <w:pStyle w:val="69"/>
                    <w:snapToGrid w:val="0"/>
                  </w:pPr>
                  <w:r>
                    <w:t>监控点</w:t>
                  </w:r>
                </w:p>
              </w:tc>
              <w:tc>
                <w:tcPr>
                  <w:tcW w:w="1847" w:type="pct"/>
                  <w:tcBorders>
                    <w:tl2br w:val="nil"/>
                    <w:tr2bl w:val="nil"/>
                  </w:tcBorders>
                  <w:vAlign w:val="center"/>
                </w:tcPr>
                <w:p w14:paraId="79DC5763">
                  <w:pPr>
                    <w:pStyle w:val="69"/>
                    <w:snapToGrid w:val="0"/>
                  </w:pPr>
                  <w:r>
                    <w:t>施工阶段</w:t>
                  </w:r>
                </w:p>
              </w:tc>
              <w:tc>
                <w:tcPr>
                  <w:tcW w:w="1002" w:type="pct"/>
                  <w:tcBorders>
                    <w:tl2br w:val="nil"/>
                    <w:tr2bl w:val="nil"/>
                  </w:tcBorders>
                  <w:vAlign w:val="center"/>
                </w:tcPr>
                <w:p w14:paraId="15115B84">
                  <w:pPr>
                    <w:pStyle w:val="69"/>
                    <w:snapToGrid w:val="0"/>
                  </w:pPr>
                  <w:r>
                    <w:t>小时平均浓度限值（mg/m</w:t>
                  </w:r>
                  <w:r>
                    <w:rPr>
                      <w:vertAlign w:val="superscript"/>
                    </w:rPr>
                    <w:t>3</w:t>
                  </w:r>
                  <w:r>
                    <w:t>）</w:t>
                  </w:r>
                </w:p>
              </w:tc>
            </w:tr>
            <w:tr w14:paraId="2842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vMerge w:val="restart"/>
                  <w:tcBorders>
                    <w:tl2br w:val="nil"/>
                    <w:tr2bl w:val="nil"/>
                  </w:tcBorders>
                  <w:vAlign w:val="center"/>
                </w:tcPr>
                <w:p w14:paraId="09B05BFB">
                  <w:pPr>
                    <w:pStyle w:val="69"/>
                    <w:snapToGrid w:val="0"/>
                  </w:pPr>
                  <w:r>
                    <w:rPr>
                      <w:rFonts w:hint="eastAsia"/>
                    </w:rPr>
                    <w:t>1</w:t>
                  </w:r>
                </w:p>
              </w:tc>
              <w:tc>
                <w:tcPr>
                  <w:tcW w:w="958" w:type="pct"/>
                  <w:vMerge w:val="restart"/>
                  <w:tcBorders>
                    <w:tl2br w:val="nil"/>
                    <w:tr2bl w:val="nil"/>
                  </w:tcBorders>
                  <w:vAlign w:val="center"/>
                </w:tcPr>
                <w:p w14:paraId="4DC5529F">
                  <w:pPr>
                    <w:pStyle w:val="69"/>
                    <w:snapToGrid w:val="0"/>
                  </w:pPr>
                  <w:r>
                    <w:t>施工扬尘（即总悬浮物颗粒物TSP）</w:t>
                  </w:r>
                </w:p>
              </w:tc>
              <w:tc>
                <w:tcPr>
                  <w:tcW w:w="791" w:type="pct"/>
                  <w:vMerge w:val="restart"/>
                  <w:tcBorders>
                    <w:tl2br w:val="nil"/>
                    <w:tr2bl w:val="nil"/>
                  </w:tcBorders>
                  <w:vAlign w:val="center"/>
                </w:tcPr>
                <w:p w14:paraId="25FF7E92">
                  <w:pPr>
                    <w:pStyle w:val="69"/>
                    <w:snapToGrid w:val="0"/>
                  </w:pPr>
                  <w:r>
                    <w:t>周界外浓度最高点</w:t>
                  </w:r>
                </w:p>
              </w:tc>
              <w:tc>
                <w:tcPr>
                  <w:tcW w:w="1847" w:type="pct"/>
                  <w:tcBorders>
                    <w:tl2br w:val="nil"/>
                    <w:tr2bl w:val="nil"/>
                  </w:tcBorders>
                  <w:vAlign w:val="center"/>
                </w:tcPr>
                <w:p w14:paraId="55A77497">
                  <w:pPr>
                    <w:pStyle w:val="69"/>
                    <w:snapToGrid w:val="0"/>
                  </w:pPr>
                  <w:r>
                    <w:t>拆除、土方及地基处理工程</w:t>
                  </w:r>
                </w:p>
              </w:tc>
              <w:tc>
                <w:tcPr>
                  <w:tcW w:w="1002" w:type="pct"/>
                  <w:tcBorders>
                    <w:tl2br w:val="nil"/>
                    <w:tr2bl w:val="nil"/>
                  </w:tcBorders>
                  <w:vAlign w:val="center"/>
                </w:tcPr>
                <w:p w14:paraId="14309E9F">
                  <w:pPr>
                    <w:pStyle w:val="69"/>
                    <w:snapToGrid w:val="0"/>
                  </w:pPr>
                  <w:r>
                    <w:t>≤0.8</w:t>
                  </w:r>
                </w:p>
              </w:tc>
            </w:tr>
            <w:tr w14:paraId="12D6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02" w:type="pct"/>
                  <w:vMerge w:val="continue"/>
                  <w:tcBorders>
                    <w:tl2br w:val="nil"/>
                    <w:tr2bl w:val="nil"/>
                  </w:tcBorders>
                  <w:vAlign w:val="center"/>
                </w:tcPr>
                <w:p w14:paraId="07B226BF">
                  <w:pPr>
                    <w:pStyle w:val="69"/>
                    <w:snapToGrid w:val="0"/>
                  </w:pPr>
                </w:p>
              </w:tc>
              <w:tc>
                <w:tcPr>
                  <w:tcW w:w="958" w:type="pct"/>
                  <w:vMerge w:val="continue"/>
                  <w:tcBorders>
                    <w:tl2br w:val="nil"/>
                    <w:tr2bl w:val="nil"/>
                  </w:tcBorders>
                  <w:vAlign w:val="center"/>
                </w:tcPr>
                <w:p w14:paraId="588514DF">
                  <w:pPr>
                    <w:pStyle w:val="69"/>
                    <w:snapToGrid w:val="0"/>
                  </w:pPr>
                </w:p>
              </w:tc>
              <w:tc>
                <w:tcPr>
                  <w:tcW w:w="791" w:type="pct"/>
                  <w:vMerge w:val="continue"/>
                  <w:tcBorders>
                    <w:tl2br w:val="nil"/>
                    <w:tr2bl w:val="nil"/>
                  </w:tcBorders>
                  <w:vAlign w:val="center"/>
                </w:tcPr>
                <w:p w14:paraId="047EA4A7">
                  <w:pPr>
                    <w:pStyle w:val="69"/>
                    <w:snapToGrid w:val="0"/>
                  </w:pPr>
                </w:p>
              </w:tc>
              <w:tc>
                <w:tcPr>
                  <w:tcW w:w="1847" w:type="pct"/>
                  <w:tcBorders>
                    <w:tl2br w:val="nil"/>
                    <w:tr2bl w:val="nil"/>
                  </w:tcBorders>
                  <w:vAlign w:val="center"/>
                </w:tcPr>
                <w:p w14:paraId="097F54E4">
                  <w:pPr>
                    <w:pStyle w:val="69"/>
                    <w:snapToGrid w:val="0"/>
                  </w:pPr>
                  <w:r>
                    <w:t>基础、主体结构及装饰工程</w:t>
                  </w:r>
                </w:p>
              </w:tc>
              <w:tc>
                <w:tcPr>
                  <w:tcW w:w="1002" w:type="pct"/>
                  <w:tcBorders>
                    <w:tl2br w:val="nil"/>
                    <w:tr2bl w:val="nil"/>
                  </w:tcBorders>
                  <w:vAlign w:val="center"/>
                </w:tcPr>
                <w:p w14:paraId="74E86779">
                  <w:pPr>
                    <w:pStyle w:val="69"/>
                    <w:snapToGrid w:val="0"/>
                  </w:pPr>
                  <w:r>
                    <w:t>≤0.7</w:t>
                  </w:r>
                </w:p>
              </w:tc>
            </w:tr>
          </w:tbl>
          <w:p w14:paraId="4809DCA6">
            <w:pPr>
              <w:adjustRightInd w:val="0"/>
              <w:snapToGrid w:val="0"/>
              <w:ind w:firstLine="360"/>
              <w:rPr>
                <w:rFonts w:ascii="黑体" w:hAnsi="黑体" w:eastAsia="黑体"/>
                <w:sz w:val="18"/>
                <w:szCs w:val="18"/>
              </w:rPr>
            </w:pPr>
            <w:r>
              <w:rPr>
                <w:rFonts w:hint="eastAsia" w:ascii="黑体" w:hAnsi="黑体" w:eastAsia="黑体"/>
                <w:sz w:val="18"/>
                <w:szCs w:val="18"/>
              </w:rPr>
              <w:t>注：周界外浓度最高点一般应设置于无组织排放源下风向的单位周界外10m范围内；若预计无组织的最大落地浓度点超过10m范围，可将控制点移至该预计浓度最高点附近。</w:t>
            </w:r>
          </w:p>
          <w:p w14:paraId="086720DB">
            <w:pPr>
              <w:pStyle w:val="70"/>
              <w:spacing w:before="0" w:beforeLines="0"/>
            </w:pPr>
            <w:r>
              <w:rPr>
                <w:rFonts w:hint="eastAsia"/>
              </w:rPr>
              <w:t>表3.</w:t>
            </w:r>
            <w:r>
              <w:t>8</w:t>
            </w:r>
            <w:r>
              <w:rPr>
                <w:rFonts w:hint="eastAsia"/>
              </w:rPr>
              <w:t xml:space="preserve">  </w:t>
            </w:r>
            <w:r>
              <w:t xml:space="preserve"> </w:t>
            </w:r>
            <w:r>
              <w:rPr>
                <w:rFonts w:hint="eastAsia"/>
              </w:rPr>
              <w:t>非道路移动机械用柴油机排气污染物排放限值一览表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4"/>
              <w:gridCol w:w="1222"/>
              <w:gridCol w:w="909"/>
              <w:gridCol w:w="875"/>
              <w:gridCol w:w="1002"/>
              <w:gridCol w:w="1003"/>
              <w:gridCol w:w="876"/>
              <w:gridCol w:w="751"/>
              <w:gridCol w:w="1001"/>
            </w:tblGrid>
            <w:tr w14:paraId="5019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exact"/>
                <w:jc w:val="center"/>
              </w:trPr>
              <w:tc>
                <w:tcPr>
                  <w:tcW w:w="291" w:type="pct"/>
                  <w:tcMar>
                    <w:top w:w="28" w:type="dxa"/>
                    <w:bottom w:w="28" w:type="dxa"/>
                  </w:tcMar>
                  <w:vAlign w:val="center"/>
                </w:tcPr>
                <w:p w14:paraId="177E4F9F">
                  <w:pPr>
                    <w:kinsoku w:val="0"/>
                    <w:adjustRightInd w:val="0"/>
                    <w:snapToGrid w:val="0"/>
                    <w:spacing w:line="240" w:lineRule="atLeast"/>
                    <w:jc w:val="center"/>
                    <w:rPr>
                      <w:snapToGrid w:val="0"/>
                      <w:szCs w:val="21"/>
                    </w:rPr>
                  </w:pPr>
                  <w:r>
                    <w:rPr>
                      <w:snapToGrid w:val="0"/>
                      <w:szCs w:val="21"/>
                    </w:rPr>
                    <w:t>阶段</w:t>
                  </w:r>
                </w:p>
              </w:tc>
              <w:tc>
                <w:tcPr>
                  <w:tcW w:w="717" w:type="pct"/>
                  <w:tcMar>
                    <w:top w:w="28" w:type="dxa"/>
                    <w:bottom w:w="28" w:type="dxa"/>
                  </w:tcMar>
                  <w:vAlign w:val="center"/>
                </w:tcPr>
                <w:p w14:paraId="63C13750">
                  <w:pPr>
                    <w:kinsoku w:val="0"/>
                    <w:adjustRightInd w:val="0"/>
                    <w:snapToGrid w:val="0"/>
                    <w:spacing w:line="240" w:lineRule="atLeast"/>
                    <w:jc w:val="center"/>
                    <w:rPr>
                      <w:snapToGrid w:val="0"/>
                      <w:szCs w:val="21"/>
                    </w:rPr>
                  </w:pPr>
                  <w:r>
                    <w:rPr>
                      <w:snapToGrid w:val="0"/>
                      <w:szCs w:val="21"/>
                    </w:rPr>
                    <w:t>额定净功</w:t>
                  </w:r>
                </w:p>
                <w:p w14:paraId="0673ECE1">
                  <w:pPr>
                    <w:kinsoku w:val="0"/>
                    <w:adjustRightInd w:val="0"/>
                    <w:snapToGrid w:val="0"/>
                    <w:spacing w:line="240" w:lineRule="atLeast"/>
                    <w:jc w:val="center"/>
                    <w:rPr>
                      <w:snapToGrid w:val="0"/>
                      <w:szCs w:val="21"/>
                    </w:rPr>
                  </w:pPr>
                  <w:r>
                    <w:rPr>
                      <w:snapToGrid w:val="0"/>
                      <w:szCs w:val="21"/>
                    </w:rPr>
                    <w:t>（P</w:t>
                  </w:r>
                  <w:r>
                    <w:rPr>
                      <w:snapToGrid w:val="0"/>
                      <w:szCs w:val="21"/>
                      <w:vertAlign w:val="subscript"/>
                    </w:rPr>
                    <w:t>max</w:t>
                  </w:r>
                  <w:r>
                    <w:rPr>
                      <w:snapToGrid w:val="0"/>
                      <w:szCs w:val="21"/>
                    </w:rPr>
                    <w:t>）kW</w:t>
                  </w:r>
                </w:p>
              </w:tc>
              <w:tc>
                <w:tcPr>
                  <w:tcW w:w="566" w:type="pct"/>
                  <w:tcMar>
                    <w:top w:w="28" w:type="dxa"/>
                    <w:bottom w:w="28" w:type="dxa"/>
                  </w:tcMar>
                  <w:vAlign w:val="center"/>
                </w:tcPr>
                <w:p w14:paraId="28532E09">
                  <w:pPr>
                    <w:tabs>
                      <w:tab w:val="left" w:pos="472"/>
                    </w:tabs>
                    <w:kinsoku w:val="0"/>
                    <w:adjustRightInd w:val="0"/>
                    <w:snapToGrid w:val="0"/>
                    <w:spacing w:line="240" w:lineRule="atLeast"/>
                    <w:jc w:val="center"/>
                    <w:rPr>
                      <w:snapToGrid w:val="0"/>
                      <w:spacing w:val="-20"/>
                      <w:szCs w:val="21"/>
                    </w:rPr>
                  </w:pPr>
                  <w:r>
                    <w:rPr>
                      <w:snapToGrid w:val="0"/>
                      <w:spacing w:val="-20"/>
                      <w:szCs w:val="21"/>
                    </w:rPr>
                    <w:t>CO</w:t>
                  </w:r>
                </w:p>
                <w:p w14:paraId="1A19CEE3">
                  <w:pPr>
                    <w:kinsoku w:val="0"/>
                    <w:adjustRightInd w:val="0"/>
                    <w:snapToGrid w:val="0"/>
                    <w:spacing w:line="240" w:lineRule="atLeast"/>
                    <w:jc w:val="center"/>
                    <w:rPr>
                      <w:snapToGrid w:val="0"/>
                      <w:spacing w:val="-20"/>
                      <w:szCs w:val="21"/>
                    </w:rPr>
                  </w:pPr>
                  <w:r>
                    <w:rPr>
                      <w:snapToGrid w:val="0"/>
                      <w:spacing w:val="-20"/>
                      <w:szCs w:val="21"/>
                    </w:rPr>
                    <w:t>（g/kW·h）</w:t>
                  </w:r>
                </w:p>
              </w:tc>
              <w:tc>
                <w:tcPr>
                  <w:tcW w:w="545" w:type="pct"/>
                  <w:tcMar>
                    <w:top w:w="28" w:type="dxa"/>
                    <w:bottom w:w="28" w:type="dxa"/>
                  </w:tcMar>
                  <w:vAlign w:val="center"/>
                </w:tcPr>
                <w:p w14:paraId="6B22961B">
                  <w:pPr>
                    <w:kinsoku w:val="0"/>
                    <w:adjustRightInd w:val="0"/>
                    <w:snapToGrid w:val="0"/>
                    <w:spacing w:line="240" w:lineRule="atLeast"/>
                    <w:jc w:val="center"/>
                    <w:rPr>
                      <w:snapToGrid w:val="0"/>
                      <w:spacing w:val="-20"/>
                      <w:szCs w:val="21"/>
                    </w:rPr>
                  </w:pPr>
                  <w:r>
                    <w:rPr>
                      <w:snapToGrid w:val="0"/>
                      <w:spacing w:val="-20"/>
                      <w:szCs w:val="21"/>
                    </w:rPr>
                    <w:t>HC</w:t>
                  </w:r>
                </w:p>
                <w:p w14:paraId="28E57A21">
                  <w:pPr>
                    <w:kinsoku w:val="0"/>
                    <w:adjustRightInd w:val="0"/>
                    <w:snapToGrid w:val="0"/>
                    <w:spacing w:line="240" w:lineRule="atLeast"/>
                    <w:jc w:val="center"/>
                    <w:rPr>
                      <w:snapToGrid w:val="0"/>
                      <w:spacing w:val="-20"/>
                      <w:szCs w:val="21"/>
                    </w:rPr>
                  </w:pPr>
                  <w:r>
                    <w:rPr>
                      <w:snapToGrid w:val="0"/>
                      <w:spacing w:val="-20"/>
                      <w:szCs w:val="21"/>
                    </w:rPr>
                    <w:t>（g/kW·h）</w:t>
                  </w:r>
                </w:p>
              </w:tc>
              <w:tc>
                <w:tcPr>
                  <w:tcW w:w="623" w:type="pct"/>
                  <w:tcMar>
                    <w:top w:w="28" w:type="dxa"/>
                    <w:bottom w:w="28" w:type="dxa"/>
                  </w:tcMar>
                  <w:vAlign w:val="center"/>
                </w:tcPr>
                <w:p w14:paraId="068B0242">
                  <w:pPr>
                    <w:kinsoku w:val="0"/>
                    <w:adjustRightInd w:val="0"/>
                    <w:snapToGrid w:val="0"/>
                    <w:spacing w:line="240" w:lineRule="atLeast"/>
                    <w:jc w:val="center"/>
                    <w:rPr>
                      <w:snapToGrid w:val="0"/>
                      <w:spacing w:val="-20"/>
                      <w:szCs w:val="21"/>
                    </w:rPr>
                  </w:pPr>
                  <w:r>
                    <w:rPr>
                      <w:snapToGrid w:val="0"/>
                      <w:spacing w:val="-20"/>
                      <w:szCs w:val="21"/>
                    </w:rPr>
                    <w:t>NOx</w:t>
                  </w:r>
                </w:p>
                <w:p w14:paraId="1DE24F48">
                  <w:pPr>
                    <w:kinsoku w:val="0"/>
                    <w:adjustRightInd w:val="0"/>
                    <w:snapToGrid w:val="0"/>
                    <w:spacing w:line="240" w:lineRule="atLeast"/>
                    <w:jc w:val="center"/>
                    <w:rPr>
                      <w:snapToGrid w:val="0"/>
                      <w:spacing w:val="-20"/>
                      <w:szCs w:val="21"/>
                    </w:rPr>
                  </w:pPr>
                  <w:r>
                    <w:rPr>
                      <w:snapToGrid w:val="0"/>
                      <w:spacing w:val="-20"/>
                      <w:szCs w:val="21"/>
                    </w:rPr>
                    <w:t>（g/kW·h）</w:t>
                  </w:r>
                </w:p>
              </w:tc>
              <w:tc>
                <w:tcPr>
                  <w:tcW w:w="623" w:type="pct"/>
                  <w:tcMar>
                    <w:top w:w="28" w:type="dxa"/>
                    <w:bottom w:w="28" w:type="dxa"/>
                  </w:tcMar>
                  <w:vAlign w:val="center"/>
                </w:tcPr>
                <w:p w14:paraId="0E084491">
                  <w:pPr>
                    <w:kinsoku w:val="0"/>
                    <w:adjustRightInd w:val="0"/>
                    <w:snapToGrid w:val="0"/>
                    <w:spacing w:line="240" w:lineRule="atLeast"/>
                    <w:jc w:val="center"/>
                    <w:rPr>
                      <w:snapToGrid w:val="0"/>
                      <w:spacing w:val="-20"/>
                      <w:szCs w:val="21"/>
                    </w:rPr>
                  </w:pPr>
                  <w:r>
                    <w:rPr>
                      <w:snapToGrid w:val="0"/>
                      <w:spacing w:val="-20"/>
                      <w:szCs w:val="21"/>
                    </w:rPr>
                    <w:t>HC+NOx</w:t>
                  </w:r>
                </w:p>
                <w:p w14:paraId="6E3B261F">
                  <w:pPr>
                    <w:kinsoku w:val="0"/>
                    <w:adjustRightInd w:val="0"/>
                    <w:snapToGrid w:val="0"/>
                    <w:spacing w:line="240" w:lineRule="atLeast"/>
                    <w:jc w:val="center"/>
                    <w:rPr>
                      <w:snapToGrid w:val="0"/>
                      <w:spacing w:val="-20"/>
                      <w:szCs w:val="21"/>
                    </w:rPr>
                  </w:pPr>
                  <w:r>
                    <w:rPr>
                      <w:snapToGrid w:val="0"/>
                      <w:spacing w:val="-20"/>
                      <w:szCs w:val="21"/>
                    </w:rPr>
                    <w:t>（g/kW·h）</w:t>
                  </w:r>
                </w:p>
              </w:tc>
              <w:tc>
                <w:tcPr>
                  <w:tcW w:w="545" w:type="pct"/>
                  <w:tcMar>
                    <w:top w:w="28" w:type="dxa"/>
                    <w:bottom w:w="28" w:type="dxa"/>
                  </w:tcMar>
                  <w:vAlign w:val="center"/>
                </w:tcPr>
                <w:p w14:paraId="6E325CFC">
                  <w:pPr>
                    <w:kinsoku w:val="0"/>
                    <w:adjustRightInd w:val="0"/>
                    <w:snapToGrid w:val="0"/>
                    <w:spacing w:line="240" w:lineRule="atLeast"/>
                    <w:jc w:val="center"/>
                    <w:rPr>
                      <w:snapToGrid w:val="0"/>
                      <w:spacing w:val="-20"/>
                      <w:szCs w:val="21"/>
                    </w:rPr>
                  </w:pPr>
                  <w:r>
                    <w:rPr>
                      <w:snapToGrid w:val="0"/>
                      <w:spacing w:val="-20"/>
                      <w:szCs w:val="21"/>
                    </w:rPr>
                    <w:t>PM</w:t>
                  </w:r>
                </w:p>
                <w:p w14:paraId="1D2614C7">
                  <w:pPr>
                    <w:kinsoku w:val="0"/>
                    <w:adjustRightInd w:val="0"/>
                    <w:snapToGrid w:val="0"/>
                    <w:spacing w:line="240" w:lineRule="atLeast"/>
                    <w:jc w:val="center"/>
                    <w:rPr>
                      <w:snapToGrid w:val="0"/>
                      <w:spacing w:val="-20"/>
                      <w:szCs w:val="21"/>
                    </w:rPr>
                  </w:pPr>
                  <w:r>
                    <w:rPr>
                      <w:snapToGrid w:val="0"/>
                      <w:spacing w:val="-20"/>
                      <w:szCs w:val="21"/>
                    </w:rPr>
                    <w:t>（g/kW·h）</w:t>
                  </w:r>
                </w:p>
              </w:tc>
              <w:tc>
                <w:tcPr>
                  <w:tcW w:w="468" w:type="pct"/>
                  <w:tcMar>
                    <w:top w:w="28" w:type="dxa"/>
                    <w:bottom w:w="28" w:type="dxa"/>
                  </w:tcMar>
                  <w:vAlign w:val="center"/>
                </w:tcPr>
                <w:p w14:paraId="58F7D90E">
                  <w:pPr>
                    <w:kinsoku w:val="0"/>
                    <w:adjustRightInd w:val="0"/>
                    <w:snapToGrid w:val="0"/>
                    <w:spacing w:line="240" w:lineRule="atLeast"/>
                    <w:jc w:val="center"/>
                    <w:rPr>
                      <w:snapToGrid w:val="0"/>
                      <w:spacing w:val="-20"/>
                      <w:szCs w:val="21"/>
                    </w:rPr>
                  </w:pPr>
                  <w:r>
                    <w:rPr>
                      <w:snapToGrid w:val="0"/>
                      <w:spacing w:val="-20"/>
                      <w:szCs w:val="21"/>
                    </w:rPr>
                    <w:t>NH</w:t>
                  </w:r>
                  <w:r>
                    <w:rPr>
                      <w:snapToGrid w:val="0"/>
                      <w:spacing w:val="-20"/>
                      <w:szCs w:val="21"/>
                      <w:vertAlign w:val="subscript"/>
                    </w:rPr>
                    <w:t>3</w:t>
                  </w:r>
                </w:p>
                <w:p w14:paraId="374EC1DB">
                  <w:pPr>
                    <w:kinsoku w:val="0"/>
                    <w:adjustRightInd w:val="0"/>
                    <w:snapToGrid w:val="0"/>
                    <w:spacing w:line="240" w:lineRule="atLeast"/>
                    <w:jc w:val="center"/>
                    <w:rPr>
                      <w:snapToGrid w:val="0"/>
                      <w:spacing w:val="-20"/>
                      <w:szCs w:val="21"/>
                    </w:rPr>
                  </w:pPr>
                  <w:r>
                    <w:rPr>
                      <w:snapToGrid w:val="0"/>
                      <w:spacing w:val="-20"/>
                      <w:szCs w:val="21"/>
                    </w:rPr>
                    <w:t>（ppm）</w:t>
                  </w:r>
                </w:p>
              </w:tc>
              <w:tc>
                <w:tcPr>
                  <w:tcW w:w="622" w:type="pct"/>
                  <w:tcMar>
                    <w:top w:w="28" w:type="dxa"/>
                    <w:bottom w:w="28" w:type="dxa"/>
                  </w:tcMar>
                  <w:vAlign w:val="center"/>
                </w:tcPr>
                <w:p w14:paraId="636FCB3E">
                  <w:pPr>
                    <w:kinsoku w:val="0"/>
                    <w:adjustRightInd w:val="0"/>
                    <w:snapToGrid w:val="0"/>
                    <w:spacing w:line="240" w:lineRule="atLeast"/>
                    <w:jc w:val="center"/>
                    <w:rPr>
                      <w:snapToGrid w:val="0"/>
                      <w:spacing w:val="-20"/>
                      <w:szCs w:val="21"/>
                    </w:rPr>
                  </w:pPr>
                  <w:r>
                    <w:rPr>
                      <w:snapToGrid w:val="0"/>
                      <w:spacing w:val="-20"/>
                      <w:szCs w:val="21"/>
                    </w:rPr>
                    <w:t>PN</w:t>
                  </w:r>
                </w:p>
                <w:p w14:paraId="52D4FDD0">
                  <w:pPr>
                    <w:kinsoku w:val="0"/>
                    <w:adjustRightInd w:val="0"/>
                    <w:snapToGrid w:val="0"/>
                    <w:spacing w:line="240" w:lineRule="atLeast"/>
                    <w:jc w:val="center"/>
                    <w:rPr>
                      <w:snapToGrid w:val="0"/>
                      <w:spacing w:val="-20"/>
                      <w:szCs w:val="21"/>
                    </w:rPr>
                  </w:pPr>
                  <w:r>
                    <w:rPr>
                      <w:snapToGrid w:val="0"/>
                      <w:spacing w:val="-20"/>
                      <w:szCs w:val="21"/>
                    </w:rPr>
                    <w:t>（#/kW·h）</w:t>
                  </w:r>
                </w:p>
              </w:tc>
            </w:tr>
            <w:tr w14:paraId="4043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restart"/>
                  <w:tcMar>
                    <w:top w:w="28" w:type="dxa"/>
                    <w:bottom w:w="28" w:type="dxa"/>
                  </w:tcMar>
                  <w:vAlign w:val="center"/>
                </w:tcPr>
                <w:p w14:paraId="0D51BD4D">
                  <w:pPr>
                    <w:kinsoku w:val="0"/>
                    <w:adjustRightInd w:val="0"/>
                    <w:snapToGrid w:val="0"/>
                    <w:spacing w:line="240" w:lineRule="atLeast"/>
                    <w:jc w:val="center"/>
                    <w:rPr>
                      <w:snapToGrid w:val="0"/>
                      <w:szCs w:val="21"/>
                    </w:rPr>
                  </w:pPr>
                  <w:r>
                    <w:rPr>
                      <w:snapToGrid w:val="0"/>
                      <w:szCs w:val="21"/>
                    </w:rPr>
                    <w:t>第</w:t>
                  </w:r>
                </w:p>
                <w:p w14:paraId="13D7EBFF">
                  <w:pPr>
                    <w:kinsoku w:val="0"/>
                    <w:adjustRightInd w:val="0"/>
                    <w:snapToGrid w:val="0"/>
                    <w:spacing w:line="240" w:lineRule="atLeast"/>
                    <w:jc w:val="center"/>
                    <w:rPr>
                      <w:snapToGrid w:val="0"/>
                      <w:szCs w:val="21"/>
                    </w:rPr>
                  </w:pPr>
                  <w:r>
                    <w:rPr>
                      <w:snapToGrid w:val="0"/>
                      <w:szCs w:val="21"/>
                    </w:rPr>
                    <w:t>三</w:t>
                  </w:r>
                </w:p>
                <w:p w14:paraId="5D8551E1">
                  <w:pPr>
                    <w:kinsoku w:val="0"/>
                    <w:adjustRightInd w:val="0"/>
                    <w:snapToGrid w:val="0"/>
                    <w:spacing w:line="240" w:lineRule="atLeast"/>
                    <w:jc w:val="center"/>
                    <w:rPr>
                      <w:snapToGrid w:val="0"/>
                      <w:szCs w:val="21"/>
                    </w:rPr>
                  </w:pPr>
                  <w:r>
                    <w:rPr>
                      <w:snapToGrid w:val="0"/>
                      <w:szCs w:val="21"/>
                    </w:rPr>
                    <w:t>阶</w:t>
                  </w:r>
                </w:p>
                <w:p w14:paraId="5EA30013">
                  <w:pPr>
                    <w:kinsoku w:val="0"/>
                    <w:adjustRightInd w:val="0"/>
                    <w:snapToGrid w:val="0"/>
                    <w:spacing w:line="240" w:lineRule="atLeast"/>
                    <w:jc w:val="center"/>
                    <w:rPr>
                      <w:snapToGrid w:val="0"/>
                      <w:szCs w:val="21"/>
                    </w:rPr>
                  </w:pPr>
                  <w:r>
                    <w:rPr>
                      <w:snapToGrid w:val="0"/>
                      <w:szCs w:val="21"/>
                    </w:rPr>
                    <w:t>段</w:t>
                  </w:r>
                </w:p>
              </w:tc>
              <w:tc>
                <w:tcPr>
                  <w:tcW w:w="717" w:type="pct"/>
                  <w:tcMar>
                    <w:top w:w="28" w:type="dxa"/>
                    <w:bottom w:w="28" w:type="dxa"/>
                  </w:tcMar>
                  <w:vAlign w:val="center"/>
                </w:tcPr>
                <w:p w14:paraId="2E46C2DA">
                  <w:pPr>
                    <w:kinsoku w:val="0"/>
                    <w:adjustRightInd w:val="0"/>
                    <w:snapToGrid w:val="0"/>
                    <w:spacing w:line="240" w:lineRule="atLeast"/>
                    <w:jc w:val="center"/>
                    <w:rPr>
                      <w:snapToGrid w:val="0"/>
                      <w:szCs w:val="21"/>
                    </w:rPr>
                  </w:pPr>
                  <w:r>
                    <w:rPr>
                      <w:snapToGrid w:val="0"/>
                      <w:szCs w:val="21"/>
                    </w:rPr>
                    <w:t>P</w:t>
                  </w:r>
                  <w:r>
                    <w:rPr>
                      <w:snapToGrid w:val="0"/>
                      <w:szCs w:val="21"/>
                      <w:vertAlign w:val="subscript"/>
                    </w:rPr>
                    <w:t>max</w:t>
                  </w:r>
                  <w:r>
                    <w:rPr>
                      <w:snapToGrid w:val="0"/>
                      <w:szCs w:val="21"/>
                    </w:rPr>
                    <w:t>＞560</w:t>
                  </w:r>
                </w:p>
              </w:tc>
              <w:tc>
                <w:tcPr>
                  <w:tcW w:w="566" w:type="pct"/>
                  <w:tcMar>
                    <w:top w:w="28" w:type="dxa"/>
                    <w:bottom w:w="28" w:type="dxa"/>
                  </w:tcMar>
                  <w:vAlign w:val="center"/>
                </w:tcPr>
                <w:p w14:paraId="6BADF8E3">
                  <w:pPr>
                    <w:kinsoku w:val="0"/>
                    <w:adjustRightInd w:val="0"/>
                    <w:snapToGrid w:val="0"/>
                    <w:spacing w:line="240" w:lineRule="atLeast"/>
                    <w:jc w:val="center"/>
                    <w:rPr>
                      <w:snapToGrid w:val="0"/>
                      <w:szCs w:val="21"/>
                    </w:rPr>
                  </w:pPr>
                  <w:r>
                    <w:rPr>
                      <w:snapToGrid w:val="0"/>
                      <w:szCs w:val="21"/>
                    </w:rPr>
                    <w:t>3.5</w:t>
                  </w:r>
                </w:p>
              </w:tc>
              <w:tc>
                <w:tcPr>
                  <w:tcW w:w="545" w:type="pct"/>
                  <w:tcMar>
                    <w:top w:w="28" w:type="dxa"/>
                    <w:bottom w:w="28" w:type="dxa"/>
                  </w:tcMar>
                  <w:vAlign w:val="center"/>
                </w:tcPr>
                <w:p w14:paraId="0C32188D">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78E484E7">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71CB8E25">
                  <w:pPr>
                    <w:kinsoku w:val="0"/>
                    <w:adjustRightInd w:val="0"/>
                    <w:snapToGrid w:val="0"/>
                    <w:spacing w:line="240" w:lineRule="atLeast"/>
                    <w:jc w:val="center"/>
                    <w:rPr>
                      <w:snapToGrid w:val="0"/>
                      <w:szCs w:val="21"/>
                    </w:rPr>
                  </w:pPr>
                  <w:r>
                    <w:rPr>
                      <w:snapToGrid w:val="0"/>
                      <w:szCs w:val="21"/>
                    </w:rPr>
                    <w:t>6.4</w:t>
                  </w:r>
                </w:p>
              </w:tc>
              <w:tc>
                <w:tcPr>
                  <w:tcW w:w="545" w:type="pct"/>
                  <w:tcMar>
                    <w:top w:w="28" w:type="dxa"/>
                    <w:bottom w:w="28" w:type="dxa"/>
                  </w:tcMar>
                  <w:vAlign w:val="center"/>
                </w:tcPr>
                <w:p w14:paraId="291927F0">
                  <w:pPr>
                    <w:kinsoku w:val="0"/>
                    <w:adjustRightInd w:val="0"/>
                    <w:snapToGrid w:val="0"/>
                    <w:spacing w:line="240" w:lineRule="atLeast"/>
                    <w:jc w:val="center"/>
                    <w:rPr>
                      <w:snapToGrid w:val="0"/>
                      <w:szCs w:val="21"/>
                    </w:rPr>
                  </w:pPr>
                  <w:r>
                    <w:rPr>
                      <w:snapToGrid w:val="0"/>
                      <w:szCs w:val="21"/>
                    </w:rPr>
                    <w:t>0.20</w:t>
                  </w:r>
                </w:p>
              </w:tc>
              <w:tc>
                <w:tcPr>
                  <w:tcW w:w="468" w:type="pct"/>
                  <w:tcMar>
                    <w:top w:w="28" w:type="dxa"/>
                    <w:bottom w:w="28" w:type="dxa"/>
                  </w:tcMar>
                  <w:vAlign w:val="center"/>
                </w:tcPr>
                <w:p w14:paraId="451DFDD3">
                  <w:pPr>
                    <w:kinsoku w:val="0"/>
                    <w:adjustRightInd w:val="0"/>
                    <w:snapToGrid w:val="0"/>
                    <w:spacing w:line="240" w:lineRule="atLeast"/>
                    <w:jc w:val="center"/>
                    <w:rPr>
                      <w:snapToGrid w:val="0"/>
                      <w:szCs w:val="21"/>
                    </w:rPr>
                  </w:pPr>
                  <w:r>
                    <w:rPr>
                      <w:snapToGrid w:val="0"/>
                      <w:szCs w:val="21"/>
                    </w:rPr>
                    <w:t>—</w:t>
                  </w:r>
                </w:p>
              </w:tc>
              <w:tc>
                <w:tcPr>
                  <w:tcW w:w="622" w:type="pct"/>
                  <w:tcMar>
                    <w:top w:w="28" w:type="dxa"/>
                    <w:bottom w:w="28" w:type="dxa"/>
                  </w:tcMar>
                  <w:vAlign w:val="center"/>
                </w:tcPr>
                <w:p w14:paraId="2A9F671D">
                  <w:pPr>
                    <w:kinsoku w:val="0"/>
                    <w:adjustRightInd w:val="0"/>
                    <w:snapToGrid w:val="0"/>
                    <w:spacing w:line="240" w:lineRule="atLeast"/>
                    <w:jc w:val="center"/>
                    <w:rPr>
                      <w:snapToGrid w:val="0"/>
                      <w:szCs w:val="21"/>
                    </w:rPr>
                  </w:pPr>
                  <w:r>
                    <w:rPr>
                      <w:snapToGrid w:val="0"/>
                      <w:szCs w:val="21"/>
                    </w:rPr>
                    <w:t>—</w:t>
                  </w:r>
                </w:p>
              </w:tc>
            </w:tr>
            <w:tr w14:paraId="7284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7995249A">
                  <w:pPr>
                    <w:widowControl/>
                    <w:jc w:val="left"/>
                    <w:rPr>
                      <w:snapToGrid w:val="0"/>
                      <w:szCs w:val="21"/>
                    </w:rPr>
                  </w:pPr>
                </w:p>
              </w:tc>
              <w:tc>
                <w:tcPr>
                  <w:tcW w:w="717" w:type="pct"/>
                  <w:tcMar>
                    <w:top w:w="28" w:type="dxa"/>
                    <w:bottom w:w="28" w:type="dxa"/>
                  </w:tcMar>
                  <w:vAlign w:val="center"/>
                </w:tcPr>
                <w:p w14:paraId="69AA1244">
                  <w:pPr>
                    <w:kinsoku w:val="0"/>
                    <w:adjustRightInd w:val="0"/>
                    <w:snapToGrid w:val="0"/>
                    <w:spacing w:line="240" w:lineRule="atLeast"/>
                    <w:jc w:val="center"/>
                    <w:rPr>
                      <w:snapToGrid w:val="0"/>
                      <w:szCs w:val="21"/>
                    </w:rPr>
                  </w:pPr>
                  <w:r>
                    <w:rPr>
                      <w:snapToGrid w:val="0"/>
                      <w:szCs w:val="21"/>
                    </w:rPr>
                    <w:t>130≤P</w:t>
                  </w:r>
                  <w:r>
                    <w:rPr>
                      <w:snapToGrid w:val="0"/>
                      <w:szCs w:val="21"/>
                      <w:vertAlign w:val="subscript"/>
                    </w:rPr>
                    <w:t>max</w:t>
                  </w:r>
                  <w:r>
                    <w:rPr>
                      <w:snapToGrid w:val="0"/>
                      <w:szCs w:val="21"/>
                    </w:rPr>
                    <w:t>≤560</w:t>
                  </w:r>
                </w:p>
              </w:tc>
              <w:tc>
                <w:tcPr>
                  <w:tcW w:w="566" w:type="pct"/>
                  <w:tcMar>
                    <w:top w:w="28" w:type="dxa"/>
                    <w:bottom w:w="28" w:type="dxa"/>
                  </w:tcMar>
                  <w:vAlign w:val="center"/>
                </w:tcPr>
                <w:p w14:paraId="3C8BB151">
                  <w:pPr>
                    <w:kinsoku w:val="0"/>
                    <w:adjustRightInd w:val="0"/>
                    <w:snapToGrid w:val="0"/>
                    <w:spacing w:line="240" w:lineRule="atLeast"/>
                    <w:jc w:val="center"/>
                    <w:rPr>
                      <w:snapToGrid w:val="0"/>
                      <w:szCs w:val="21"/>
                    </w:rPr>
                  </w:pPr>
                  <w:r>
                    <w:rPr>
                      <w:snapToGrid w:val="0"/>
                      <w:szCs w:val="21"/>
                    </w:rPr>
                    <w:t>3.5</w:t>
                  </w:r>
                </w:p>
              </w:tc>
              <w:tc>
                <w:tcPr>
                  <w:tcW w:w="545" w:type="pct"/>
                  <w:tcMar>
                    <w:top w:w="28" w:type="dxa"/>
                    <w:bottom w:w="28" w:type="dxa"/>
                  </w:tcMar>
                  <w:vAlign w:val="center"/>
                </w:tcPr>
                <w:p w14:paraId="561E3881">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606AA306">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75FD082D">
                  <w:pPr>
                    <w:kinsoku w:val="0"/>
                    <w:adjustRightInd w:val="0"/>
                    <w:snapToGrid w:val="0"/>
                    <w:spacing w:line="240" w:lineRule="atLeast"/>
                    <w:jc w:val="center"/>
                    <w:rPr>
                      <w:snapToGrid w:val="0"/>
                      <w:szCs w:val="21"/>
                    </w:rPr>
                  </w:pPr>
                  <w:r>
                    <w:rPr>
                      <w:snapToGrid w:val="0"/>
                      <w:szCs w:val="21"/>
                    </w:rPr>
                    <w:t>4.0</w:t>
                  </w:r>
                </w:p>
              </w:tc>
              <w:tc>
                <w:tcPr>
                  <w:tcW w:w="545" w:type="pct"/>
                  <w:tcMar>
                    <w:top w:w="28" w:type="dxa"/>
                    <w:bottom w:w="28" w:type="dxa"/>
                  </w:tcMar>
                  <w:vAlign w:val="center"/>
                </w:tcPr>
                <w:p w14:paraId="072F8EE0">
                  <w:pPr>
                    <w:kinsoku w:val="0"/>
                    <w:adjustRightInd w:val="0"/>
                    <w:snapToGrid w:val="0"/>
                    <w:spacing w:line="240" w:lineRule="atLeast"/>
                    <w:jc w:val="center"/>
                    <w:rPr>
                      <w:snapToGrid w:val="0"/>
                      <w:szCs w:val="21"/>
                    </w:rPr>
                  </w:pPr>
                  <w:r>
                    <w:rPr>
                      <w:snapToGrid w:val="0"/>
                      <w:szCs w:val="21"/>
                    </w:rPr>
                    <w:t>0.20</w:t>
                  </w:r>
                </w:p>
              </w:tc>
              <w:tc>
                <w:tcPr>
                  <w:tcW w:w="468" w:type="pct"/>
                  <w:tcMar>
                    <w:top w:w="28" w:type="dxa"/>
                    <w:bottom w:w="28" w:type="dxa"/>
                  </w:tcMar>
                  <w:vAlign w:val="center"/>
                </w:tcPr>
                <w:p w14:paraId="4688E9D6">
                  <w:pPr>
                    <w:kinsoku w:val="0"/>
                    <w:adjustRightInd w:val="0"/>
                    <w:snapToGrid w:val="0"/>
                    <w:spacing w:line="240" w:lineRule="atLeast"/>
                    <w:jc w:val="center"/>
                    <w:rPr>
                      <w:snapToGrid w:val="0"/>
                      <w:szCs w:val="21"/>
                    </w:rPr>
                  </w:pPr>
                  <w:r>
                    <w:rPr>
                      <w:snapToGrid w:val="0"/>
                      <w:szCs w:val="21"/>
                    </w:rPr>
                    <w:t>—</w:t>
                  </w:r>
                </w:p>
              </w:tc>
              <w:tc>
                <w:tcPr>
                  <w:tcW w:w="622" w:type="pct"/>
                  <w:tcMar>
                    <w:top w:w="28" w:type="dxa"/>
                    <w:bottom w:w="28" w:type="dxa"/>
                  </w:tcMar>
                  <w:vAlign w:val="center"/>
                </w:tcPr>
                <w:p w14:paraId="0D7F9501">
                  <w:pPr>
                    <w:kinsoku w:val="0"/>
                    <w:adjustRightInd w:val="0"/>
                    <w:snapToGrid w:val="0"/>
                    <w:spacing w:line="240" w:lineRule="atLeast"/>
                    <w:jc w:val="center"/>
                    <w:rPr>
                      <w:snapToGrid w:val="0"/>
                      <w:szCs w:val="21"/>
                    </w:rPr>
                  </w:pPr>
                  <w:r>
                    <w:rPr>
                      <w:snapToGrid w:val="0"/>
                      <w:szCs w:val="21"/>
                    </w:rPr>
                    <w:t>—</w:t>
                  </w:r>
                </w:p>
              </w:tc>
            </w:tr>
            <w:tr w14:paraId="3E49D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4F207A69">
                  <w:pPr>
                    <w:widowControl/>
                    <w:jc w:val="left"/>
                    <w:rPr>
                      <w:snapToGrid w:val="0"/>
                      <w:szCs w:val="21"/>
                    </w:rPr>
                  </w:pPr>
                </w:p>
              </w:tc>
              <w:tc>
                <w:tcPr>
                  <w:tcW w:w="717" w:type="pct"/>
                  <w:tcMar>
                    <w:top w:w="28" w:type="dxa"/>
                    <w:bottom w:w="28" w:type="dxa"/>
                  </w:tcMar>
                  <w:vAlign w:val="center"/>
                </w:tcPr>
                <w:p w14:paraId="2C04F27A">
                  <w:pPr>
                    <w:kinsoku w:val="0"/>
                    <w:adjustRightInd w:val="0"/>
                    <w:snapToGrid w:val="0"/>
                    <w:spacing w:line="240" w:lineRule="atLeast"/>
                    <w:jc w:val="center"/>
                    <w:rPr>
                      <w:snapToGrid w:val="0"/>
                      <w:szCs w:val="21"/>
                    </w:rPr>
                  </w:pPr>
                  <w:r>
                    <w:rPr>
                      <w:snapToGrid w:val="0"/>
                      <w:szCs w:val="21"/>
                    </w:rPr>
                    <w:t>75≤P</w:t>
                  </w:r>
                  <w:r>
                    <w:rPr>
                      <w:snapToGrid w:val="0"/>
                      <w:szCs w:val="21"/>
                      <w:vertAlign w:val="subscript"/>
                    </w:rPr>
                    <w:t>max</w:t>
                  </w:r>
                  <w:r>
                    <w:rPr>
                      <w:snapToGrid w:val="0"/>
                      <w:szCs w:val="21"/>
                    </w:rPr>
                    <w:t>＜130</w:t>
                  </w:r>
                </w:p>
              </w:tc>
              <w:tc>
                <w:tcPr>
                  <w:tcW w:w="566" w:type="pct"/>
                  <w:tcMar>
                    <w:top w:w="28" w:type="dxa"/>
                    <w:bottom w:w="28" w:type="dxa"/>
                  </w:tcMar>
                  <w:vAlign w:val="center"/>
                </w:tcPr>
                <w:p w14:paraId="54D6EE1D">
                  <w:pPr>
                    <w:kinsoku w:val="0"/>
                    <w:adjustRightInd w:val="0"/>
                    <w:snapToGrid w:val="0"/>
                    <w:spacing w:line="240" w:lineRule="atLeast"/>
                    <w:jc w:val="center"/>
                    <w:rPr>
                      <w:snapToGrid w:val="0"/>
                      <w:szCs w:val="21"/>
                    </w:rPr>
                  </w:pPr>
                  <w:r>
                    <w:rPr>
                      <w:snapToGrid w:val="0"/>
                      <w:szCs w:val="21"/>
                    </w:rPr>
                    <w:t>5.0</w:t>
                  </w:r>
                </w:p>
              </w:tc>
              <w:tc>
                <w:tcPr>
                  <w:tcW w:w="545" w:type="pct"/>
                  <w:tcMar>
                    <w:top w:w="28" w:type="dxa"/>
                    <w:bottom w:w="28" w:type="dxa"/>
                  </w:tcMar>
                  <w:vAlign w:val="center"/>
                </w:tcPr>
                <w:p w14:paraId="5479A66D">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59F27FE8">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4721DF17">
                  <w:pPr>
                    <w:kinsoku w:val="0"/>
                    <w:adjustRightInd w:val="0"/>
                    <w:snapToGrid w:val="0"/>
                    <w:spacing w:line="240" w:lineRule="atLeast"/>
                    <w:jc w:val="center"/>
                    <w:rPr>
                      <w:snapToGrid w:val="0"/>
                      <w:szCs w:val="21"/>
                    </w:rPr>
                  </w:pPr>
                  <w:r>
                    <w:rPr>
                      <w:snapToGrid w:val="0"/>
                      <w:szCs w:val="21"/>
                    </w:rPr>
                    <w:t>4.0</w:t>
                  </w:r>
                </w:p>
              </w:tc>
              <w:tc>
                <w:tcPr>
                  <w:tcW w:w="545" w:type="pct"/>
                  <w:tcMar>
                    <w:top w:w="28" w:type="dxa"/>
                    <w:bottom w:w="28" w:type="dxa"/>
                  </w:tcMar>
                  <w:vAlign w:val="center"/>
                </w:tcPr>
                <w:p w14:paraId="79786033">
                  <w:pPr>
                    <w:kinsoku w:val="0"/>
                    <w:adjustRightInd w:val="0"/>
                    <w:snapToGrid w:val="0"/>
                    <w:spacing w:line="240" w:lineRule="atLeast"/>
                    <w:jc w:val="center"/>
                    <w:rPr>
                      <w:snapToGrid w:val="0"/>
                      <w:szCs w:val="21"/>
                    </w:rPr>
                  </w:pPr>
                  <w:r>
                    <w:rPr>
                      <w:snapToGrid w:val="0"/>
                      <w:szCs w:val="21"/>
                    </w:rPr>
                    <w:t>0.30</w:t>
                  </w:r>
                </w:p>
              </w:tc>
              <w:tc>
                <w:tcPr>
                  <w:tcW w:w="468" w:type="pct"/>
                  <w:tcMar>
                    <w:top w:w="28" w:type="dxa"/>
                    <w:bottom w:w="28" w:type="dxa"/>
                  </w:tcMar>
                  <w:vAlign w:val="center"/>
                </w:tcPr>
                <w:p w14:paraId="1A0F857B">
                  <w:pPr>
                    <w:kinsoku w:val="0"/>
                    <w:adjustRightInd w:val="0"/>
                    <w:snapToGrid w:val="0"/>
                    <w:spacing w:line="240" w:lineRule="atLeast"/>
                    <w:jc w:val="center"/>
                    <w:rPr>
                      <w:snapToGrid w:val="0"/>
                      <w:szCs w:val="21"/>
                    </w:rPr>
                  </w:pPr>
                  <w:r>
                    <w:rPr>
                      <w:snapToGrid w:val="0"/>
                      <w:szCs w:val="21"/>
                    </w:rPr>
                    <w:t>—</w:t>
                  </w:r>
                </w:p>
              </w:tc>
              <w:tc>
                <w:tcPr>
                  <w:tcW w:w="622" w:type="pct"/>
                  <w:tcMar>
                    <w:top w:w="28" w:type="dxa"/>
                    <w:bottom w:w="28" w:type="dxa"/>
                  </w:tcMar>
                  <w:vAlign w:val="center"/>
                </w:tcPr>
                <w:p w14:paraId="60808A63">
                  <w:pPr>
                    <w:kinsoku w:val="0"/>
                    <w:adjustRightInd w:val="0"/>
                    <w:snapToGrid w:val="0"/>
                    <w:spacing w:line="240" w:lineRule="atLeast"/>
                    <w:jc w:val="center"/>
                    <w:rPr>
                      <w:snapToGrid w:val="0"/>
                      <w:szCs w:val="21"/>
                    </w:rPr>
                  </w:pPr>
                  <w:r>
                    <w:rPr>
                      <w:snapToGrid w:val="0"/>
                      <w:szCs w:val="21"/>
                    </w:rPr>
                    <w:t>—</w:t>
                  </w:r>
                </w:p>
              </w:tc>
            </w:tr>
            <w:tr w14:paraId="14D7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318F772C">
                  <w:pPr>
                    <w:widowControl/>
                    <w:jc w:val="left"/>
                    <w:rPr>
                      <w:snapToGrid w:val="0"/>
                      <w:szCs w:val="21"/>
                    </w:rPr>
                  </w:pPr>
                </w:p>
              </w:tc>
              <w:tc>
                <w:tcPr>
                  <w:tcW w:w="717" w:type="pct"/>
                  <w:tcMar>
                    <w:top w:w="28" w:type="dxa"/>
                    <w:bottom w:w="28" w:type="dxa"/>
                  </w:tcMar>
                  <w:vAlign w:val="center"/>
                </w:tcPr>
                <w:p w14:paraId="67DBA242">
                  <w:pPr>
                    <w:kinsoku w:val="0"/>
                    <w:adjustRightInd w:val="0"/>
                    <w:snapToGrid w:val="0"/>
                    <w:spacing w:line="240" w:lineRule="atLeast"/>
                    <w:jc w:val="center"/>
                    <w:rPr>
                      <w:snapToGrid w:val="0"/>
                      <w:szCs w:val="21"/>
                    </w:rPr>
                  </w:pPr>
                  <w:r>
                    <w:rPr>
                      <w:snapToGrid w:val="0"/>
                      <w:szCs w:val="21"/>
                    </w:rPr>
                    <w:t>37≤P</w:t>
                  </w:r>
                  <w:r>
                    <w:rPr>
                      <w:snapToGrid w:val="0"/>
                      <w:szCs w:val="21"/>
                      <w:vertAlign w:val="subscript"/>
                    </w:rPr>
                    <w:t>max</w:t>
                  </w:r>
                  <w:r>
                    <w:rPr>
                      <w:snapToGrid w:val="0"/>
                      <w:szCs w:val="21"/>
                    </w:rPr>
                    <w:t>＜75</w:t>
                  </w:r>
                </w:p>
              </w:tc>
              <w:tc>
                <w:tcPr>
                  <w:tcW w:w="566" w:type="pct"/>
                  <w:tcMar>
                    <w:top w:w="28" w:type="dxa"/>
                    <w:bottom w:w="28" w:type="dxa"/>
                  </w:tcMar>
                  <w:vAlign w:val="center"/>
                </w:tcPr>
                <w:p w14:paraId="6FEC9E8E">
                  <w:pPr>
                    <w:kinsoku w:val="0"/>
                    <w:adjustRightInd w:val="0"/>
                    <w:snapToGrid w:val="0"/>
                    <w:spacing w:line="240" w:lineRule="atLeast"/>
                    <w:jc w:val="center"/>
                    <w:rPr>
                      <w:snapToGrid w:val="0"/>
                      <w:szCs w:val="21"/>
                    </w:rPr>
                  </w:pPr>
                  <w:r>
                    <w:rPr>
                      <w:snapToGrid w:val="0"/>
                      <w:szCs w:val="21"/>
                    </w:rPr>
                    <w:t>5.0</w:t>
                  </w:r>
                </w:p>
              </w:tc>
              <w:tc>
                <w:tcPr>
                  <w:tcW w:w="545" w:type="pct"/>
                  <w:tcMar>
                    <w:top w:w="28" w:type="dxa"/>
                    <w:bottom w:w="28" w:type="dxa"/>
                  </w:tcMar>
                  <w:vAlign w:val="center"/>
                </w:tcPr>
                <w:p w14:paraId="638BB2F5">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015D4723">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727EACEE">
                  <w:pPr>
                    <w:kinsoku w:val="0"/>
                    <w:adjustRightInd w:val="0"/>
                    <w:snapToGrid w:val="0"/>
                    <w:spacing w:line="240" w:lineRule="atLeast"/>
                    <w:jc w:val="center"/>
                    <w:rPr>
                      <w:snapToGrid w:val="0"/>
                      <w:szCs w:val="21"/>
                    </w:rPr>
                  </w:pPr>
                  <w:r>
                    <w:rPr>
                      <w:snapToGrid w:val="0"/>
                      <w:szCs w:val="21"/>
                    </w:rPr>
                    <w:t>4.7</w:t>
                  </w:r>
                </w:p>
              </w:tc>
              <w:tc>
                <w:tcPr>
                  <w:tcW w:w="545" w:type="pct"/>
                  <w:tcMar>
                    <w:top w:w="28" w:type="dxa"/>
                    <w:bottom w:w="28" w:type="dxa"/>
                  </w:tcMar>
                  <w:vAlign w:val="center"/>
                </w:tcPr>
                <w:p w14:paraId="00BD0E8B">
                  <w:pPr>
                    <w:kinsoku w:val="0"/>
                    <w:adjustRightInd w:val="0"/>
                    <w:snapToGrid w:val="0"/>
                    <w:spacing w:line="240" w:lineRule="atLeast"/>
                    <w:jc w:val="center"/>
                    <w:rPr>
                      <w:snapToGrid w:val="0"/>
                      <w:szCs w:val="21"/>
                    </w:rPr>
                  </w:pPr>
                  <w:r>
                    <w:rPr>
                      <w:snapToGrid w:val="0"/>
                      <w:szCs w:val="21"/>
                    </w:rPr>
                    <w:t>0.40</w:t>
                  </w:r>
                </w:p>
              </w:tc>
              <w:tc>
                <w:tcPr>
                  <w:tcW w:w="468" w:type="pct"/>
                  <w:tcMar>
                    <w:top w:w="28" w:type="dxa"/>
                    <w:bottom w:w="28" w:type="dxa"/>
                  </w:tcMar>
                  <w:vAlign w:val="center"/>
                </w:tcPr>
                <w:p w14:paraId="6FE38EAF">
                  <w:pPr>
                    <w:kinsoku w:val="0"/>
                    <w:adjustRightInd w:val="0"/>
                    <w:snapToGrid w:val="0"/>
                    <w:spacing w:line="240" w:lineRule="atLeast"/>
                    <w:jc w:val="center"/>
                    <w:rPr>
                      <w:snapToGrid w:val="0"/>
                      <w:szCs w:val="21"/>
                    </w:rPr>
                  </w:pPr>
                  <w:r>
                    <w:rPr>
                      <w:snapToGrid w:val="0"/>
                      <w:szCs w:val="21"/>
                    </w:rPr>
                    <w:t>—</w:t>
                  </w:r>
                </w:p>
              </w:tc>
              <w:tc>
                <w:tcPr>
                  <w:tcW w:w="622" w:type="pct"/>
                  <w:tcMar>
                    <w:top w:w="28" w:type="dxa"/>
                    <w:bottom w:w="28" w:type="dxa"/>
                  </w:tcMar>
                  <w:vAlign w:val="center"/>
                </w:tcPr>
                <w:p w14:paraId="07E5C584">
                  <w:pPr>
                    <w:kinsoku w:val="0"/>
                    <w:adjustRightInd w:val="0"/>
                    <w:snapToGrid w:val="0"/>
                    <w:spacing w:line="240" w:lineRule="atLeast"/>
                    <w:jc w:val="center"/>
                    <w:rPr>
                      <w:snapToGrid w:val="0"/>
                      <w:szCs w:val="21"/>
                    </w:rPr>
                  </w:pPr>
                  <w:r>
                    <w:rPr>
                      <w:snapToGrid w:val="0"/>
                      <w:szCs w:val="21"/>
                    </w:rPr>
                    <w:t>—</w:t>
                  </w:r>
                </w:p>
              </w:tc>
            </w:tr>
            <w:tr w14:paraId="48D7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1A2F9C2F">
                  <w:pPr>
                    <w:widowControl/>
                    <w:jc w:val="left"/>
                    <w:rPr>
                      <w:snapToGrid w:val="0"/>
                      <w:szCs w:val="21"/>
                    </w:rPr>
                  </w:pPr>
                </w:p>
              </w:tc>
              <w:tc>
                <w:tcPr>
                  <w:tcW w:w="717" w:type="pct"/>
                  <w:tcMar>
                    <w:top w:w="28" w:type="dxa"/>
                    <w:bottom w:w="28" w:type="dxa"/>
                  </w:tcMar>
                  <w:vAlign w:val="center"/>
                </w:tcPr>
                <w:p w14:paraId="2F8789DF">
                  <w:pPr>
                    <w:kinsoku w:val="0"/>
                    <w:adjustRightInd w:val="0"/>
                    <w:snapToGrid w:val="0"/>
                    <w:spacing w:line="240" w:lineRule="atLeast"/>
                    <w:jc w:val="center"/>
                    <w:rPr>
                      <w:snapToGrid w:val="0"/>
                      <w:szCs w:val="21"/>
                    </w:rPr>
                  </w:pPr>
                  <w:r>
                    <w:rPr>
                      <w:snapToGrid w:val="0"/>
                      <w:szCs w:val="21"/>
                    </w:rPr>
                    <w:t>P</w:t>
                  </w:r>
                  <w:r>
                    <w:rPr>
                      <w:snapToGrid w:val="0"/>
                      <w:szCs w:val="21"/>
                      <w:vertAlign w:val="subscript"/>
                    </w:rPr>
                    <w:t>max</w:t>
                  </w:r>
                  <w:r>
                    <w:rPr>
                      <w:snapToGrid w:val="0"/>
                      <w:szCs w:val="21"/>
                    </w:rPr>
                    <w:t>＜37</w:t>
                  </w:r>
                </w:p>
              </w:tc>
              <w:tc>
                <w:tcPr>
                  <w:tcW w:w="566" w:type="pct"/>
                  <w:tcMar>
                    <w:top w:w="28" w:type="dxa"/>
                    <w:bottom w:w="28" w:type="dxa"/>
                  </w:tcMar>
                  <w:vAlign w:val="center"/>
                </w:tcPr>
                <w:p w14:paraId="7DC0FED5">
                  <w:pPr>
                    <w:kinsoku w:val="0"/>
                    <w:adjustRightInd w:val="0"/>
                    <w:snapToGrid w:val="0"/>
                    <w:spacing w:line="240" w:lineRule="atLeast"/>
                    <w:jc w:val="center"/>
                    <w:rPr>
                      <w:snapToGrid w:val="0"/>
                      <w:szCs w:val="21"/>
                    </w:rPr>
                  </w:pPr>
                  <w:r>
                    <w:rPr>
                      <w:snapToGrid w:val="0"/>
                      <w:szCs w:val="21"/>
                    </w:rPr>
                    <w:t>5.5</w:t>
                  </w:r>
                </w:p>
              </w:tc>
              <w:tc>
                <w:tcPr>
                  <w:tcW w:w="545" w:type="pct"/>
                  <w:tcMar>
                    <w:top w:w="28" w:type="dxa"/>
                    <w:bottom w:w="28" w:type="dxa"/>
                  </w:tcMar>
                  <w:vAlign w:val="center"/>
                </w:tcPr>
                <w:p w14:paraId="6FFD34E0">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5FE26D2F">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0C838F00">
                  <w:pPr>
                    <w:kinsoku w:val="0"/>
                    <w:adjustRightInd w:val="0"/>
                    <w:snapToGrid w:val="0"/>
                    <w:spacing w:line="240" w:lineRule="atLeast"/>
                    <w:jc w:val="center"/>
                    <w:rPr>
                      <w:snapToGrid w:val="0"/>
                      <w:szCs w:val="21"/>
                    </w:rPr>
                  </w:pPr>
                  <w:r>
                    <w:rPr>
                      <w:snapToGrid w:val="0"/>
                      <w:szCs w:val="21"/>
                    </w:rPr>
                    <w:t>7.5</w:t>
                  </w:r>
                </w:p>
              </w:tc>
              <w:tc>
                <w:tcPr>
                  <w:tcW w:w="545" w:type="pct"/>
                  <w:tcMar>
                    <w:top w:w="28" w:type="dxa"/>
                    <w:bottom w:w="28" w:type="dxa"/>
                  </w:tcMar>
                  <w:vAlign w:val="center"/>
                </w:tcPr>
                <w:p w14:paraId="2E11AE32">
                  <w:pPr>
                    <w:kinsoku w:val="0"/>
                    <w:adjustRightInd w:val="0"/>
                    <w:snapToGrid w:val="0"/>
                    <w:spacing w:line="240" w:lineRule="atLeast"/>
                    <w:jc w:val="center"/>
                    <w:rPr>
                      <w:snapToGrid w:val="0"/>
                      <w:szCs w:val="21"/>
                    </w:rPr>
                  </w:pPr>
                  <w:r>
                    <w:rPr>
                      <w:snapToGrid w:val="0"/>
                      <w:szCs w:val="21"/>
                    </w:rPr>
                    <w:t>0.60</w:t>
                  </w:r>
                </w:p>
              </w:tc>
              <w:tc>
                <w:tcPr>
                  <w:tcW w:w="468" w:type="pct"/>
                  <w:tcMar>
                    <w:top w:w="28" w:type="dxa"/>
                    <w:bottom w:w="28" w:type="dxa"/>
                  </w:tcMar>
                  <w:vAlign w:val="center"/>
                </w:tcPr>
                <w:p w14:paraId="77547AAB">
                  <w:pPr>
                    <w:kinsoku w:val="0"/>
                    <w:adjustRightInd w:val="0"/>
                    <w:snapToGrid w:val="0"/>
                    <w:spacing w:line="240" w:lineRule="atLeast"/>
                    <w:jc w:val="center"/>
                    <w:rPr>
                      <w:snapToGrid w:val="0"/>
                      <w:szCs w:val="21"/>
                    </w:rPr>
                  </w:pPr>
                  <w:r>
                    <w:rPr>
                      <w:snapToGrid w:val="0"/>
                      <w:szCs w:val="21"/>
                    </w:rPr>
                    <w:t>—</w:t>
                  </w:r>
                </w:p>
              </w:tc>
              <w:tc>
                <w:tcPr>
                  <w:tcW w:w="622" w:type="pct"/>
                  <w:tcMar>
                    <w:top w:w="28" w:type="dxa"/>
                    <w:bottom w:w="28" w:type="dxa"/>
                  </w:tcMar>
                  <w:vAlign w:val="center"/>
                </w:tcPr>
                <w:p w14:paraId="7EF2EF66">
                  <w:pPr>
                    <w:kinsoku w:val="0"/>
                    <w:adjustRightInd w:val="0"/>
                    <w:snapToGrid w:val="0"/>
                    <w:spacing w:line="240" w:lineRule="atLeast"/>
                    <w:jc w:val="center"/>
                    <w:rPr>
                      <w:snapToGrid w:val="0"/>
                      <w:szCs w:val="21"/>
                    </w:rPr>
                  </w:pPr>
                  <w:r>
                    <w:rPr>
                      <w:snapToGrid w:val="0"/>
                      <w:szCs w:val="21"/>
                    </w:rPr>
                    <w:t>—</w:t>
                  </w:r>
                </w:p>
              </w:tc>
            </w:tr>
            <w:tr w14:paraId="262C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restart"/>
                  <w:tcMar>
                    <w:top w:w="28" w:type="dxa"/>
                    <w:bottom w:w="28" w:type="dxa"/>
                  </w:tcMar>
                  <w:vAlign w:val="center"/>
                </w:tcPr>
                <w:p w14:paraId="7DAEF561">
                  <w:pPr>
                    <w:kinsoku w:val="0"/>
                    <w:adjustRightInd w:val="0"/>
                    <w:snapToGrid w:val="0"/>
                    <w:spacing w:line="240" w:lineRule="atLeast"/>
                    <w:jc w:val="center"/>
                    <w:rPr>
                      <w:snapToGrid w:val="0"/>
                      <w:szCs w:val="21"/>
                    </w:rPr>
                  </w:pPr>
                  <w:r>
                    <w:rPr>
                      <w:snapToGrid w:val="0"/>
                      <w:szCs w:val="21"/>
                    </w:rPr>
                    <w:t>第</w:t>
                  </w:r>
                </w:p>
                <w:p w14:paraId="3C08772F">
                  <w:pPr>
                    <w:kinsoku w:val="0"/>
                    <w:adjustRightInd w:val="0"/>
                    <w:snapToGrid w:val="0"/>
                    <w:spacing w:line="240" w:lineRule="atLeast"/>
                    <w:jc w:val="center"/>
                    <w:rPr>
                      <w:snapToGrid w:val="0"/>
                      <w:szCs w:val="21"/>
                    </w:rPr>
                  </w:pPr>
                  <w:r>
                    <w:rPr>
                      <w:snapToGrid w:val="0"/>
                      <w:szCs w:val="21"/>
                    </w:rPr>
                    <w:t>四</w:t>
                  </w:r>
                </w:p>
                <w:p w14:paraId="2BD1241C">
                  <w:pPr>
                    <w:kinsoku w:val="0"/>
                    <w:adjustRightInd w:val="0"/>
                    <w:snapToGrid w:val="0"/>
                    <w:spacing w:line="240" w:lineRule="atLeast"/>
                    <w:jc w:val="center"/>
                    <w:rPr>
                      <w:snapToGrid w:val="0"/>
                      <w:szCs w:val="21"/>
                    </w:rPr>
                  </w:pPr>
                  <w:r>
                    <w:rPr>
                      <w:snapToGrid w:val="0"/>
                      <w:szCs w:val="21"/>
                    </w:rPr>
                    <w:t>阶</w:t>
                  </w:r>
                </w:p>
                <w:p w14:paraId="11631E71">
                  <w:pPr>
                    <w:kinsoku w:val="0"/>
                    <w:adjustRightInd w:val="0"/>
                    <w:snapToGrid w:val="0"/>
                    <w:spacing w:line="240" w:lineRule="atLeast"/>
                    <w:jc w:val="center"/>
                    <w:rPr>
                      <w:snapToGrid w:val="0"/>
                      <w:szCs w:val="21"/>
                    </w:rPr>
                  </w:pPr>
                  <w:r>
                    <w:rPr>
                      <w:snapToGrid w:val="0"/>
                      <w:szCs w:val="21"/>
                    </w:rPr>
                    <w:t>段</w:t>
                  </w:r>
                </w:p>
              </w:tc>
              <w:tc>
                <w:tcPr>
                  <w:tcW w:w="717" w:type="pct"/>
                  <w:tcMar>
                    <w:top w:w="28" w:type="dxa"/>
                    <w:bottom w:w="28" w:type="dxa"/>
                  </w:tcMar>
                  <w:vAlign w:val="center"/>
                </w:tcPr>
                <w:p w14:paraId="2293877B">
                  <w:pPr>
                    <w:kinsoku w:val="0"/>
                    <w:adjustRightInd w:val="0"/>
                    <w:snapToGrid w:val="0"/>
                    <w:spacing w:line="240" w:lineRule="atLeast"/>
                    <w:jc w:val="center"/>
                    <w:rPr>
                      <w:snapToGrid w:val="0"/>
                      <w:szCs w:val="21"/>
                    </w:rPr>
                  </w:pPr>
                  <w:r>
                    <w:rPr>
                      <w:snapToGrid w:val="0"/>
                      <w:szCs w:val="21"/>
                    </w:rPr>
                    <w:t>P</w:t>
                  </w:r>
                  <w:r>
                    <w:rPr>
                      <w:snapToGrid w:val="0"/>
                      <w:szCs w:val="21"/>
                      <w:vertAlign w:val="subscript"/>
                    </w:rPr>
                    <w:t>max</w:t>
                  </w:r>
                  <w:r>
                    <w:rPr>
                      <w:snapToGrid w:val="0"/>
                      <w:szCs w:val="21"/>
                    </w:rPr>
                    <w:t>＞560</w:t>
                  </w:r>
                </w:p>
              </w:tc>
              <w:tc>
                <w:tcPr>
                  <w:tcW w:w="566" w:type="pct"/>
                  <w:tcMar>
                    <w:top w:w="28" w:type="dxa"/>
                    <w:bottom w:w="28" w:type="dxa"/>
                  </w:tcMar>
                  <w:vAlign w:val="center"/>
                </w:tcPr>
                <w:p w14:paraId="10C13687">
                  <w:pPr>
                    <w:kinsoku w:val="0"/>
                    <w:adjustRightInd w:val="0"/>
                    <w:snapToGrid w:val="0"/>
                    <w:spacing w:line="240" w:lineRule="atLeast"/>
                    <w:jc w:val="center"/>
                    <w:rPr>
                      <w:snapToGrid w:val="0"/>
                      <w:szCs w:val="21"/>
                    </w:rPr>
                  </w:pPr>
                  <w:r>
                    <w:rPr>
                      <w:snapToGrid w:val="0"/>
                      <w:szCs w:val="21"/>
                    </w:rPr>
                    <w:t>3.5</w:t>
                  </w:r>
                </w:p>
              </w:tc>
              <w:tc>
                <w:tcPr>
                  <w:tcW w:w="545" w:type="pct"/>
                  <w:tcMar>
                    <w:top w:w="28" w:type="dxa"/>
                    <w:bottom w:w="28" w:type="dxa"/>
                  </w:tcMar>
                  <w:vAlign w:val="center"/>
                </w:tcPr>
                <w:p w14:paraId="5F559F66">
                  <w:pPr>
                    <w:kinsoku w:val="0"/>
                    <w:adjustRightInd w:val="0"/>
                    <w:snapToGrid w:val="0"/>
                    <w:spacing w:line="240" w:lineRule="atLeast"/>
                    <w:jc w:val="center"/>
                    <w:rPr>
                      <w:snapToGrid w:val="0"/>
                      <w:szCs w:val="21"/>
                    </w:rPr>
                  </w:pPr>
                  <w:r>
                    <w:rPr>
                      <w:snapToGrid w:val="0"/>
                      <w:szCs w:val="21"/>
                    </w:rPr>
                    <w:t>0.40</w:t>
                  </w:r>
                </w:p>
              </w:tc>
              <w:tc>
                <w:tcPr>
                  <w:tcW w:w="623" w:type="pct"/>
                  <w:tcMar>
                    <w:top w:w="28" w:type="dxa"/>
                    <w:bottom w:w="28" w:type="dxa"/>
                  </w:tcMar>
                  <w:vAlign w:val="center"/>
                </w:tcPr>
                <w:p w14:paraId="72D0FB65">
                  <w:pPr>
                    <w:kinsoku w:val="0"/>
                    <w:adjustRightInd w:val="0"/>
                    <w:snapToGrid w:val="0"/>
                    <w:spacing w:line="240" w:lineRule="atLeast"/>
                    <w:jc w:val="center"/>
                    <w:rPr>
                      <w:snapToGrid w:val="0"/>
                      <w:szCs w:val="21"/>
                    </w:rPr>
                  </w:pPr>
                  <w:r>
                    <w:rPr>
                      <w:snapToGrid w:val="0"/>
                      <w:szCs w:val="21"/>
                    </w:rPr>
                    <w:t>3.5，0.67</w:t>
                  </w:r>
                  <w:r>
                    <w:rPr>
                      <w:snapToGrid w:val="0"/>
                      <w:szCs w:val="21"/>
                      <w:vertAlign w:val="superscript"/>
                    </w:rPr>
                    <w:t>a</w:t>
                  </w:r>
                </w:p>
              </w:tc>
              <w:tc>
                <w:tcPr>
                  <w:tcW w:w="623" w:type="pct"/>
                  <w:tcMar>
                    <w:top w:w="28" w:type="dxa"/>
                    <w:bottom w:w="28" w:type="dxa"/>
                  </w:tcMar>
                  <w:vAlign w:val="center"/>
                </w:tcPr>
                <w:p w14:paraId="56494EBF">
                  <w:pPr>
                    <w:kinsoku w:val="0"/>
                    <w:adjustRightInd w:val="0"/>
                    <w:snapToGrid w:val="0"/>
                    <w:spacing w:line="240" w:lineRule="atLeast"/>
                    <w:jc w:val="center"/>
                    <w:rPr>
                      <w:snapToGrid w:val="0"/>
                      <w:szCs w:val="21"/>
                    </w:rPr>
                  </w:pPr>
                  <w:r>
                    <w:rPr>
                      <w:snapToGrid w:val="0"/>
                      <w:szCs w:val="21"/>
                    </w:rPr>
                    <w:t>—</w:t>
                  </w:r>
                </w:p>
              </w:tc>
              <w:tc>
                <w:tcPr>
                  <w:tcW w:w="545" w:type="pct"/>
                  <w:tcMar>
                    <w:top w:w="28" w:type="dxa"/>
                    <w:bottom w:w="28" w:type="dxa"/>
                  </w:tcMar>
                  <w:vAlign w:val="center"/>
                </w:tcPr>
                <w:p w14:paraId="555ED55E">
                  <w:pPr>
                    <w:kinsoku w:val="0"/>
                    <w:adjustRightInd w:val="0"/>
                    <w:snapToGrid w:val="0"/>
                    <w:spacing w:line="240" w:lineRule="atLeast"/>
                    <w:jc w:val="center"/>
                    <w:rPr>
                      <w:snapToGrid w:val="0"/>
                      <w:szCs w:val="21"/>
                    </w:rPr>
                  </w:pPr>
                  <w:r>
                    <w:rPr>
                      <w:snapToGrid w:val="0"/>
                      <w:szCs w:val="21"/>
                    </w:rPr>
                    <w:t>0.10</w:t>
                  </w:r>
                </w:p>
              </w:tc>
              <w:tc>
                <w:tcPr>
                  <w:tcW w:w="468" w:type="pct"/>
                  <w:vMerge w:val="restart"/>
                  <w:tcMar>
                    <w:top w:w="28" w:type="dxa"/>
                    <w:bottom w:w="28" w:type="dxa"/>
                  </w:tcMar>
                  <w:vAlign w:val="center"/>
                </w:tcPr>
                <w:p w14:paraId="322C6B23">
                  <w:pPr>
                    <w:kinsoku w:val="0"/>
                    <w:adjustRightInd w:val="0"/>
                    <w:snapToGrid w:val="0"/>
                    <w:spacing w:line="240" w:lineRule="atLeast"/>
                    <w:jc w:val="center"/>
                    <w:rPr>
                      <w:snapToGrid w:val="0"/>
                      <w:szCs w:val="21"/>
                    </w:rPr>
                  </w:pPr>
                  <w:r>
                    <w:rPr>
                      <w:snapToGrid w:val="0"/>
                      <w:szCs w:val="21"/>
                    </w:rPr>
                    <w:t>25</w:t>
                  </w:r>
                  <w:r>
                    <w:rPr>
                      <w:snapToGrid w:val="0"/>
                      <w:szCs w:val="21"/>
                      <w:vertAlign w:val="superscript"/>
                    </w:rPr>
                    <w:t>b</w:t>
                  </w:r>
                </w:p>
              </w:tc>
              <w:tc>
                <w:tcPr>
                  <w:tcW w:w="622" w:type="pct"/>
                  <w:tcMar>
                    <w:top w:w="28" w:type="dxa"/>
                    <w:bottom w:w="28" w:type="dxa"/>
                  </w:tcMar>
                  <w:vAlign w:val="center"/>
                </w:tcPr>
                <w:p w14:paraId="6D16FE72">
                  <w:pPr>
                    <w:kinsoku w:val="0"/>
                    <w:adjustRightInd w:val="0"/>
                    <w:snapToGrid w:val="0"/>
                    <w:spacing w:line="240" w:lineRule="atLeast"/>
                    <w:jc w:val="center"/>
                    <w:rPr>
                      <w:snapToGrid w:val="0"/>
                      <w:szCs w:val="21"/>
                    </w:rPr>
                  </w:pPr>
                  <w:r>
                    <w:rPr>
                      <w:snapToGrid w:val="0"/>
                      <w:szCs w:val="21"/>
                    </w:rPr>
                    <w:t>—</w:t>
                  </w:r>
                </w:p>
              </w:tc>
            </w:tr>
            <w:tr w14:paraId="530D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0BE0CF76">
                  <w:pPr>
                    <w:widowControl/>
                    <w:jc w:val="left"/>
                    <w:rPr>
                      <w:snapToGrid w:val="0"/>
                      <w:szCs w:val="21"/>
                    </w:rPr>
                  </w:pPr>
                </w:p>
              </w:tc>
              <w:tc>
                <w:tcPr>
                  <w:tcW w:w="717" w:type="pct"/>
                  <w:tcMar>
                    <w:top w:w="28" w:type="dxa"/>
                    <w:bottom w:w="28" w:type="dxa"/>
                  </w:tcMar>
                  <w:vAlign w:val="center"/>
                </w:tcPr>
                <w:p w14:paraId="4A8393C5">
                  <w:pPr>
                    <w:kinsoku w:val="0"/>
                    <w:adjustRightInd w:val="0"/>
                    <w:snapToGrid w:val="0"/>
                    <w:spacing w:line="240" w:lineRule="atLeast"/>
                    <w:jc w:val="center"/>
                    <w:rPr>
                      <w:snapToGrid w:val="0"/>
                      <w:szCs w:val="21"/>
                    </w:rPr>
                  </w:pPr>
                  <w:r>
                    <w:rPr>
                      <w:snapToGrid w:val="0"/>
                      <w:szCs w:val="21"/>
                    </w:rPr>
                    <w:t>130≤P</w:t>
                  </w:r>
                  <w:r>
                    <w:rPr>
                      <w:snapToGrid w:val="0"/>
                      <w:szCs w:val="21"/>
                      <w:vertAlign w:val="subscript"/>
                    </w:rPr>
                    <w:t>max</w:t>
                  </w:r>
                  <w:r>
                    <w:rPr>
                      <w:snapToGrid w:val="0"/>
                      <w:szCs w:val="21"/>
                    </w:rPr>
                    <w:t>≤560</w:t>
                  </w:r>
                </w:p>
              </w:tc>
              <w:tc>
                <w:tcPr>
                  <w:tcW w:w="566" w:type="pct"/>
                  <w:tcMar>
                    <w:top w:w="28" w:type="dxa"/>
                    <w:bottom w:w="28" w:type="dxa"/>
                  </w:tcMar>
                  <w:vAlign w:val="center"/>
                </w:tcPr>
                <w:p w14:paraId="34C8C55C">
                  <w:pPr>
                    <w:kinsoku w:val="0"/>
                    <w:adjustRightInd w:val="0"/>
                    <w:snapToGrid w:val="0"/>
                    <w:spacing w:line="240" w:lineRule="atLeast"/>
                    <w:jc w:val="center"/>
                    <w:rPr>
                      <w:snapToGrid w:val="0"/>
                      <w:szCs w:val="21"/>
                    </w:rPr>
                  </w:pPr>
                  <w:r>
                    <w:rPr>
                      <w:snapToGrid w:val="0"/>
                      <w:szCs w:val="21"/>
                    </w:rPr>
                    <w:t>3.5</w:t>
                  </w:r>
                </w:p>
              </w:tc>
              <w:tc>
                <w:tcPr>
                  <w:tcW w:w="545" w:type="pct"/>
                  <w:tcMar>
                    <w:top w:w="28" w:type="dxa"/>
                    <w:bottom w:w="28" w:type="dxa"/>
                  </w:tcMar>
                  <w:vAlign w:val="center"/>
                </w:tcPr>
                <w:p w14:paraId="15481744">
                  <w:pPr>
                    <w:kinsoku w:val="0"/>
                    <w:adjustRightInd w:val="0"/>
                    <w:snapToGrid w:val="0"/>
                    <w:spacing w:line="240" w:lineRule="atLeast"/>
                    <w:jc w:val="center"/>
                    <w:rPr>
                      <w:snapToGrid w:val="0"/>
                      <w:szCs w:val="21"/>
                    </w:rPr>
                  </w:pPr>
                  <w:r>
                    <w:rPr>
                      <w:snapToGrid w:val="0"/>
                      <w:szCs w:val="21"/>
                    </w:rPr>
                    <w:t>0.19</w:t>
                  </w:r>
                </w:p>
              </w:tc>
              <w:tc>
                <w:tcPr>
                  <w:tcW w:w="623" w:type="pct"/>
                  <w:tcMar>
                    <w:top w:w="28" w:type="dxa"/>
                    <w:bottom w:w="28" w:type="dxa"/>
                  </w:tcMar>
                  <w:vAlign w:val="center"/>
                </w:tcPr>
                <w:p w14:paraId="09B15210">
                  <w:pPr>
                    <w:kinsoku w:val="0"/>
                    <w:adjustRightInd w:val="0"/>
                    <w:snapToGrid w:val="0"/>
                    <w:spacing w:line="240" w:lineRule="atLeast"/>
                    <w:jc w:val="center"/>
                    <w:rPr>
                      <w:snapToGrid w:val="0"/>
                      <w:szCs w:val="21"/>
                    </w:rPr>
                  </w:pPr>
                  <w:r>
                    <w:rPr>
                      <w:snapToGrid w:val="0"/>
                      <w:szCs w:val="21"/>
                    </w:rPr>
                    <w:t>2.0</w:t>
                  </w:r>
                </w:p>
              </w:tc>
              <w:tc>
                <w:tcPr>
                  <w:tcW w:w="623" w:type="pct"/>
                  <w:tcMar>
                    <w:top w:w="28" w:type="dxa"/>
                    <w:bottom w:w="28" w:type="dxa"/>
                  </w:tcMar>
                  <w:vAlign w:val="center"/>
                </w:tcPr>
                <w:p w14:paraId="72A5F8CA">
                  <w:pPr>
                    <w:kinsoku w:val="0"/>
                    <w:adjustRightInd w:val="0"/>
                    <w:snapToGrid w:val="0"/>
                    <w:spacing w:line="240" w:lineRule="atLeast"/>
                    <w:jc w:val="center"/>
                    <w:rPr>
                      <w:snapToGrid w:val="0"/>
                      <w:szCs w:val="21"/>
                    </w:rPr>
                  </w:pPr>
                  <w:r>
                    <w:rPr>
                      <w:snapToGrid w:val="0"/>
                      <w:szCs w:val="21"/>
                    </w:rPr>
                    <w:t>—</w:t>
                  </w:r>
                </w:p>
              </w:tc>
              <w:tc>
                <w:tcPr>
                  <w:tcW w:w="545" w:type="pct"/>
                  <w:tcMar>
                    <w:top w:w="28" w:type="dxa"/>
                    <w:bottom w:w="28" w:type="dxa"/>
                  </w:tcMar>
                  <w:vAlign w:val="center"/>
                </w:tcPr>
                <w:p w14:paraId="64465A70">
                  <w:pPr>
                    <w:kinsoku w:val="0"/>
                    <w:adjustRightInd w:val="0"/>
                    <w:snapToGrid w:val="0"/>
                    <w:spacing w:line="240" w:lineRule="atLeast"/>
                    <w:jc w:val="center"/>
                    <w:rPr>
                      <w:snapToGrid w:val="0"/>
                      <w:szCs w:val="21"/>
                    </w:rPr>
                  </w:pPr>
                  <w:r>
                    <w:rPr>
                      <w:snapToGrid w:val="0"/>
                      <w:szCs w:val="21"/>
                    </w:rPr>
                    <w:t>0.025</w:t>
                  </w:r>
                </w:p>
              </w:tc>
              <w:tc>
                <w:tcPr>
                  <w:tcW w:w="468" w:type="pct"/>
                  <w:vMerge w:val="continue"/>
                  <w:tcMar>
                    <w:top w:w="28" w:type="dxa"/>
                    <w:bottom w:w="28" w:type="dxa"/>
                  </w:tcMar>
                  <w:vAlign w:val="center"/>
                </w:tcPr>
                <w:p w14:paraId="7A085AAB">
                  <w:pPr>
                    <w:widowControl/>
                    <w:jc w:val="left"/>
                    <w:rPr>
                      <w:snapToGrid w:val="0"/>
                      <w:szCs w:val="21"/>
                    </w:rPr>
                  </w:pPr>
                </w:p>
              </w:tc>
              <w:tc>
                <w:tcPr>
                  <w:tcW w:w="622" w:type="pct"/>
                  <w:vMerge w:val="restart"/>
                  <w:tcMar>
                    <w:top w:w="28" w:type="dxa"/>
                    <w:bottom w:w="28" w:type="dxa"/>
                  </w:tcMar>
                  <w:vAlign w:val="center"/>
                </w:tcPr>
                <w:p w14:paraId="2D8B461D">
                  <w:pPr>
                    <w:kinsoku w:val="0"/>
                    <w:adjustRightInd w:val="0"/>
                    <w:snapToGrid w:val="0"/>
                    <w:spacing w:line="240" w:lineRule="atLeast"/>
                    <w:jc w:val="center"/>
                    <w:rPr>
                      <w:snapToGrid w:val="0"/>
                      <w:szCs w:val="21"/>
                    </w:rPr>
                  </w:pPr>
                  <w:r>
                    <w:rPr>
                      <w:snapToGrid w:val="0"/>
                      <w:szCs w:val="21"/>
                    </w:rPr>
                    <w:t>5×1012</w:t>
                  </w:r>
                </w:p>
              </w:tc>
            </w:tr>
            <w:tr w14:paraId="6537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48170ADD">
                  <w:pPr>
                    <w:widowControl/>
                    <w:jc w:val="left"/>
                    <w:rPr>
                      <w:snapToGrid w:val="0"/>
                      <w:szCs w:val="21"/>
                    </w:rPr>
                  </w:pPr>
                </w:p>
              </w:tc>
              <w:tc>
                <w:tcPr>
                  <w:tcW w:w="717" w:type="pct"/>
                  <w:tcMar>
                    <w:top w:w="28" w:type="dxa"/>
                    <w:bottom w:w="28" w:type="dxa"/>
                  </w:tcMar>
                  <w:vAlign w:val="center"/>
                </w:tcPr>
                <w:p w14:paraId="37089E2C">
                  <w:pPr>
                    <w:kinsoku w:val="0"/>
                    <w:adjustRightInd w:val="0"/>
                    <w:snapToGrid w:val="0"/>
                    <w:spacing w:line="240" w:lineRule="atLeast"/>
                    <w:jc w:val="center"/>
                    <w:rPr>
                      <w:snapToGrid w:val="0"/>
                      <w:szCs w:val="21"/>
                    </w:rPr>
                  </w:pPr>
                  <w:r>
                    <w:rPr>
                      <w:snapToGrid w:val="0"/>
                      <w:szCs w:val="21"/>
                    </w:rPr>
                    <w:t>56≤P</w:t>
                  </w:r>
                  <w:r>
                    <w:rPr>
                      <w:snapToGrid w:val="0"/>
                      <w:szCs w:val="21"/>
                      <w:vertAlign w:val="subscript"/>
                    </w:rPr>
                    <w:t>max</w:t>
                  </w:r>
                  <w:r>
                    <w:rPr>
                      <w:snapToGrid w:val="0"/>
                      <w:szCs w:val="21"/>
                    </w:rPr>
                    <w:t>＜130</w:t>
                  </w:r>
                </w:p>
              </w:tc>
              <w:tc>
                <w:tcPr>
                  <w:tcW w:w="566" w:type="pct"/>
                  <w:tcMar>
                    <w:top w:w="28" w:type="dxa"/>
                    <w:bottom w:w="28" w:type="dxa"/>
                  </w:tcMar>
                  <w:vAlign w:val="center"/>
                </w:tcPr>
                <w:p w14:paraId="60A8C850">
                  <w:pPr>
                    <w:kinsoku w:val="0"/>
                    <w:adjustRightInd w:val="0"/>
                    <w:snapToGrid w:val="0"/>
                    <w:spacing w:line="240" w:lineRule="atLeast"/>
                    <w:jc w:val="center"/>
                    <w:rPr>
                      <w:snapToGrid w:val="0"/>
                      <w:szCs w:val="21"/>
                    </w:rPr>
                  </w:pPr>
                  <w:r>
                    <w:rPr>
                      <w:snapToGrid w:val="0"/>
                      <w:szCs w:val="21"/>
                    </w:rPr>
                    <w:t>5.0</w:t>
                  </w:r>
                </w:p>
              </w:tc>
              <w:tc>
                <w:tcPr>
                  <w:tcW w:w="545" w:type="pct"/>
                  <w:tcMar>
                    <w:top w:w="28" w:type="dxa"/>
                    <w:bottom w:w="28" w:type="dxa"/>
                  </w:tcMar>
                  <w:vAlign w:val="center"/>
                </w:tcPr>
                <w:p w14:paraId="46198618">
                  <w:pPr>
                    <w:kinsoku w:val="0"/>
                    <w:adjustRightInd w:val="0"/>
                    <w:snapToGrid w:val="0"/>
                    <w:spacing w:line="240" w:lineRule="atLeast"/>
                    <w:jc w:val="center"/>
                    <w:rPr>
                      <w:snapToGrid w:val="0"/>
                      <w:szCs w:val="21"/>
                    </w:rPr>
                  </w:pPr>
                  <w:r>
                    <w:rPr>
                      <w:snapToGrid w:val="0"/>
                      <w:szCs w:val="21"/>
                    </w:rPr>
                    <w:t>0.19</w:t>
                  </w:r>
                </w:p>
              </w:tc>
              <w:tc>
                <w:tcPr>
                  <w:tcW w:w="623" w:type="pct"/>
                  <w:tcMar>
                    <w:top w:w="28" w:type="dxa"/>
                    <w:bottom w:w="28" w:type="dxa"/>
                  </w:tcMar>
                  <w:vAlign w:val="center"/>
                </w:tcPr>
                <w:p w14:paraId="5C3A292C">
                  <w:pPr>
                    <w:kinsoku w:val="0"/>
                    <w:adjustRightInd w:val="0"/>
                    <w:snapToGrid w:val="0"/>
                    <w:spacing w:line="240" w:lineRule="atLeast"/>
                    <w:jc w:val="center"/>
                    <w:rPr>
                      <w:snapToGrid w:val="0"/>
                      <w:szCs w:val="21"/>
                    </w:rPr>
                  </w:pPr>
                  <w:r>
                    <w:rPr>
                      <w:snapToGrid w:val="0"/>
                      <w:szCs w:val="21"/>
                    </w:rPr>
                    <w:t>3.3</w:t>
                  </w:r>
                </w:p>
              </w:tc>
              <w:tc>
                <w:tcPr>
                  <w:tcW w:w="623" w:type="pct"/>
                  <w:tcMar>
                    <w:top w:w="28" w:type="dxa"/>
                    <w:bottom w:w="28" w:type="dxa"/>
                  </w:tcMar>
                  <w:vAlign w:val="center"/>
                </w:tcPr>
                <w:p w14:paraId="3E4A70C0">
                  <w:pPr>
                    <w:kinsoku w:val="0"/>
                    <w:adjustRightInd w:val="0"/>
                    <w:snapToGrid w:val="0"/>
                    <w:spacing w:line="240" w:lineRule="atLeast"/>
                    <w:jc w:val="center"/>
                    <w:rPr>
                      <w:snapToGrid w:val="0"/>
                      <w:szCs w:val="21"/>
                    </w:rPr>
                  </w:pPr>
                  <w:r>
                    <w:rPr>
                      <w:snapToGrid w:val="0"/>
                      <w:szCs w:val="21"/>
                    </w:rPr>
                    <w:t>—</w:t>
                  </w:r>
                </w:p>
              </w:tc>
              <w:tc>
                <w:tcPr>
                  <w:tcW w:w="545" w:type="pct"/>
                  <w:tcMar>
                    <w:top w:w="28" w:type="dxa"/>
                    <w:bottom w:w="28" w:type="dxa"/>
                  </w:tcMar>
                  <w:vAlign w:val="center"/>
                </w:tcPr>
                <w:p w14:paraId="48D44194">
                  <w:pPr>
                    <w:kinsoku w:val="0"/>
                    <w:adjustRightInd w:val="0"/>
                    <w:snapToGrid w:val="0"/>
                    <w:spacing w:line="240" w:lineRule="atLeast"/>
                    <w:jc w:val="center"/>
                    <w:rPr>
                      <w:snapToGrid w:val="0"/>
                      <w:szCs w:val="21"/>
                    </w:rPr>
                  </w:pPr>
                  <w:r>
                    <w:rPr>
                      <w:snapToGrid w:val="0"/>
                      <w:szCs w:val="21"/>
                    </w:rPr>
                    <w:t>0.025</w:t>
                  </w:r>
                </w:p>
              </w:tc>
              <w:tc>
                <w:tcPr>
                  <w:tcW w:w="468" w:type="pct"/>
                  <w:vMerge w:val="continue"/>
                  <w:tcMar>
                    <w:top w:w="28" w:type="dxa"/>
                    <w:bottom w:w="28" w:type="dxa"/>
                  </w:tcMar>
                  <w:vAlign w:val="center"/>
                </w:tcPr>
                <w:p w14:paraId="11E49DB7">
                  <w:pPr>
                    <w:widowControl/>
                    <w:jc w:val="left"/>
                    <w:rPr>
                      <w:snapToGrid w:val="0"/>
                      <w:szCs w:val="21"/>
                    </w:rPr>
                  </w:pPr>
                </w:p>
              </w:tc>
              <w:tc>
                <w:tcPr>
                  <w:tcW w:w="622" w:type="pct"/>
                  <w:vMerge w:val="continue"/>
                  <w:tcMar>
                    <w:top w:w="28" w:type="dxa"/>
                    <w:bottom w:w="28" w:type="dxa"/>
                  </w:tcMar>
                  <w:vAlign w:val="center"/>
                </w:tcPr>
                <w:p w14:paraId="0A832BE2">
                  <w:pPr>
                    <w:widowControl/>
                    <w:jc w:val="left"/>
                    <w:rPr>
                      <w:snapToGrid w:val="0"/>
                      <w:szCs w:val="21"/>
                    </w:rPr>
                  </w:pPr>
                </w:p>
              </w:tc>
            </w:tr>
            <w:tr w14:paraId="4C05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1091B7FA">
                  <w:pPr>
                    <w:widowControl/>
                    <w:jc w:val="left"/>
                    <w:rPr>
                      <w:snapToGrid w:val="0"/>
                      <w:szCs w:val="21"/>
                    </w:rPr>
                  </w:pPr>
                </w:p>
              </w:tc>
              <w:tc>
                <w:tcPr>
                  <w:tcW w:w="717" w:type="pct"/>
                  <w:tcMar>
                    <w:top w:w="28" w:type="dxa"/>
                    <w:bottom w:w="28" w:type="dxa"/>
                  </w:tcMar>
                  <w:vAlign w:val="center"/>
                </w:tcPr>
                <w:p w14:paraId="414BA84B">
                  <w:pPr>
                    <w:kinsoku w:val="0"/>
                    <w:adjustRightInd w:val="0"/>
                    <w:snapToGrid w:val="0"/>
                    <w:spacing w:line="240" w:lineRule="atLeast"/>
                    <w:jc w:val="center"/>
                    <w:rPr>
                      <w:snapToGrid w:val="0"/>
                      <w:szCs w:val="21"/>
                    </w:rPr>
                  </w:pPr>
                  <w:r>
                    <w:rPr>
                      <w:snapToGrid w:val="0"/>
                      <w:szCs w:val="21"/>
                    </w:rPr>
                    <w:t>37≤P</w:t>
                  </w:r>
                  <w:r>
                    <w:rPr>
                      <w:snapToGrid w:val="0"/>
                      <w:szCs w:val="21"/>
                      <w:vertAlign w:val="subscript"/>
                    </w:rPr>
                    <w:t>max</w:t>
                  </w:r>
                  <w:r>
                    <w:rPr>
                      <w:snapToGrid w:val="0"/>
                      <w:szCs w:val="21"/>
                    </w:rPr>
                    <w:t>＜56</w:t>
                  </w:r>
                </w:p>
              </w:tc>
              <w:tc>
                <w:tcPr>
                  <w:tcW w:w="566" w:type="pct"/>
                  <w:tcMar>
                    <w:top w:w="28" w:type="dxa"/>
                    <w:bottom w:w="28" w:type="dxa"/>
                  </w:tcMar>
                  <w:vAlign w:val="center"/>
                </w:tcPr>
                <w:p w14:paraId="0E84211D">
                  <w:pPr>
                    <w:kinsoku w:val="0"/>
                    <w:adjustRightInd w:val="0"/>
                    <w:snapToGrid w:val="0"/>
                    <w:spacing w:line="240" w:lineRule="atLeast"/>
                    <w:jc w:val="center"/>
                    <w:rPr>
                      <w:snapToGrid w:val="0"/>
                      <w:szCs w:val="21"/>
                    </w:rPr>
                  </w:pPr>
                  <w:r>
                    <w:rPr>
                      <w:snapToGrid w:val="0"/>
                      <w:szCs w:val="21"/>
                    </w:rPr>
                    <w:t>5.0</w:t>
                  </w:r>
                </w:p>
              </w:tc>
              <w:tc>
                <w:tcPr>
                  <w:tcW w:w="545" w:type="pct"/>
                  <w:tcMar>
                    <w:top w:w="28" w:type="dxa"/>
                    <w:bottom w:w="28" w:type="dxa"/>
                  </w:tcMar>
                  <w:vAlign w:val="center"/>
                </w:tcPr>
                <w:p w14:paraId="7DF6FD2B">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075B5E33">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57397C81">
                  <w:pPr>
                    <w:kinsoku w:val="0"/>
                    <w:adjustRightInd w:val="0"/>
                    <w:snapToGrid w:val="0"/>
                    <w:spacing w:line="240" w:lineRule="atLeast"/>
                    <w:jc w:val="center"/>
                    <w:rPr>
                      <w:snapToGrid w:val="0"/>
                      <w:szCs w:val="21"/>
                    </w:rPr>
                  </w:pPr>
                  <w:r>
                    <w:rPr>
                      <w:snapToGrid w:val="0"/>
                      <w:szCs w:val="21"/>
                    </w:rPr>
                    <w:t>4.7</w:t>
                  </w:r>
                </w:p>
              </w:tc>
              <w:tc>
                <w:tcPr>
                  <w:tcW w:w="545" w:type="pct"/>
                  <w:tcMar>
                    <w:top w:w="28" w:type="dxa"/>
                    <w:bottom w:w="28" w:type="dxa"/>
                  </w:tcMar>
                  <w:vAlign w:val="center"/>
                </w:tcPr>
                <w:p w14:paraId="536A409F">
                  <w:pPr>
                    <w:kinsoku w:val="0"/>
                    <w:adjustRightInd w:val="0"/>
                    <w:snapToGrid w:val="0"/>
                    <w:spacing w:line="240" w:lineRule="atLeast"/>
                    <w:jc w:val="center"/>
                    <w:rPr>
                      <w:snapToGrid w:val="0"/>
                      <w:szCs w:val="21"/>
                    </w:rPr>
                  </w:pPr>
                  <w:r>
                    <w:rPr>
                      <w:snapToGrid w:val="0"/>
                      <w:szCs w:val="21"/>
                    </w:rPr>
                    <w:t>0.025</w:t>
                  </w:r>
                </w:p>
              </w:tc>
              <w:tc>
                <w:tcPr>
                  <w:tcW w:w="468" w:type="pct"/>
                  <w:vMerge w:val="continue"/>
                  <w:tcMar>
                    <w:top w:w="28" w:type="dxa"/>
                    <w:bottom w:w="28" w:type="dxa"/>
                  </w:tcMar>
                  <w:vAlign w:val="center"/>
                </w:tcPr>
                <w:p w14:paraId="2E3DF2D9">
                  <w:pPr>
                    <w:widowControl/>
                    <w:jc w:val="left"/>
                    <w:rPr>
                      <w:snapToGrid w:val="0"/>
                      <w:szCs w:val="21"/>
                    </w:rPr>
                  </w:pPr>
                </w:p>
              </w:tc>
              <w:tc>
                <w:tcPr>
                  <w:tcW w:w="622" w:type="pct"/>
                  <w:vMerge w:val="continue"/>
                  <w:tcMar>
                    <w:top w:w="28" w:type="dxa"/>
                    <w:bottom w:w="28" w:type="dxa"/>
                  </w:tcMar>
                  <w:vAlign w:val="center"/>
                </w:tcPr>
                <w:p w14:paraId="199A3591">
                  <w:pPr>
                    <w:widowControl/>
                    <w:jc w:val="left"/>
                    <w:rPr>
                      <w:snapToGrid w:val="0"/>
                      <w:szCs w:val="21"/>
                    </w:rPr>
                  </w:pPr>
                </w:p>
              </w:tc>
            </w:tr>
            <w:tr w14:paraId="1085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91" w:type="pct"/>
                  <w:vMerge w:val="continue"/>
                  <w:tcMar>
                    <w:top w:w="28" w:type="dxa"/>
                    <w:bottom w:w="28" w:type="dxa"/>
                  </w:tcMar>
                  <w:vAlign w:val="center"/>
                </w:tcPr>
                <w:p w14:paraId="13CF1DCE">
                  <w:pPr>
                    <w:widowControl/>
                    <w:jc w:val="left"/>
                    <w:rPr>
                      <w:snapToGrid w:val="0"/>
                      <w:szCs w:val="21"/>
                    </w:rPr>
                  </w:pPr>
                </w:p>
              </w:tc>
              <w:tc>
                <w:tcPr>
                  <w:tcW w:w="717" w:type="pct"/>
                  <w:tcMar>
                    <w:top w:w="28" w:type="dxa"/>
                    <w:bottom w:w="28" w:type="dxa"/>
                  </w:tcMar>
                  <w:vAlign w:val="center"/>
                </w:tcPr>
                <w:p w14:paraId="0BB72342">
                  <w:pPr>
                    <w:kinsoku w:val="0"/>
                    <w:adjustRightInd w:val="0"/>
                    <w:snapToGrid w:val="0"/>
                    <w:spacing w:line="240" w:lineRule="atLeast"/>
                    <w:jc w:val="center"/>
                    <w:rPr>
                      <w:snapToGrid w:val="0"/>
                      <w:szCs w:val="21"/>
                    </w:rPr>
                  </w:pPr>
                  <w:r>
                    <w:rPr>
                      <w:snapToGrid w:val="0"/>
                      <w:szCs w:val="21"/>
                    </w:rPr>
                    <w:t>P</w:t>
                  </w:r>
                  <w:r>
                    <w:rPr>
                      <w:snapToGrid w:val="0"/>
                      <w:szCs w:val="21"/>
                      <w:vertAlign w:val="subscript"/>
                    </w:rPr>
                    <w:t>max</w:t>
                  </w:r>
                  <w:r>
                    <w:rPr>
                      <w:snapToGrid w:val="0"/>
                      <w:szCs w:val="21"/>
                    </w:rPr>
                    <w:t>＜37</w:t>
                  </w:r>
                </w:p>
              </w:tc>
              <w:tc>
                <w:tcPr>
                  <w:tcW w:w="566" w:type="pct"/>
                  <w:tcMar>
                    <w:top w:w="28" w:type="dxa"/>
                    <w:bottom w:w="28" w:type="dxa"/>
                  </w:tcMar>
                  <w:vAlign w:val="center"/>
                </w:tcPr>
                <w:p w14:paraId="0BD05008">
                  <w:pPr>
                    <w:kinsoku w:val="0"/>
                    <w:adjustRightInd w:val="0"/>
                    <w:snapToGrid w:val="0"/>
                    <w:spacing w:line="240" w:lineRule="atLeast"/>
                    <w:jc w:val="center"/>
                    <w:rPr>
                      <w:snapToGrid w:val="0"/>
                      <w:szCs w:val="21"/>
                    </w:rPr>
                  </w:pPr>
                  <w:r>
                    <w:rPr>
                      <w:snapToGrid w:val="0"/>
                      <w:szCs w:val="21"/>
                    </w:rPr>
                    <w:t>5.5</w:t>
                  </w:r>
                </w:p>
              </w:tc>
              <w:tc>
                <w:tcPr>
                  <w:tcW w:w="545" w:type="pct"/>
                  <w:tcMar>
                    <w:top w:w="28" w:type="dxa"/>
                    <w:bottom w:w="28" w:type="dxa"/>
                  </w:tcMar>
                  <w:vAlign w:val="center"/>
                </w:tcPr>
                <w:p w14:paraId="519AE719">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3EA079A8">
                  <w:pPr>
                    <w:kinsoku w:val="0"/>
                    <w:adjustRightInd w:val="0"/>
                    <w:snapToGrid w:val="0"/>
                    <w:spacing w:line="240" w:lineRule="atLeast"/>
                    <w:jc w:val="center"/>
                    <w:rPr>
                      <w:snapToGrid w:val="0"/>
                      <w:szCs w:val="21"/>
                    </w:rPr>
                  </w:pPr>
                  <w:r>
                    <w:rPr>
                      <w:snapToGrid w:val="0"/>
                      <w:szCs w:val="21"/>
                    </w:rPr>
                    <w:t>—</w:t>
                  </w:r>
                </w:p>
              </w:tc>
              <w:tc>
                <w:tcPr>
                  <w:tcW w:w="623" w:type="pct"/>
                  <w:tcMar>
                    <w:top w:w="28" w:type="dxa"/>
                    <w:bottom w:w="28" w:type="dxa"/>
                  </w:tcMar>
                  <w:vAlign w:val="center"/>
                </w:tcPr>
                <w:p w14:paraId="2D67F820">
                  <w:pPr>
                    <w:kinsoku w:val="0"/>
                    <w:adjustRightInd w:val="0"/>
                    <w:snapToGrid w:val="0"/>
                    <w:spacing w:line="240" w:lineRule="atLeast"/>
                    <w:jc w:val="center"/>
                    <w:rPr>
                      <w:snapToGrid w:val="0"/>
                      <w:szCs w:val="21"/>
                    </w:rPr>
                  </w:pPr>
                  <w:r>
                    <w:rPr>
                      <w:snapToGrid w:val="0"/>
                      <w:szCs w:val="21"/>
                    </w:rPr>
                    <w:t>7.5</w:t>
                  </w:r>
                </w:p>
              </w:tc>
              <w:tc>
                <w:tcPr>
                  <w:tcW w:w="545" w:type="pct"/>
                  <w:tcMar>
                    <w:top w:w="28" w:type="dxa"/>
                    <w:bottom w:w="28" w:type="dxa"/>
                  </w:tcMar>
                  <w:vAlign w:val="center"/>
                </w:tcPr>
                <w:p w14:paraId="08A6B227">
                  <w:pPr>
                    <w:kinsoku w:val="0"/>
                    <w:adjustRightInd w:val="0"/>
                    <w:snapToGrid w:val="0"/>
                    <w:spacing w:line="240" w:lineRule="atLeast"/>
                    <w:jc w:val="center"/>
                    <w:rPr>
                      <w:snapToGrid w:val="0"/>
                      <w:szCs w:val="21"/>
                    </w:rPr>
                  </w:pPr>
                  <w:r>
                    <w:rPr>
                      <w:snapToGrid w:val="0"/>
                      <w:szCs w:val="21"/>
                    </w:rPr>
                    <w:t>0.60</w:t>
                  </w:r>
                </w:p>
              </w:tc>
              <w:tc>
                <w:tcPr>
                  <w:tcW w:w="468" w:type="pct"/>
                  <w:vMerge w:val="continue"/>
                  <w:tcMar>
                    <w:top w:w="28" w:type="dxa"/>
                    <w:bottom w:w="28" w:type="dxa"/>
                  </w:tcMar>
                  <w:vAlign w:val="center"/>
                </w:tcPr>
                <w:p w14:paraId="7E0D436D">
                  <w:pPr>
                    <w:widowControl/>
                    <w:jc w:val="left"/>
                    <w:rPr>
                      <w:snapToGrid w:val="0"/>
                      <w:szCs w:val="21"/>
                    </w:rPr>
                  </w:pPr>
                </w:p>
              </w:tc>
              <w:tc>
                <w:tcPr>
                  <w:tcW w:w="622" w:type="pct"/>
                  <w:tcMar>
                    <w:top w:w="28" w:type="dxa"/>
                    <w:bottom w:w="28" w:type="dxa"/>
                  </w:tcMar>
                  <w:vAlign w:val="center"/>
                </w:tcPr>
                <w:p w14:paraId="5DE0B4D1">
                  <w:pPr>
                    <w:kinsoku w:val="0"/>
                    <w:adjustRightInd w:val="0"/>
                    <w:snapToGrid w:val="0"/>
                    <w:spacing w:line="240" w:lineRule="atLeast"/>
                    <w:jc w:val="center"/>
                    <w:rPr>
                      <w:snapToGrid w:val="0"/>
                      <w:szCs w:val="21"/>
                    </w:rPr>
                  </w:pPr>
                  <w:r>
                    <w:rPr>
                      <w:snapToGrid w:val="0"/>
                      <w:szCs w:val="21"/>
                    </w:rPr>
                    <w:t>—</w:t>
                  </w:r>
                </w:p>
              </w:tc>
            </w:tr>
            <w:tr w14:paraId="78FA1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000" w:type="pct"/>
                  <w:gridSpan w:val="9"/>
                  <w:tcMar>
                    <w:top w:w="28" w:type="dxa"/>
                    <w:bottom w:w="28" w:type="dxa"/>
                  </w:tcMar>
                  <w:vAlign w:val="center"/>
                </w:tcPr>
                <w:p w14:paraId="703694DF">
                  <w:pPr>
                    <w:kinsoku w:val="0"/>
                    <w:adjustRightInd w:val="0"/>
                    <w:snapToGrid w:val="0"/>
                    <w:spacing w:line="240" w:lineRule="atLeast"/>
                    <w:ind w:firstLine="42" w:firstLineChars="20"/>
                    <w:jc w:val="left"/>
                    <w:rPr>
                      <w:snapToGrid w:val="0"/>
                      <w:szCs w:val="21"/>
                    </w:rPr>
                  </w:pPr>
                  <w:r>
                    <w:rPr>
                      <w:snapToGrid w:val="0"/>
                      <w:szCs w:val="21"/>
                    </w:rPr>
                    <w:t>a 适用于可移动式发电机组用Pmax＞900kW的柴油机。b 适用于使用反应剂的柴油机。</w:t>
                  </w:r>
                </w:p>
              </w:tc>
            </w:tr>
          </w:tbl>
          <w:p w14:paraId="3D6294FC">
            <w:pPr>
              <w:adjustRightInd w:val="0"/>
              <w:snapToGrid w:val="0"/>
              <w:spacing w:line="360" w:lineRule="auto"/>
              <w:ind w:firstLine="480" w:firstLineChars="200"/>
              <w:rPr>
                <w:bCs/>
                <w:sz w:val="24"/>
              </w:rPr>
            </w:pPr>
            <w:r>
              <w:rPr>
                <w:bCs/>
                <w:sz w:val="24"/>
              </w:rPr>
              <w:t>2、噪声：施工噪声排放执行《建筑施工场界环境噪声排放标准》（GB12523-2011），见表</w:t>
            </w:r>
            <w:r>
              <w:rPr>
                <w:rFonts w:hint="eastAsia"/>
                <w:bCs/>
                <w:sz w:val="24"/>
              </w:rPr>
              <w:t>3-</w:t>
            </w:r>
            <w:r>
              <w:rPr>
                <w:bCs/>
                <w:sz w:val="24"/>
              </w:rPr>
              <w:t>9。</w:t>
            </w:r>
          </w:p>
          <w:p w14:paraId="09FA68BC">
            <w:pPr>
              <w:pStyle w:val="70"/>
              <w:spacing w:before="0" w:beforeLines="0"/>
            </w:pPr>
            <w:r>
              <w:t>表</w:t>
            </w:r>
            <w:r>
              <w:rPr>
                <w:rFonts w:hint="eastAsia"/>
              </w:rPr>
              <w:t>3-</w:t>
            </w:r>
            <w:r>
              <w:t>9   《建筑施工场界环境噪声排放标准》    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9"/>
              <w:gridCol w:w="3854"/>
            </w:tblGrid>
            <w:tr w14:paraId="5422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5000" w:type="pct"/>
                  <w:gridSpan w:val="2"/>
                  <w:tcBorders>
                    <w:tl2br w:val="nil"/>
                    <w:tr2bl w:val="nil"/>
                  </w:tcBorders>
                  <w:vAlign w:val="center"/>
                </w:tcPr>
                <w:p w14:paraId="669097F6">
                  <w:pPr>
                    <w:jc w:val="center"/>
                    <w:rPr>
                      <w:bCs/>
                      <w:spacing w:val="6"/>
                      <w:szCs w:val="21"/>
                    </w:rPr>
                  </w:pPr>
                  <w:r>
                    <w:rPr>
                      <w:bCs/>
                      <w:spacing w:val="6"/>
                      <w:szCs w:val="21"/>
                    </w:rPr>
                    <w:t>噪声排放限值</w:t>
                  </w:r>
                </w:p>
              </w:tc>
            </w:tr>
            <w:tr w14:paraId="051C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2622" w:type="pct"/>
                  <w:tcBorders>
                    <w:tl2br w:val="nil"/>
                    <w:tr2bl w:val="nil"/>
                  </w:tcBorders>
                  <w:vAlign w:val="center"/>
                </w:tcPr>
                <w:p w14:paraId="4FF62E67">
                  <w:pPr>
                    <w:jc w:val="center"/>
                    <w:rPr>
                      <w:bCs/>
                      <w:spacing w:val="6"/>
                      <w:szCs w:val="21"/>
                    </w:rPr>
                  </w:pPr>
                  <w:r>
                    <w:rPr>
                      <w:bCs/>
                      <w:spacing w:val="6"/>
                      <w:szCs w:val="21"/>
                    </w:rPr>
                    <w:t>昼  间</w:t>
                  </w:r>
                </w:p>
              </w:tc>
              <w:tc>
                <w:tcPr>
                  <w:tcW w:w="2377" w:type="pct"/>
                  <w:tcBorders>
                    <w:tl2br w:val="nil"/>
                    <w:tr2bl w:val="nil"/>
                  </w:tcBorders>
                  <w:vAlign w:val="center"/>
                </w:tcPr>
                <w:p w14:paraId="325F17AF">
                  <w:pPr>
                    <w:jc w:val="center"/>
                    <w:rPr>
                      <w:bCs/>
                      <w:spacing w:val="6"/>
                      <w:szCs w:val="21"/>
                    </w:rPr>
                  </w:pPr>
                  <w:r>
                    <w:rPr>
                      <w:bCs/>
                      <w:spacing w:val="6"/>
                      <w:szCs w:val="21"/>
                    </w:rPr>
                    <w:t>夜  间</w:t>
                  </w:r>
                </w:p>
              </w:tc>
            </w:tr>
            <w:tr w14:paraId="22A88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22" w:type="pct"/>
                  <w:tcBorders>
                    <w:tl2br w:val="nil"/>
                    <w:tr2bl w:val="nil"/>
                  </w:tcBorders>
                  <w:vAlign w:val="center"/>
                </w:tcPr>
                <w:p w14:paraId="2EC78A0D">
                  <w:pPr>
                    <w:jc w:val="center"/>
                    <w:rPr>
                      <w:bCs/>
                      <w:spacing w:val="6"/>
                      <w:szCs w:val="21"/>
                    </w:rPr>
                  </w:pPr>
                  <w:r>
                    <w:rPr>
                      <w:rFonts w:hint="eastAsia"/>
                      <w:bCs/>
                      <w:spacing w:val="6"/>
                      <w:szCs w:val="21"/>
                    </w:rPr>
                    <w:t>70</w:t>
                  </w:r>
                </w:p>
              </w:tc>
              <w:tc>
                <w:tcPr>
                  <w:tcW w:w="2377" w:type="pct"/>
                  <w:tcBorders>
                    <w:tl2br w:val="nil"/>
                    <w:tr2bl w:val="nil"/>
                  </w:tcBorders>
                  <w:vAlign w:val="center"/>
                </w:tcPr>
                <w:p w14:paraId="3807E9FE">
                  <w:pPr>
                    <w:jc w:val="center"/>
                    <w:rPr>
                      <w:bCs/>
                      <w:spacing w:val="6"/>
                      <w:szCs w:val="21"/>
                    </w:rPr>
                  </w:pPr>
                  <w:r>
                    <w:rPr>
                      <w:bCs/>
                      <w:spacing w:val="6"/>
                      <w:szCs w:val="21"/>
                    </w:rPr>
                    <w:t>55</w:t>
                  </w:r>
                </w:p>
              </w:tc>
            </w:tr>
          </w:tbl>
          <w:p w14:paraId="35D7F09B">
            <w:pPr>
              <w:adjustRightInd w:val="0"/>
              <w:snapToGrid w:val="0"/>
              <w:spacing w:line="360" w:lineRule="auto"/>
              <w:ind w:firstLine="480" w:firstLineChars="200"/>
            </w:pPr>
            <w:r>
              <w:rPr>
                <w:rFonts w:hint="eastAsia"/>
                <w:bCs/>
                <w:sz w:val="24"/>
              </w:rPr>
              <w:t>3</w:t>
            </w:r>
            <w:r>
              <w:rPr>
                <w:bCs/>
                <w:sz w:val="24"/>
              </w:rPr>
              <w:t>、其他按有关规定标准执行。</w:t>
            </w:r>
          </w:p>
        </w:tc>
      </w:tr>
      <w:tr w14:paraId="734C8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16" w:type="pct"/>
            <w:vAlign w:val="center"/>
          </w:tcPr>
          <w:p w14:paraId="1576B0C1">
            <w:pPr>
              <w:adjustRightInd w:val="0"/>
              <w:snapToGrid w:val="0"/>
              <w:jc w:val="center"/>
              <w:rPr>
                <w:kern w:val="0"/>
              </w:rPr>
            </w:pPr>
            <w:r>
              <w:rPr>
                <w:rFonts w:hint="eastAsia"/>
                <w:kern w:val="0"/>
              </w:rPr>
              <w:t>其他</w:t>
            </w:r>
          </w:p>
        </w:tc>
        <w:tc>
          <w:tcPr>
            <w:tcW w:w="4484" w:type="pct"/>
            <w:vAlign w:val="center"/>
          </w:tcPr>
          <w:p w14:paraId="05679F07">
            <w:pPr>
              <w:spacing w:line="360" w:lineRule="auto"/>
              <w:ind w:firstLine="480" w:firstLineChars="200"/>
            </w:pPr>
            <w:r>
              <w:rPr>
                <w:bCs/>
                <w:sz w:val="24"/>
              </w:rPr>
              <w:t>本项目</w:t>
            </w:r>
            <w:r>
              <w:rPr>
                <w:rFonts w:hint="eastAsia"/>
                <w:bCs/>
                <w:sz w:val="24"/>
              </w:rPr>
              <w:t>不涉及服务区、收费站等设施，运营期无废气、废水和固体废物集中排放，无总量控制指标。</w:t>
            </w:r>
          </w:p>
        </w:tc>
      </w:tr>
    </w:tbl>
    <w:p w14:paraId="68C5EE98">
      <w:pPr>
        <w:pStyle w:val="22"/>
        <w:jc w:val="center"/>
        <w:outlineLvl w:val="0"/>
        <w:rPr>
          <w:rFonts w:ascii="Times New Roman" w:hAnsi="Times New Roman" w:eastAsia="黑体"/>
          <w:snapToGrid w:val="0"/>
          <w:sz w:val="30"/>
          <w:szCs w:val="30"/>
        </w:rPr>
        <w:sectPr>
          <w:pgSz w:w="11906" w:h="16838"/>
          <w:pgMar w:top="1417" w:right="1417" w:bottom="1417" w:left="1417" w:header="851" w:footer="992" w:gutter="0"/>
          <w:cols w:space="425" w:num="1"/>
          <w:docGrid w:type="lines" w:linePitch="312" w:charSpace="0"/>
        </w:sectPr>
      </w:pPr>
    </w:p>
    <w:p w14:paraId="6E3E8B64">
      <w:pPr>
        <w:pStyle w:val="22"/>
        <w:jc w:val="center"/>
        <w:outlineLvl w:val="0"/>
        <w:rPr>
          <w:rFonts w:ascii="黑体" w:hAnsi="黑体" w:eastAsia="黑体"/>
          <w:snapToGrid w:val="0"/>
          <w:sz w:val="30"/>
          <w:szCs w:val="30"/>
        </w:rPr>
      </w:pPr>
      <w:r>
        <w:rPr>
          <w:rFonts w:hint="eastAsia" w:ascii="黑体" w:hAnsi="黑体" w:eastAsia="黑体"/>
          <w:snapToGrid w:val="0"/>
          <w:sz w:val="30"/>
          <w:szCs w:val="30"/>
        </w:rPr>
        <w:t>四、生态环境影响分析</w:t>
      </w:r>
    </w:p>
    <w:tbl>
      <w:tblPr>
        <w:tblStyle w:val="26"/>
        <w:tblW w:w="89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8320"/>
      </w:tblGrid>
      <w:tr w14:paraId="69010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tcMar>
              <w:left w:w="28" w:type="dxa"/>
              <w:right w:w="28" w:type="dxa"/>
            </w:tcMar>
            <w:vAlign w:val="center"/>
          </w:tcPr>
          <w:p w14:paraId="707677DB">
            <w:pPr>
              <w:pStyle w:val="22"/>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施工期生态环境影响分析</w:t>
            </w:r>
          </w:p>
        </w:tc>
        <w:tc>
          <w:tcPr>
            <w:tcW w:w="8320" w:type="dxa"/>
            <w:vAlign w:val="center"/>
          </w:tcPr>
          <w:p w14:paraId="0BE10892">
            <w:pPr>
              <w:spacing w:line="360" w:lineRule="auto"/>
              <w:ind w:firstLine="480" w:firstLineChars="200"/>
              <w:rPr>
                <w:bCs/>
                <w:sz w:val="24"/>
              </w:rPr>
            </w:pPr>
            <w:r>
              <w:rPr>
                <w:bCs/>
                <w:sz w:val="24"/>
              </w:rPr>
              <w:t>1、施工废气</w:t>
            </w:r>
          </w:p>
          <w:p w14:paraId="53126DD4">
            <w:pPr>
              <w:spacing w:line="360" w:lineRule="auto"/>
              <w:ind w:firstLine="480" w:firstLineChars="200"/>
              <w:rPr>
                <w:bCs/>
                <w:sz w:val="24"/>
              </w:rPr>
            </w:pPr>
            <w:r>
              <w:rPr>
                <w:bCs/>
                <w:sz w:val="24"/>
              </w:rPr>
              <w:t>项目施工期的主要环境空气污染物是施工扬尘</w:t>
            </w:r>
            <w:r>
              <w:rPr>
                <w:rFonts w:hint="eastAsia"/>
                <w:bCs/>
                <w:sz w:val="24"/>
              </w:rPr>
              <w:t>、散装材料储运扬尘</w:t>
            </w:r>
            <w:r>
              <w:rPr>
                <w:bCs/>
                <w:sz w:val="24"/>
              </w:rPr>
              <w:t>，其次为沥青摊铺时的沥青烟</w:t>
            </w:r>
            <w:r>
              <w:rPr>
                <w:rFonts w:hint="eastAsia"/>
                <w:bCs/>
                <w:sz w:val="24"/>
              </w:rPr>
              <w:t>、焊接烟尘和</w:t>
            </w:r>
            <w:r>
              <w:rPr>
                <w:bCs/>
                <w:sz w:val="24"/>
              </w:rPr>
              <w:t>各类动力机械排出的尾气，其中尤以施工扬尘对周围环境影响较为突出。</w:t>
            </w:r>
          </w:p>
          <w:p w14:paraId="050C3EFA">
            <w:pPr>
              <w:spacing w:line="360" w:lineRule="auto"/>
              <w:ind w:firstLine="480" w:firstLineChars="200"/>
              <w:rPr>
                <w:bCs/>
                <w:color w:val="FF0000"/>
                <w:sz w:val="24"/>
              </w:rPr>
            </w:pPr>
            <w:r>
              <w:rPr>
                <w:bCs/>
                <w:color w:val="FF0000"/>
                <w:sz w:val="24"/>
              </w:rPr>
              <w:t>（1）施工扬尘</w:t>
            </w:r>
          </w:p>
          <w:p w14:paraId="312F6270">
            <w:pPr>
              <w:spacing w:line="360" w:lineRule="auto"/>
              <w:ind w:firstLine="480" w:firstLineChars="200"/>
              <w:rPr>
                <w:bCs/>
                <w:color w:val="FF0000"/>
                <w:sz w:val="24"/>
              </w:rPr>
            </w:pPr>
            <w:r>
              <w:rPr>
                <w:rFonts w:hint="eastAsia"/>
                <w:bCs/>
                <w:color w:val="FF0000"/>
                <w:sz w:val="24"/>
              </w:rPr>
              <w:t>施工扬尘主要体现在施工中清表、人行通道开挖等土石方开挖及回填，在土方的搬运、倾倒过程中，将有少量土壤颗粒物从地面、施工机械或土堆飞扬进入空气中。</w:t>
            </w:r>
            <w:r>
              <w:rPr>
                <w:bCs/>
                <w:color w:val="FF0000"/>
                <w:sz w:val="24"/>
              </w:rPr>
              <w:t>根据类似公路工程不采取降尘措施的施工现场监测结果，在未采取防尘措施情况下，项目施工现场及施工便道产生的扬尘将对路侧150m内大气环境造成较不利影响，尤其在路侧50m范围内的区域，影响较为严重。</w:t>
            </w:r>
          </w:p>
          <w:p w14:paraId="006CFC48">
            <w:pPr>
              <w:spacing w:line="360" w:lineRule="auto"/>
              <w:ind w:firstLine="480" w:firstLineChars="200"/>
              <w:rPr>
                <w:bCs/>
                <w:color w:val="FF0000"/>
                <w:sz w:val="24"/>
              </w:rPr>
            </w:pPr>
            <w:r>
              <w:rPr>
                <w:rFonts w:hint="eastAsia"/>
                <w:bCs/>
                <w:color w:val="FF0000"/>
                <w:sz w:val="24"/>
              </w:rPr>
              <w:t>（2）散装材料的储运</w:t>
            </w:r>
          </w:p>
          <w:p w14:paraId="25EF14D0">
            <w:pPr>
              <w:spacing w:line="360" w:lineRule="auto"/>
              <w:ind w:firstLine="480" w:firstLineChars="200"/>
              <w:rPr>
                <w:bCs/>
                <w:color w:val="FF0000"/>
                <w:sz w:val="24"/>
              </w:rPr>
            </w:pPr>
            <w:r>
              <w:rPr>
                <w:rFonts w:hint="eastAsia"/>
                <w:bCs/>
                <w:color w:val="FF0000"/>
                <w:sz w:val="24"/>
              </w:rPr>
              <w:t>水泥、砂石等散料储料场在风力作用下易发生扬尘，其扬尘主要集中在下风向50m范围内，考虑到其对人体和植物的有害作用，对存放场地应做好防护工作。通过洒水、蓬布遮挡等措施，可有效地防止风吹扬尘。散装材料运输极易引起粉尘污染，根据类似施工现场运输引起扬尘的现场监测结果，灰土运输车辆下风向150m处的浓度超过《环境空气质量标准》（GB3095-2012）二级标准，因此，对运输散料车辆必须严加管理，采取用加盖蓬布或洒水抑尘防护措施。</w:t>
            </w:r>
          </w:p>
          <w:p w14:paraId="22EAD041">
            <w:pPr>
              <w:spacing w:line="360" w:lineRule="auto"/>
              <w:ind w:firstLine="480" w:firstLineChars="200"/>
              <w:rPr>
                <w:bCs/>
                <w:sz w:val="24"/>
              </w:rPr>
            </w:pPr>
            <w:r>
              <w:rPr>
                <w:rFonts w:hint="eastAsia"/>
                <w:bCs/>
                <w:sz w:val="24"/>
              </w:rPr>
              <w:t>（</w:t>
            </w:r>
            <w:r>
              <w:rPr>
                <w:bCs/>
                <w:sz w:val="24"/>
              </w:rPr>
              <w:t>3</w:t>
            </w:r>
            <w:r>
              <w:rPr>
                <w:rFonts w:hint="eastAsia"/>
                <w:bCs/>
                <w:sz w:val="24"/>
              </w:rPr>
              <w:t>）焊接烟尘</w:t>
            </w:r>
          </w:p>
          <w:p w14:paraId="40EFB2BB">
            <w:pPr>
              <w:spacing w:line="360" w:lineRule="auto"/>
              <w:ind w:firstLine="480" w:firstLineChars="200"/>
              <w:rPr>
                <w:bCs/>
                <w:sz w:val="24"/>
              </w:rPr>
            </w:pPr>
            <w:r>
              <w:rPr>
                <w:rFonts w:hint="eastAsia"/>
                <w:bCs/>
                <w:sz w:val="24"/>
              </w:rPr>
              <w:t>本项目部分管线在施工过程中需要进行焊接，焊接过程中会有少量烟尘产生。焊接烟尘经移动式焊烟除尘器处理后在排放，对周边环境影响较小</w:t>
            </w:r>
          </w:p>
          <w:p w14:paraId="46A877CA">
            <w:pPr>
              <w:spacing w:line="360" w:lineRule="auto"/>
              <w:ind w:firstLine="480" w:firstLineChars="200"/>
              <w:rPr>
                <w:bCs/>
                <w:sz w:val="24"/>
              </w:rPr>
            </w:pPr>
            <w:r>
              <w:rPr>
                <w:rFonts w:hint="eastAsia"/>
                <w:bCs/>
                <w:sz w:val="24"/>
              </w:rPr>
              <w:t>（</w:t>
            </w:r>
            <w:r>
              <w:rPr>
                <w:bCs/>
                <w:sz w:val="24"/>
              </w:rPr>
              <w:t>4</w:t>
            </w:r>
            <w:r>
              <w:rPr>
                <w:rFonts w:hint="eastAsia"/>
                <w:bCs/>
                <w:sz w:val="24"/>
              </w:rPr>
              <w:t>）</w:t>
            </w:r>
            <w:r>
              <w:rPr>
                <w:bCs/>
                <w:sz w:val="24"/>
              </w:rPr>
              <w:t>沥青铺设过程中的烟气</w:t>
            </w:r>
          </w:p>
          <w:p w14:paraId="0496A194">
            <w:pPr>
              <w:spacing w:line="360" w:lineRule="auto"/>
              <w:ind w:firstLine="480" w:firstLineChars="200"/>
              <w:rPr>
                <w:bCs/>
                <w:sz w:val="24"/>
              </w:rPr>
            </w:pPr>
            <w:r>
              <w:rPr>
                <w:rFonts w:hint="eastAsia"/>
                <w:bCs/>
                <w:sz w:val="24"/>
              </w:rPr>
              <w:t>本</w:t>
            </w:r>
            <w:r>
              <w:rPr>
                <w:bCs/>
                <w:sz w:val="24"/>
              </w:rPr>
              <w:t>项目沥青烟气产生于沥青摊铺过程</w:t>
            </w:r>
            <w:r>
              <w:rPr>
                <w:rFonts w:hint="eastAsia"/>
                <w:bCs/>
                <w:sz w:val="24"/>
              </w:rPr>
              <w:t>，</w:t>
            </w:r>
            <w:r>
              <w:rPr>
                <w:bCs/>
                <w:sz w:val="24"/>
              </w:rPr>
              <w:t>苯并（a）芘和烃类是沥青烟中的主要污染物。沥青烟气产生主要是在沥青熔化和拌合过程，摊铺会有少量烟气产生。</w:t>
            </w:r>
            <w:r>
              <w:rPr>
                <w:rFonts w:hint="eastAsia"/>
                <w:bCs/>
                <w:sz w:val="24"/>
              </w:rPr>
              <w:t>随着沥青摊铺的完成，其烟气影响随之结束</w:t>
            </w:r>
            <w:r>
              <w:rPr>
                <w:bCs/>
                <w:sz w:val="24"/>
              </w:rPr>
              <w:t>，因此</w:t>
            </w:r>
            <w:r>
              <w:rPr>
                <w:rFonts w:hint="eastAsia"/>
                <w:bCs/>
                <w:sz w:val="24"/>
              </w:rPr>
              <w:t>本项目摊铺产生的</w:t>
            </w:r>
            <w:r>
              <w:rPr>
                <w:bCs/>
                <w:sz w:val="24"/>
              </w:rPr>
              <w:t>沥青烟气对周边环境影响较小。</w:t>
            </w:r>
          </w:p>
          <w:p w14:paraId="5482AF7A">
            <w:pPr>
              <w:spacing w:line="360" w:lineRule="auto"/>
              <w:ind w:firstLine="480" w:firstLineChars="200"/>
              <w:rPr>
                <w:bCs/>
                <w:sz w:val="24"/>
              </w:rPr>
            </w:pPr>
            <w:r>
              <w:rPr>
                <w:rFonts w:hint="eastAsia"/>
                <w:bCs/>
                <w:sz w:val="24"/>
              </w:rPr>
              <w:t>（</w:t>
            </w:r>
            <w:r>
              <w:rPr>
                <w:bCs/>
                <w:sz w:val="24"/>
              </w:rPr>
              <w:t>5</w:t>
            </w:r>
            <w:r>
              <w:rPr>
                <w:rFonts w:hint="eastAsia"/>
                <w:bCs/>
                <w:sz w:val="24"/>
              </w:rPr>
              <w:t>）运输车辆及机械设备尾气</w:t>
            </w:r>
          </w:p>
          <w:p w14:paraId="3492B2EA">
            <w:pPr>
              <w:spacing w:line="360" w:lineRule="auto"/>
              <w:ind w:firstLine="480" w:firstLineChars="200"/>
              <w:rPr>
                <w:bCs/>
                <w:sz w:val="24"/>
              </w:rPr>
            </w:pPr>
            <w:r>
              <w:rPr>
                <w:bCs/>
                <w:sz w:val="24"/>
              </w:rPr>
              <w:t>公路施工机械主要有载重车、压路机、打桩机、柴油动力机械等燃油机械，</w:t>
            </w:r>
            <w:r>
              <w:rPr>
                <w:rFonts w:hint="eastAsia"/>
                <w:bCs/>
                <w:sz w:val="24"/>
              </w:rPr>
              <w:t>工作过程中会产生燃油废气，主要污染物为CO、HC。装载机间歇运行，环评要求：选用低硫优质柴油作为燃料，同时对铲车加强保养，使其处于良好的工作状态，最大限度的减轻燃油废气对环境空气的影响，排放尾气应满足《非道路移动机械用柴油机排气污染物排放限值及测量方法（中国第三、四阶段）》（GB20891-2014）及修改清单。</w:t>
            </w:r>
          </w:p>
          <w:p w14:paraId="21C16BCE">
            <w:pPr>
              <w:spacing w:line="360" w:lineRule="auto"/>
              <w:ind w:firstLine="480" w:firstLineChars="200"/>
              <w:rPr>
                <w:bCs/>
                <w:sz w:val="24"/>
              </w:rPr>
            </w:pPr>
            <w:r>
              <w:rPr>
                <w:bCs/>
                <w:sz w:val="24"/>
              </w:rPr>
              <w:t>2、施工废水</w:t>
            </w:r>
          </w:p>
          <w:p w14:paraId="14518ACA">
            <w:pPr>
              <w:spacing w:line="360" w:lineRule="auto"/>
              <w:ind w:firstLine="480" w:firstLineChars="200"/>
              <w:rPr>
                <w:bCs/>
                <w:sz w:val="24"/>
              </w:rPr>
            </w:pPr>
            <w:r>
              <w:rPr>
                <w:rFonts w:hint="eastAsia"/>
                <w:bCs/>
                <w:sz w:val="24"/>
              </w:rPr>
              <w:t>施工期的废水主要来自施工机械冲洗废水、管道闭水试验用水、施工人员日常生活污水。</w:t>
            </w:r>
          </w:p>
          <w:p w14:paraId="17462FC4">
            <w:pPr>
              <w:spacing w:line="360" w:lineRule="auto"/>
              <w:ind w:firstLine="480" w:firstLineChars="200"/>
              <w:rPr>
                <w:bCs/>
                <w:sz w:val="24"/>
              </w:rPr>
            </w:pPr>
            <w:r>
              <w:rPr>
                <w:rFonts w:hint="eastAsia"/>
                <w:bCs/>
                <w:sz w:val="24"/>
              </w:rPr>
              <w:t>（1）施工机械冲洗废水</w:t>
            </w:r>
          </w:p>
          <w:p w14:paraId="7AA33782">
            <w:pPr>
              <w:spacing w:line="360" w:lineRule="auto"/>
              <w:ind w:firstLine="480" w:firstLineChars="200"/>
              <w:rPr>
                <w:bCs/>
                <w:sz w:val="24"/>
              </w:rPr>
            </w:pPr>
            <w:r>
              <w:rPr>
                <w:rFonts w:hint="eastAsia"/>
                <w:bCs/>
                <w:sz w:val="24"/>
              </w:rPr>
              <w:t>机械、车辆冲洗废水中主要污染成分为SS，洗车废水中SS浓度约为300—500mg/L。施工高峰期各类机械车辆约有20台（辆），清洗频率2次/辆</w:t>
            </w:r>
            <w:r>
              <w:rPr>
                <w:bCs/>
                <w:sz w:val="24"/>
              </w:rPr>
              <w:t>·</w:t>
            </w:r>
            <w:r>
              <w:rPr>
                <w:rFonts w:hint="eastAsia"/>
                <w:bCs/>
                <w:sz w:val="24"/>
              </w:rPr>
              <w:t>天，参考《陕西省行业用水定额》（DB61/T 943-2020）中循环用水冲洗：大型车用水量55L/辆</w:t>
            </w:r>
            <w:r>
              <w:rPr>
                <w:bCs/>
                <w:sz w:val="24"/>
              </w:rPr>
              <w:t>·</w:t>
            </w:r>
            <w:r>
              <w:rPr>
                <w:rFonts w:hint="eastAsia"/>
                <w:bCs/>
                <w:sz w:val="24"/>
              </w:rPr>
              <w:t>次，中型车用水量45L/辆</w:t>
            </w:r>
            <w:r>
              <w:rPr>
                <w:bCs/>
                <w:sz w:val="24"/>
              </w:rPr>
              <w:t>·</w:t>
            </w:r>
            <w:r>
              <w:rPr>
                <w:rFonts w:hint="eastAsia"/>
                <w:bCs/>
                <w:sz w:val="24"/>
              </w:rPr>
              <w:t>次，结合《公路建设项目环境影响评价规范》（JTGB03-2006）“货车冲洗用水量40—80L/车</w:t>
            </w:r>
            <w:r>
              <w:rPr>
                <w:bCs/>
                <w:sz w:val="24"/>
              </w:rPr>
              <w:t>·</w:t>
            </w:r>
            <w:r>
              <w:rPr>
                <w:rFonts w:hint="eastAsia"/>
                <w:bCs/>
                <w:sz w:val="24"/>
              </w:rPr>
              <w:t>次”，本次环评取50L/辆</w:t>
            </w:r>
            <w:r>
              <w:rPr>
                <w:bCs/>
                <w:sz w:val="24"/>
              </w:rPr>
              <w:t>·</w:t>
            </w:r>
            <w:r>
              <w:rPr>
                <w:rFonts w:hint="eastAsia"/>
                <w:bCs/>
                <w:sz w:val="24"/>
              </w:rPr>
              <w:t>次，则项目车辆冲洗用水2m3/d。在道路施工场地内设三级沉淀池进行收集、沉淀后用于降尘、洒水，不外排。</w:t>
            </w:r>
          </w:p>
          <w:p w14:paraId="6295771A">
            <w:pPr>
              <w:spacing w:line="360" w:lineRule="auto"/>
              <w:ind w:firstLine="480" w:firstLineChars="200"/>
              <w:rPr>
                <w:bCs/>
                <w:sz w:val="24"/>
              </w:rPr>
            </w:pPr>
            <w:r>
              <w:rPr>
                <w:rFonts w:hint="eastAsia"/>
                <w:bCs/>
                <w:sz w:val="24"/>
              </w:rPr>
              <w:t>②管道闭水试验废水</w:t>
            </w:r>
          </w:p>
          <w:p w14:paraId="1B070A79">
            <w:pPr>
              <w:spacing w:line="360" w:lineRule="auto"/>
              <w:ind w:firstLine="480" w:firstLineChars="200"/>
              <w:rPr>
                <w:bCs/>
                <w:sz w:val="24"/>
              </w:rPr>
            </w:pPr>
            <w:r>
              <w:rPr>
                <w:rFonts w:hint="eastAsia"/>
                <w:bCs/>
                <w:sz w:val="24"/>
              </w:rPr>
              <w:t>管道铺设完成后需进行闭水试验，闭水试验采用自来水，分段试验，产生的废水量较少，主要污染物是SS，无其他特殊污染物。废水可直接用于路面洒水或道路两侧植被绿化。</w:t>
            </w:r>
          </w:p>
          <w:p w14:paraId="78297841">
            <w:pPr>
              <w:spacing w:line="360" w:lineRule="auto"/>
              <w:ind w:firstLine="480" w:firstLineChars="200"/>
              <w:rPr>
                <w:bCs/>
                <w:sz w:val="24"/>
              </w:rPr>
            </w:pPr>
            <w:r>
              <w:rPr>
                <w:rFonts w:hint="eastAsia"/>
                <w:bCs/>
                <w:sz w:val="24"/>
              </w:rPr>
              <w:t>②生活污水</w:t>
            </w:r>
          </w:p>
          <w:p w14:paraId="69F74D92">
            <w:pPr>
              <w:spacing w:line="360" w:lineRule="auto"/>
              <w:ind w:firstLine="480" w:firstLineChars="200"/>
              <w:rPr>
                <w:bCs/>
                <w:sz w:val="24"/>
              </w:rPr>
            </w:pPr>
            <w:r>
              <w:rPr>
                <w:rFonts w:hint="eastAsia"/>
                <w:bCs/>
                <w:sz w:val="24"/>
              </w:rPr>
              <w:t>施工期生活污水主要来自施工人员。本项目周边基础设施便利，因此项目施工过程中不设置施工营地，工人食宿问题依托周边公辅设施。</w:t>
            </w:r>
          </w:p>
          <w:p w14:paraId="4F67D2E6">
            <w:pPr>
              <w:pStyle w:val="8"/>
              <w:widowControl w:val="0"/>
              <w:snapToGrid/>
              <w:spacing w:before="0" w:after="0" w:line="360" w:lineRule="auto"/>
              <w:ind w:right="0" w:firstLine="480" w:firstLineChars="200"/>
              <w:rPr>
                <w:bCs/>
                <w:kern w:val="2"/>
                <w:sz w:val="24"/>
                <w:szCs w:val="24"/>
              </w:rPr>
            </w:pPr>
            <w:r>
              <w:rPr>
                <w:bCs/>
                <w:kern w:val="2"/>
                <w:sz w:val="24"/>
                <w:szCs w:val="24"/>
              </w:rPr>
              <w:t>3、施工噪声</w:t>
            </w:r>
          </w:p>
          <w:p w14:paraId="5D129ADE">
            <w:pPr>
              <w:spacing w:line="360" w:lineRule="auto"/>
              <w:ind w:firstLine="480" w:firstLineChars="200"/>
              <w:rPr>
                <w:bCs/>
                <w:sz w:val="24"/>
              </w:rPr>
            </w:pPr>
            <w:r>
              <w:rPr>
                <w:bCs/>
                <w:sz w:val="24"/>
              </w:rPr>
              <w:t>噪声源主要为压路机、装载机、铲运机、推铺机等。根据常用机械的实测资料，污染源强多在</w:t>
            </w:r>
            <w:r>
              <w:rPr>
                <w:rFonts w:hint="eastAsia"/>
                <w:bCs/>
                <w:sz w:val="24"/>
              </w:rPr>
              <w:t>79</w:t>
            </w:r>
            <w:r>
              <w:rPr>
                <w:bCs/>
                <w:sz w:val="24"/>
              </w:rPr>
              <w:t>～</w:t>
            </w:r>
            <w:r>
              <w:rPr>
                <w:rFonts w:hint="eastAsia"/>
                <w:bCs/>
                <w:sz w:val="24"/>
              </w:rPr>
              <w:t>105</w:t>
            </w:r>
            <w:r>
              <w:rPr>
                <w:bCs/>
                <w:sz w:val="24"/>
              </w:rPr>
              <w:t>dB(A)，高噪声设备的运行将对施工场地及周边声环境产生一定程度的不利影响。另外运输筑路材料的车辆也对沿线声环境造成一定程度的不利影响。</w:t>
            </w:r>
          </w:p>
          <w:p w14:paraId="2DCC2445">
            <w:pPr>
              <w:spacing w:line="360" w:lineRule="auto"/>
              <w:ind w:firstLine="480" w:firstLineChars="200"/>
              <w:rPr>
                <w:bCs/>
                <w:color w:val="FF0000"/>
                <w:sz w:val="24"/>
              </w:rPr>
            </w:pPr>
            <w:r>
              <w:rPr>
                <w:rFonts w:hint="eastAsia"/>
                <w:bCs/>
                <w:color w:val="FF0000"/>
                <w:sz w:val="24"/>
              </w:rPr>
              <w:t>施工期噪声具有间歇性和暂时性，伴随着施工期完成，施工噪声影响随之消失。</w:t>
            </w:r>
            <w:r>
              <w:rPr>
                <w:bCs/>
                <w:color w:val="FF0000"/>
                <w:sz w:val="24"/>
              </w:rPr>
              <w:t>夜间（22</w:t>
            </w:r>
            <w:r>
              <w:rPr>
                <w:rFonts w:hint="eastAsia"/>
                <w:bCs/>
                <w:color w:val="FF0000"/>
                <w:sz w:val="24"/>
              </w:rPr>
              <w:t>∶</w:t>
            </w:r>
            <w:r>
              <w:rPr>
                <w:bCs/>
                <w:color w:val="FF0000"/>
                <w:sz w:val="24"/>
              </w:rPr>
              <w:t>00～6</w:t>
            </w:r>
            <w:r>
              <w:rPr>
                <w:rFonts w:hint="eastAsia"/>
                <w:bCs/>
                <w:color w:val="FF0000"/>
                <w:sz w:val="24"/>
              </w:rPr>
              <w:t>∶</w:t>
            </w:r>
            <w:r>
              <w:rPr>
                <w:bCs/>
                <w:color w:val="FF0000"/>
                <w:sz w:val="24"/>
              </w:rPr>
              <w:t>00）应禁止施工作业</w:t>
            </w:r>
            <w:r>
              <w:rPr>
                <w:rFonts w:hint="eastAsia"/>
                <w:bCs/>
                <w:color w:val="FF0000"/>
                <w:sz w:val="24"/>
              </w:rPr>
              <w:t>，</w:t>
            </w:r>
            <w:r>
              <w:rPr>
                <w:bCs/>
                <w:color w:val="FF0000"/>
                <w:sz w:val="24"/>
              </w:rPr>
              <w:t>因特殊需要必须连续作业的，必须有县级以上人民政府或者其有关主管部门的证明，按规定申领夜间施工证，同时发布公告，告知附近居民，最大限度地争取民众支持。</w:t>
            </w:r>
            <w:r>
              <w:rPr>
                <w:rFonts w:hint="eastAsia"/>
                <w:bCs/>
                <w:color w:val="FF0000"/>
                <w:sz w:val="24"/>
              </w:rPr>
              <w:t>并采取必要的噪声控制措施（如设置施工围挡、移动式声屏障等）、</w:t>
            </w:r>
            <w:r>
              <w:rPr>
                <w:bCs/>
                <w:color w:val="FF0000"/>
                <w:sz w:val="24"/>
              </w:rPr>
              <w:t>选用低噪声机械设备、避免高噪声设备同时作业等综合降噪措施</w:t>
            </w:r>
            <w:r>
              <w:rPr>
                <w:rFonts w:hint="eastAsia"/>
                <w:bCs/>
                <w:color w:val="FF0000"/>
                <w:sz w:val="24"/>
              </w:rPr>
              <w:t>。</w:t>
            </w:r>
          </w:p>
          <w:p w14:paraId="0B983AF2">
            <w:pPr>
              <w:spacing w:line="360" w:lineRule="auto"/>
              <w:ind w:firstLine="480" w:firstLineChars="200"/>
              <w:rPr>
                <w:bCs/>
                <w:sz w:val="24"/>
              </w:rPr>
            </w:pPr>
            <w:r>
              <w:rPr>
                <w:bCs/>
                <w:sz w:val="24"/>
              </w:rPr>
              <w:t>4、固体废物</w:t>
            </w:r>
          </w:p>
          <w:p w14:paraId="6A19FB27">
            <w:pPr>
              <w:spacing w:line="360" w:lineRule="auto"/>
              <w:ind w:firstLine="480" w:firstLineChars="200"/>
              <w:rPr>
                <w:bCs/>
                <w:sz w:val="24"/>
              </w:rPr>
            </w:pPr>
            <w:r>
              <w:rPr>
                <w:bCs/>
                <w:sz w:val="24"/>
              </w:rPr>
              <w:t>项目距离城镇较近，施工期期间不设置</w:t>
            </w:r>
            <w:r>
              <w:rPr>
                <w:rFonts w:hint="eastAsia"/>
                <w:bCs/>
                <w:sz w:val="24"/>
              </w:rPr>
              <w:t>机械</w:t>
            </w:r>
            <w:r>
              <w:rPr>
                <w:bCs/>
                <w:sz w:val="24"/>
              </w:rPr>
              <w:t>维修场地。施工期的固体废物主要有施工人员生活垃圾</w:t>
            </w:r>
            <w:r>
              <w:rPr>
                <w:rFonts w:hint="eastAsia"/>
                <w:bCs/>
                <w:sz w:val="24"/>
              </w:rPr>
              <w:t>和包装材料</w:t>
            </w:r>
            <w:r>
              <w:rPr>
                <w:bCs/>
                <w:sz w:val="24"/>
              </w:rPr>
              <w:t>。</w:t>
            </w:r>
          </w:p>
          <w:p w14:paraId="01C4EB93">
            <w:pPr>
              <w:spacing w:line="360" w:lineRule="auto"/>
              <w:ind w:firstLine="480" w:firstLineChars="200"/>
              <w:rPr>
                <w:bCs/>
                <w:sz w:val="24"/>
              </w:rPr>
            </w:pPr>
            <w:r>
              <w:rPr>
                <w:bCs/>
                <w:sz w:val="24"/>
              </w:rPr>
              <w:t>（</w:t>
            </w:r>
            <w:r>
              <w:rPr>
                <w:rFonts w:hint="eastAsia"/>
                <w:bCs/>
                <w:sz w:val="24"/>
              </w:rPr>
              <w:t>1</w:t>
            </w:r>
            <w:r>
              <w:rPr>
                <w:bCs/>
                <w:sz w:val="24"/>
              </w:rPr>
              <w:t>）施工场地建筑垃圾</w:t>
            </w:r>
          </w:p>
          <w:p w14:paraId="7A8E2929">
            <w:pPr>
              <w:spacing w:line="360" w:lineRule="auto"/>
              <w:ind w:firstLine="480" w:firstLineChars="200"/>
              <w:rPr>
                <w:bCs/>
                <w:sz w:val="24"/>
              </w:rPr>
            </w:pPr>
            <w:r>
              <w:rPr>
                <w:bCs/>
                <w:sz w:val="24"/>
              </w:rPr>
              <w:t>道路施工场地的建筑垃圾主要是指剩余的筑路材料，包括石料、砂、石灰、水泥、钢材、木料、预制构件等，施工剩余的材料能回收的尽量回收，少量剩余的筑路材料集中堆放于</w:t>
            </w:r>
            <w:r>
              <w:rPr>
                <w:rFonts w:hint="eastAsia"/>
                <w:bCs/>
                <w:sz w:val="24"/>
              </w:rPr>
              <w:t>施工</w:t>
            </w:r>
            <w:r>
              <w:rPr>
                <w:bCs/>
                <w:sz w:val="24"/>
              </w:rPr>
              <w:t>场地内，并做好苫盖围挡，之后运至城市管理部门指定的建筑垃圾填埋场进行填埋处置，对环境影响小。</w:t>
            </w:r>
          </w:p>
          <w:p w14:paraId="3ACE0408">
            <w:pPr>
              <w:spacing w:line="360" w:lineRule="auto"/>
              <w:ind w:firstLine="480" w:firstLineChars="200"/>
              <w:rPr>
                <w:bCs/>
                <w:sz w:val="24"/>
              </w:rPr>
            </w:pPr>
            <w:r>
              <w:rPr>
                <w:bCs/>
                <w:sz w:val="24"/>
              </w:rPr>
              <w:t>（</w:t>
            </w:r>
            <w:r>
              <w:rPr>
                <w:rFonts w:hint="eastAsia"/>
                <w:bCs/>
                <w:sz w:val="24"/>
              </w:rPr>
              <w:t>2</w:t>
            </w:r>
            <w:r>
              <w:rPr>
                <w:bCs/>
                <w:sz w:val="24"/>
              </w:rPr>
              <w:t>）施工人员生活垃圾</w:t>
            </w:r>
          </w:p>
          <w:p w14:paraId="0C7D7450">
            <w:pPr>
              <w:spacing w:line="360" w:lineRule="auto"/>
              <w:ind w:firstLine="480" w:firstLineChars="200"/>
              <w:rPr>
                <w:bCs/>
                <w:sz w:val="24"/>
              </w:rPr>
            </w:pPr>
            <w:r>
              <w:rPr>
                <w:bCs/>
                <w:sz w:val="24"/>
              </w:rPr>
              <w:t>本项目施工期平均施工人员约20人，按每人每天产生生活垃圾0.1kg计，施工期生活垃圾产生量</w:t>
            </w:r>
            <w:r>
              <w:rPr>
                <w:rFonts w:hint="eastAsia"/>
                <w:bCs/>
                <w:sz w:val="24"/>
              </w:rPr>
              <w:t>1</w:t>
            </w:r>
            <w:r>
              <w:rPr>
                <w:bCs/>
                <w:sz w:val="24"/>
              </w:rPr>
              <w:t>0kg/d。设生活垃圾收集设施，集中收集施工生活垃圾，定期统一由当地环卫部门清运处置。</w:t>
            </w:r>
          </w:p>
          <w:p w14:paraId="43E3C687">
            <w:pPr>
              <w:spacing w:line="360" w:lineRule="auto"/>
              <w:ind w:firstLine="480" w:firstLineChars="200"/>
              <w:rPr>
                <w:bCs/>
                <w:sz w:val="24"/>
              </w:rPr>
            </w:pPr>
            <w:r>
              <w:rPr>
                <w:bCs/>
                <w:sz w:val="24"/>
              </w:rPr>
              <w:t>5、生态环境影响</w:t>
            </w:r>
          </w:p>
          <w:p w14:paraId="1443FBFE">
            <w:pPr>
              <w:spacing w:line="360" w:lineRule="auto"/>
              <w:ind w:firstLine="480" w:firstLineChars="200"/>
              <w:rPr>
                <w:bCs/>
                <w:sz w:val="24"/>
              </w:rPr>
            </w:pPr>
            <w:r>
              <w:rPr>
                <w:bCs/>
                <w:sz w:val="24"/>
              </w:rPr>
              <w:t>本项目属于城市道路工程，其施工过程中产生的生态影响主要包括占地、水土流失及景观影响。</w:t>
            </w:r>
          </w:p>
          <w:p w14:paraId="0F26F5AD">
            <w:pPr>
              <w:spacing w:line="360" w:lineRule="auto"/>
              <w:ind w:firstLine="480" w:firstLineChars="200"/>
              <w:rPr>
                <w:bCs/>
                <w:sz w:val="24"/>
              </w:rPr>
            </w:pPr>
            <w:r>
              <w:rPr>
                <w:bCs/>
                <w:sz w:val="24"/>
              </w:rPr>
              <w:t>（1）占地影响分析</w:t>
            </w:r>
          </w:p>
          <w:p w14:paraId="64AB9C60">
            <w:pPr>
              <w:pStyle w:val="14"/>
              <w:ind w:firstLine="480"/>
            </w:pPr>
            <w:r>
              <w:rPr>
                <w:kern w:val="2"/>
                <w:szCs w:val="24"/>
              </w:rPr>
              <w:t>占</w:t>
            </w:r>
            <w:r>
              <w:t>地影响主要来源于临时工程，其产生的主要生态环境影响包括：1）施工临时占地对地表植被和地表表层土壤造成破坏，使地表水土保持功能降低或丧失，加剧水土流失；2）临时占地造成植被破坏，进而使生物量减少，同时对周围景观造成一定的影响。</w:t>
            </w:r>
            <w:r>
              <w:rPr>
                <w:rFonts w:hint="eastAsia"/>
              </w:rPr>
              <w:t>项目</w:t>
            </w:r>
            <w:r>
              <w:t>永久占地面积为2.59</w:t>
            </w:r>
            <w:r>
              <w:rPr>
                <w:rFonts w:hint="eastAsia"/>
              </w:rPr>
              <w:t>h</w:t>
            </w:r>
            <w:r>
              <w:t>m</w:t>
            </w:r>
            <w:r>
              <w:rPr>
                <w:vertAlign w:val="superscript"/>
              </w:rPr>
              <w:t>2</w:t>
            </w:r>
            <w:r>
              <w:t>；本项目不设置施工营地、预制场、拌合站、取弃土场及施工便道等临时工程。本项目将临时堆场布置于工程永久占地范围内，不新增临时工程占地，因此，本项目施工过程中产生的占地影响较小。</w:t>
            </w:r>
          </w:p>
          <w:p w14:paraId="269B075D">
            <w:pPr>
              <w:pStyle w:val="14"/>
              <w:ind w:firstLine="480"/>
              <w:rPr>
                <w:kern w:val="2"/>
                <w:szCs w:val="24"/>
              </w:rPr>
            </w:pPr>
            <w:r>
              <w:rPr>
                <w:kern w:val="2"/>
                <w:szCs w:val="24"/>
              </w:rPr>
              <w:t>（2）对水土流失影响分析</w:t>
            </w:r>
          </w:p>
          <w:p w14:paraId="24763143">
            <w:pPr>
              <w:pStyle w:val="14"/>
              <w:ind w:firstLine="480"/>
              <w:rPr>
                <w:kern w:val="2"/>
                <w:szCs w:val="24"/>
              </w:rPr>
            </w:pPr>
            <w:r>
              <w:rPr>
                <w:kern w:val="2"/>
                <w:szCs w:val="24"/>
              </w:rPr>
              <w:t>本项目可能发生水土流失的施工阶段主要是管网敷设的地面开挖阶段。在施工场地挖方地段，新增水土流失主要是由于原生土石及地貌受到扰动，土体凝聚力减弱，可蚀性增强，加之原地表植被破坏，失去植被的抗侵蚀能力，容易在雨水和重力作用下发生水力侵蚀和垮塌等重力侵蚀。</w:t>
            </w:r>
          </w:p>
          <w:p w14:paraId="654C8CD6">
            <w:pPr>
              <w:pStyle w:val="14"/>
              <w:ind w:firstLine="480"/>
              <w:rPr>
                <w:kern w:val="2"/>
                <w:szCs w:val="24"/>
              </w:rPr>
            </w:pPr>
            <w:r>
              <w:rPr>
                <w:kern w:val="2"/>
                <w:szCs w:val="24"/>
              </w:rPr>
              <w:t>对于本项目可能造成的水土流失，施工前做好临时排水工作，并充分利用城市排水管网，防治积水四溢；施工中尽量压缩土石方量，合理安排施工工序，缩短施工线，争取先期施工完结后，随即做好挡土墙、路基护坡、植被种植等防护工程，以减少水土流失。</w:t>
            </w:r>
          </w:p>
          <w:p w14:paraId="44C3E21B">
            <w:pPr>
              <w:pStyle w:val="14"/>
              <w:ind w:firstLine="480"/>
              <w:rPr>
                <w:kern w:val="2"/>
                <w:szCs w:val="24"/>
              </w:rPr>
            </w:pPr>
            <w:r>
              <w:rPr>
                <w:kern w:val="2"/>
                <w:szCs w:val="24"/>
              </w:rPr>
              <w:t>（3）对土壤的影响分析</w:t>
            </w:r>
          </w:p>
          <w:p w14:paraId="29C60305">
            <w:pPr>
              <w:pStyle w:val="14"/>
              <w:ind w:firstLine="480"/>
              <w:rPr>
                <w:kern w:val="2"/>
                <w:szCs w:val="24"/>
              </w:rPr>
            </w:pPr>
            <w:r>
              <w:rPr>
                <w:kern w:val="2"/>
                <w:szCs w:val="24"/>
              </w:rPr>
              <w:t>路基处理及管沟开挖会破坏土壤耕作层，扰动土壤结构，从而影响土壤的紧实度等。经现场踏勘，本项目施工范围内无耕地，部分地表由于车辆碾压已形成固化。施工期间，控制机械施工范围，对土壤影响较小。</w:t>
            </w:r>
          </w:p>
          <w:p w14:paraId="2C6EAF29">
            <w:pPr>
              <w:pStyle w:val="8"/>
              <w:widowControl w:val="0"/>
              <w:snapToGrid/>
              <w:spacing w:before="0" w:after="0" w:line="360" w:lineRule="auto"/>
              <w:ind w:right="0" w:firstLine="480" w:firstLineChars="200"/>
              <w:rPr>
                <w:bCs/>
                <w:color w:val="FF0000"/>
                <w:kern w:val="2"/>
                <w:sz w:val="24"/>
                <w:szCs w:val="24"/>
              </w:rPr>
            </w:pPr>
            <w:r>
              <w:rPr>
                <w:bCs/>
                <w:color w:val="FF0000"/>
                <w:kern w:val="2"/>
                <w:sz w:val="24"/>
                <w:szCs w:val="24"/>
              </w:rPr>
              <w:t>（</w:t>
            </w:r>
            <w:r>
              <w:rPr>
                <w:rFonts w:hint="eastAsia"/>
                <w:bCs/>
                <w:color w:val="FF0000"/>
                <w:kern w:val="2"/>
                <w:sz w:val="24"/>
                <w:szCs w:val="24"/>
              </w:rPr>
              <w:t>4</w:t>
            </w:r>
            <w:r>
              <w:rPr>
                <w:bCs/>
                <w:color w:val="FF0000"/>
                <w:kern w:val="2"/>
                <w:sz w:val="24"/>
                <w:szCs w:val="24"/>
              </w:rPr>
              <w:t>）</w:t>
            </w:r>
            <w:r>
              <w:rPr>
                <w:rFonts w:hint="eastAsia"/>
                <w:bCs/>
                <w:color w:val="FF0000"/>
                <w:kern w:val="2"/>
                <w:sz w:val="24"/>
                <w:szCs w:val="24"/>
              </w:rPr>
              <w:t>土石方</w:t>
            </w:r>
          </w:p>
          <w:p w14:paraId="2D42714B">
            <w:pPr>
              <w:spacing w:line="360" w:lineRule="auto"/>
              <w:ind w:firstLine="480" w:firstLineChars="200"/>
              <w:rPr>
                <w:bCs/>
                <w:sz w:val="24"/>
              </w:rPr>
            </w:pPr>
            <w:r>
              <w:rPr>
                <w:rFonts w:hint="eastAsia"/>
                <w:bCs/>
                <w:color w:val="FF0000"/>
                <w:sz w:val="24"/>
              </w:rPr>
              <w:t>根据本项目施工设计，本项目挖方约</w:t>
            </w:r>
            <w:r>
              <w:rPr>
                <w:bCs/>
                <w:color w:val="FF0000"/>
                <w:sz w:val="24"/>
              </w:rPr>
              <w:t>15332</w:t>
            </w:r>
            <w:r>
              <w:rPr>
                <w:rFonts w:hint="eastAsia"/>
                <w:bCs/>
                <w:color w:val="FF0000"/>
                <w:sz w:val="24"/>
              </w:rPr>
              <w:t>m</w:t>
            </w:r>
            <w:r>
              <w:rPr>
                <w:rFonts w:hint="eastAsia"/>
                <w:bCs/>
                <w:color w:val="FF0000"/>
                <w:sz w:val="24"/>
                <w:vertAlign w:val="superscript"/>
              </w:rPr>
              <w:t>3</w:t>
            </w:r>
            <w:r>
              <w:rPr>
                <w:rFonts w:hint="eastAsia"/>
                <w:bCs/>
                <w:color w:val="FF0000"/>
                <w:sz w:val="24"/>
              </w:rPr>
              <w:t>，填方约</w:t>
            </w:r>
            <w:r>
              <w:rPr>
                <w:bCs/>
                <w:color w:val="FF0000"/>
                <w:sz w:val="24"/>
              </w:rPr>
              <w:t>99129</w:t>
            </w:r>
            <w:r>
              <w:rPr>
                <w:rFonts w:hint="eastAsia"/>
                <w:bCs/>
                <w:color w:val="FF0000"/>
                <w:sz w:val="24"/>
              </w:rPr>
              <w:t>m</w:t>
            </w:r>
            <w:r>
              <w:rPr>
                <w:rFonts w:hint="eastAsia"/>
                <w:bCs/>
                <w:color w:val="FF0000"/>
                <w:sz w:val="24"/>
                <w:vertAlign w:val="superscript"/>
              </w:rPr>
              <w:t>3</w:t>
            </w:r>
            <w:r>
              <w:rPr>
                <w:rFonts w:hint="eastAsia"/>
                <w:bCs/>
                <w:color w:val="FF0000"/>
                <w:sz w:val="24"/>
              </w:rPr>
              <w:t>，填方主要为外购的砂砾、片石等，无弃方。本项目不设置取土场、弃土场。</w:t>
            </w:r>
          </w:p>
        </w:tc>
      </w:tr>
      <w:tr w14:paraId="608CF0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09" w:type="dxa"/>
            <w:tcMar>
              <w:left w:w="28" w:type="dxa"/>
              <w:right w:w="28" w:type="dxa"/>
            </w:tcMar>
            <w:vAlign w:val="center"/>
          </w:tcPr>
          <w:p w14:paraId="66DBAAD3">
            <w:pPr>
              <w:adjustRightInd w:val="0"/>
              <w:snapToGrid w:val="0"/>
              <w:jc w:val="center"/>
              <w:rPr>
                <w:rFonts w:ascii="宋体" w:hAnsi="宋体" w:cs="宋体"/>
                <w:bCs/>
                <w:szCs w:val="21"/>
              </w:rPr>
            </w:pPr>
            <w:r>
              <w:rPr>
                <w:rFonts w:hint="eastAsia" w:ascii="宋体" w:hAnsi="宋体" w:cs="宋体"/>
                <w:bCs/>
                <w:szCs w:val="21"/>
              </w:rPr>
              <w:t>运营</w:t>
            </w:r>
          </w:p>
          <w:p w14:paraId="14354C7A">
            <w:pPr>
              <w:adjustRightInd w:val="0"/>
              <w:snapToGrid w:val="0"/>
              <w:jc w:val="center"/>
              <w:rPr>
                <w:rFonts w:ascii="宋体" w:hAnsi="宋体" w:cs="宋体"/>
                <w:bCs/>
                <w:szCs w:val="21"/>
              </w:rPr>
            </w:pPr>
            <w:r>
              <w:rPr>
                <w:rFonts w:hint="eastAsia" w:ascii="宋体" w:hAnsi="宋体" w:cs="宋体"/>
                <w:bCs/>
                <w:szCs w:val="21"/>
              </w:rPr>
              <w:t>期生态环</w:t>
            </w:r>
          </w:p>
          <w:p w14:paraId="5BC3A668">
            <w:pPr>
              <w:adjustRightInd w:val="0"/>
              <w:snapToGrid w:val="0"/>
              <w:jc w:val="center"/>
              <w:rPr>
                <w:rFonts w:ascii="宋体" w:hAnsi="宋体" w:cs="宋体"/>
                <w:bCs/>
                <w:szCs w:val="21"/>
              </w:rPr>
            </w:pPr>
            <w:r>
              <w:rPr>
                <w:rFonts w:hint="eastAsia" w:ascii="宋体" w:hAnsi="宋体" w:cs="宋体"/>
                <w:bCs/>
                <w:szCs w:val="21"/>
              </w:rPr>
              <w:t>境影</w:t>
            </w:r>
          </w:p>
          <w:p w14:paraId="7BD3C58F">
            <w:pPr>
              <w:adjustRightInd w:val="0"/>
              <w:snapToGrid w:val="0"/>
              <w:jc w:val="center"/>
              <w:rPr>
                <w:rFonts w:ascii="宋体" w:hAnsi="宋体" w:cs="宋体"/>
                <w:bCs/>
                <w:szCs w:val="21"/>
              </w:rPr>
            </w:pPr>
            <w:r>
              <w:rPr>
                <w:rFonts w:hint="eastAsia" w:ascii="宋体" w:hAnsi="宋体" w:cs="宋体"/>
                <w:bCs/>
                <w:szCs w:val="21"/>
              </w:rPr>
              <w:t>响分析</w:t>
            </w:r>
          </w:p>
        </w:tc>
        <w:tc>
          <w:tcPr>
            <w:tcW w:w="8320" w:type="dxa"/>
            <w:vAlign w:val="center"/>
          </w:tcPr>
          <w:p w14:paraId="064F00BB">
            <w:pPr>
              <w:wordWrap w:val="0"/>
              <w:spacing w:line="360" w:lineRule="auto"/>
              <w:ind w:firstLine="482" w:firstLineChars="200"/>
              <w:rPr>
                <w:b/>
                <w:bCs/>
                <w:sz w:val="24"/>
              </w:rPr>
            </w:pPr>
            <w:r>
              <w:rPr>
                <w:rFonts w:hint="eastAsia"/>
                <w:b/>
                <w:bCs/>
                <w:sz w:val="24"/>
              </w:rPr>
              <w:t>1、运营期环境空气影响分析</w:t>
            </w:r>
          </w:p>
          <w:p w14:paraId="1FDBAA20">
            <w:pPr>
              <w:wordWrap w:val="0"/>
              <w:spacing w:line="360" w:lineRule="auto"/>
              <w:ind w:firstLine="480" w:firstLineChars="200"/>
              <w:rPr>
                <w:sz w:val="24"/>
              </w:rPr>
            </w:pPr>
            <w:r>
              <w:rPr>
                <w:rFonts w:hint="eastAsia"/>
                <w:sz w:val="24"/>
              </w:rPr>
              <w:t>本项目运营期环境空气影响主要来自车辆尾气和极少量的道路扬尘。</w:t>
            </w:r>
          </w:p>
          <w:p w14:paraId="491A5D33">
            <w:pPr>
              <w:wordWrap w:val="0"/>
              <w:spacing w:line="360" w:lineRule="auto"/>
              <w:ind w:firstLine="480" w:firstLineChars="200"/>
              <w:rPr>
                <w:sz w:val="24"/>
              </w:rPr>
            </w:pPr>
            <w:r>
              <w:rPr>
                <w:rFonts w:hint="eastAsia"/>
                <w:sz w:val="24"/>
              </w:rPr>
              <w:t>（1）道路扬尘</w:t>
            </w:r>
          </w:p>
          <w:p w14:paraId="1376439F">
            <w:pPr>
              <w:wordWrap w:val="0"/>
              <w:spacing w:line="360" w:lineRule="auto"/>
              <w:ind w:firstLine="480" w:firstLineChars="200"/>
              <w:rPr>
                <w:sz w:val="24"/>
              </w:rPr>
            </w:pPr>
            <w:r>
              <w:rPr>
                <w:rFonts w:hint="eastAsia"/>
                <w:sz w:val="24"/>
              </w:rPr>
              <w:t>道路车辆行驶时将会产生扬尘，运送散装含尘物料的车辆由于散落、风吹等原因产生扬尘污染。定期对路面进行清扫、洒水等措施后可有效减少道路扬尘影响。</w:t>
            </w:r>
          </w:p>
          <w:p w14:paraId="3B0CF94A">
            <w:pPr>
              <w:wordWrap w:val="0"/>
              <w:spacing w:line="360" w:lineRule="auto"/>
              <w:ind w:firstLine="480" w:firstLineChars="200"/>
              <w:rPr>
                <w:sz w:val="24"/>
              </w:rPr>
            </w:pPr>
            <w:r>
              <w:rPr>
                <w:rFonts w:hint="eastAsia"/>
                <w:sz w:val="24"/>
              </w:rPr>
              <w:t>（2）汽车尾气</w:t>
            </w:r>
          </w:p>
          <w:p w14:paraId="7BC44D24">
            <w:pPr>
              <w:wordWrap w:val="0"/>
              <w:spacing w:line="360" w:lineRule="auto"/>
              <w:ind w:firstLine="480" w:firstLineChars="200"/>
              <w:rPr>
                <w:sz w:val="24"/>
              </w:rPr>
            </w:pPr>
            <w:r>
              <w:rPr>
                <w:rFonts w:hint="eastAsia"/>
                <w:sz w:val="24"/>
              </w:rPr>
              <w:t>道路建成后，汽车尾气中的CO、NO</w:t>
            </w:r>
            <w:r>
              <w:rPr>
                <w:rFonts w:hint="eastAsia"/>
                <w:sz w:val="24"/>
                <w:vertAlign w:val="subscript"/>
              </w:rPr>
              <w:t>x</w:t>
            </w:r>
            <w:r>
              <w:rPr>
                <w:rFonts w:hint="eastAsia"/>
                <w:sz w:val="24"/>
              </w:rPr>
              <w:t>对沿线环境空气质量有一定影响，敏感点受汽车尾气中的NO</w:t>
            </w:r>
            <w:r>
              <w:rPr>
                <w:rFonts w:hint="eastAsia"/>
                <w:sz w:val="24"/>
                <w:vertAlign w:val="subscript"/>
              </w:rPr>
              <w:t>2</w:t>
            </w:r>
            <w:r>
              <w:rPr>
                <w:rFonts w:hint="eastAsia"/>
                <w:sz w:val="24"/>
              </w:rPr>
              <w:t>污染的程度与汽车尾气排放量、气象条件有关，同时还与敏感点同路之间水平距离有较大关系，即交通量越大，污染物排放量越大；相对距离路越近，污染物浓度越高；风速越小，越不利于扩散，污染物浓度越高；敏感建筑处在道路下风向时，其影响程度越大。</w:t>
            </w:r>
          </w:p>
          <w:p w14:paraId="34D0664C">
            <w:pPr>
              <w:wordWrap w:val="0"/>
              <w:spacing w:line="360" w:lineRule="auto"/>
              <w:ind w:firstLine="480" w:firstLineChars="200"/>
              <w:rPr>
                <w:sz w:val="24"/>
              </w:rPr>
            </w:pPr>
            <w:r>
              <w:rPr>
                <w:rFonts w:hint="eastAsia"/>
                <w:sz w:val="24"/>
              </w:rPr>
              <w:t>道路为开放式的广域扩散空间，且单辆汽车为移动式污染源，整个道路可看作很长路段的线状污染源，汽车尾气相对于长路段来说，扩散至道路两侧一定距离的敏感点处的NO</w:t>
            </w:r>
            <w:r>
              <w:rPr>
                <w:rFonts w:hint="eastAsia"/>
                <w:sz w:val="24"/>
                <w:vertAlign w:val="subscript"/>
              </w:rPr>
              <w:t>2</w:t>
            </w:r>
            <w:r>
              <w:rPr>
                <w:rFonts w:hint="eastAsia"/>
                <w:sz w:val="24"/>
              </w:rPr>
              <w:t>浓度较低，一般在道路两侧20m处均可达到环境空气质量一级标准浓度。</w:t>
            </w:r>
          </w:p>
          <w:p w14:paraId="39F15424">
            <w:pPr>
              <w:wordWrap w:val="0"/>
              <w:spacing w:line="360" w:lineRule="auto"/>
              <w:ind w:firstLine="480" w:firstLineChars="200"/>
              <w:rPr>
                <w:sz w:val="24"/>
              </w:rPr>
            </w:pPr>
            <w:r>
              <w:rPr>
                <w:rFonts w:hint="eastAsia"/>
                <w:sz w:val="24"/>
              </w:rPr>
              <w:t>项目建成后路面宽阔平整，将较大程度的改善区域通行条件。随着道路沿线绿化工程的实施，多种植适合当地环境条件的绿化物种，这样既可以净化吸收车辆尾气中的污染物，减少大气中粉尘，又可以美化环境和改善道路沿线景观效果；加强对道路的养护和清扫，确保路面平整和清洁；加强宣传与管理，确保过路运输车辆对散状物料覆盖，对沿途大气环境的影响较现状道路有较大程度的改善。</w:t>
            </w:r>
          </w:p>
          <w:p w14:paraId="7A35BD72">
            <w:pPr>
              <w:wordWrap w:val="0"/>
              <w:spacing w:line="360" w:lineRule="auto"/>
              <w:ind w:firstLine="480" w:firstLineChars="200"/>
              <w:rPr>
                <w:sz w:val="24"/>
              </w:rPr>
            </w:pPr>
            <w:r>
              <w:rPr>
                <w:rFonts w:hint="eastAsia"/>
                <w:sz w:val="24"/>
              </w:rPr>
              <w:t>综合以上分析，本项目在运营期对项目沿线环境空气质量有一定影响，在采取道路两旁绿化、加强道路清扫、定期洒水等措施后，对环境空气的影响较小。</w:t>
            </w:r>
          </w:p>
          <w:p w14:paraId="7AB1AC7B">
            <w:pPr>
              <w:wordWrap w:val="0"/>
              <w:spacing w:line="360" w:lineRule="auto"/>
              <w:ind w:firstLine="482" w:firstLineChars="200"/>
              <w:rPr>
                <w:b/>
                <w:bCs/>
                <w:sz w:val="24"/>
              </w:rPr>
            </w:pPr>
            <w:r>
              <w:rPr>
                <w:rFonts w:hint="eastAsia"/>
                <w:b/>
                <w:bCs/>
                <w:sz w:val="24"/>
              </w:rPr>
              <w:t>2、运营期水环境影响分析</w:t>
            </w:r>
          </w:p>
          <w:p w14:paraId="7472A355">
            <w:pPr>
              <w:spacing w:line="360" w:lineRule="auto"/>
              <w:ind w:firstLine="480" w:firstLineChars="200"/>
              <w:jc w:val="left"/>
              <w:rPr>
                <w:sz w:val="24"/>
              </w:rPr>
            </w:pPr>
            <w:r>
              <w:rPr>
                <w:rFonts w:hint="eastAsia"/>
                <w:sz w:val="24"/>
              </w:rPr>
              <w:t>本项目不设服务设施</w:t>
            </w:r>
            <w:r>
              <w:rPr>
                <w:sz w:val="24"/>
              </w:rPr>
              <w:t>，因此该项目在运营期无生活污水产生。在道路建成投入运营后，</w:t>
            </w:r>
            <w:r>
              <w:rPr>
                <w:rFonts w:hint="eastAsia"/>
                <w:sz w:val="24"/>
              </w:rPr>
              <w:t>路面</w:t>
            </w:r>
            <w:r>
              <w:rPr>
                <w:sz w:val="24"/>
              </w:rPr>
              <w:t>径流</w:t>
            </w:r>
            <w:r>
              <w:rPr>
                <w:rFonts w:hint="eastAsia"/>
                <w:sz w:val="24"/>
              </w:rPr>
              <w:t>通过排水沟</w:t>
            </w:r>
            <w:r>
              <w:rPr>
                <w:sz w:val="24"/>
              </w:rPr>
              <w:t>流入</w:t>
            </w:r>
            <w:r>
              <w:rPr>
                <w:rFonts w:hint="eastAsia"/>
                <w:sz w:val="24"/>
              </w:rPr>
              <w:t>城市雨水排放系统，通过加强日常路面清理，基本不会</w:t>
            </w:r>
            <w:r>
              <w:rPr>
                <w:sz w:val="24"/>
              </w:rPr>
              <w:t>对水体产生影响。</w:t>
            </w:r>
          </w:p>
          <w:p w14:paraId="6CF0DD60">
            <w:pPr>
              <w:wordWrap w:val="0"/>
              <w:spacing w:line="360" w:lineRule="auto"/>
              <w:ind w:firstLine="482" w:firstLineChars="200"/>
              <w:rPr>
                <w:b/>
                <w:bCs/>
                <w:sz w:val="24"/>
              </w:rPr>
            </w:pPr>
            <w:r>
              <w:rPr>
                <w:rFonts w:hint="eastAsia"/>
                <w:b/>
                <w:bCs/>
                <w:sz w:val="24"/>
              </w:rPr>
              <w:t>3、运营期声环境影响分析</w:t>
            </w:r>
          </w:p>
          <w:p w14:paraId="0BC2F3B4">
            <w:pPr>
              <w:wordWrap w:val="0"/>
              <w:spacing w:line="360" w:lineRule="auto"/>
              <w:ind w:firstLine="480" w:firstLineChars="200"/>
              <w:rPr>
                <w:sz w:val="24"/>
              </w:rPr>
            </w:pPr>
            <w:r>
              <w:rPr>
                <w:rFonts w:hint="eastAsia"/>
                <w:sz w:val="24"/>
              </w:rPr>
              <w:t>本项目评价范围内不涉及声环境保护目标，仅对道路交通噪声进行预测，预测结果如下：</w:t>
            </w:r>
          </w:p>
          <w:p w14:paraId="428B5D91">
            <w:pPr>
              <w:wordWrap w:val="0"/>
              <w:spacing w:line="360" w:lineRule="auto"/>
              <w:ind w:firstLine="480" w:firstLineChars="200"/>
              <w:rPr>
                <w:sz w:val="24"/>
              </w:rPr>
            </w:pPr>
            <w:r>
              <w:rPr>
                <w:rFonts w:hint="eastAsia"/>
                <w:sz w:val="24"/>
              </w:rPr>
              <w:t>道路营运近期，距路中心线39m之内超过4a类标准，95m范围之外满足2类标准；营运中期，距路中心线43m之内超过4a类标准，108m范围之外满足2类标准；营运远期，距路中心线49m之内超过4a类标准，127m范围之外满足2类标准。</w:t>
            </w:r>
          </w:p>
          <w:p w14:paraId="77915A84">
            <w:pPr>
              <w:wordWrap w:val="0"/>
              <w:spacing w:line="360" w:lineRule="auto"/>
              <w:ind w:firstLine="482" w:firstLineChars="200"/>
              <w:rPr>
                <w:b/>
                <w:bCs/>
                <w:sz w:val="24"/>
              </w:rPr>
            </w:pPr>
            <w:r>
              <w:rPr>
                <w:rFonts w:hint="eastAsia"/>
                <w:b/>
                <w:bCs/>
                <w:sz w:val="24"/>
              </w:rPr>
              <w:t>4、运营期固体废物环境影响分析</w:t>
            </w:r>
          </w:p>
          <w:p w14:paraId="1E4A67CD">
            <w:pPr>
              <w:pStyle w:val="14"/>
              <w:ind w:firstLine="480"/>
            </w:pPr>
            <w:r>
              <w:t>项目运营期司乘人员产生的生活垃圾，其形式为沿道路呈线性分布。道路建成后有相关部门对道路全线进行养护，对道路沿线垃圾进行收集、清扫和集中处理，运营期固体废物对环境影响较小。</w:t>
            </w:r>
          </w:p>
          <w:p w14:paraId="277CE20A">
            <w:pPr>
              <w:wordWrap w:val="0"/>
              <w:spacing w:line="360" w:lineRule="auto"/>
              <w:ind w:firstLine="482" w:firstLineChars="200"/>
              <w:rPr>
                <w:b/>
                <w:bCs/>
                <w:sz w:val="24"/>
              </w:rPr>
            </w:pPr>
            <w:r>
              <w:rPr>
                <w:rFonts w:hint="eastAsia"/>
                <w:b/>
                <w:bCs/>
                <w:sz w:val="24"/>
              </w:rPr>
              <w:t>5、运营期生态环境影响分析</w:t>
            </w:r>
          </w:p>
          <w:p w14:paraId="7CF866CE">
            <w:pPr>
              <w:pStyle w:val="14"/>
              <w:ind w:firstLine="480"/>
            </w:pPr>
            <w:r>
              <w:t>本项目为城市道路建设，道路建成运行后汽车尾气和扬尘会对道路沿线两侧绿化带产生一定的影响。管理部门须强化沿线的绿化苗木管理和养护，确保道路绿化长效发挥固土护坡、减少水土流失、净化空气、隔声降噪、美化景观等环保功能；配备专业人员定期对绿化苗木进行浇水、施肥、松土、修剪、病虫害防治，检查苗木生长状况，对枯死苗木、草皮进行更换补种。采取以上措施后，本项目对生态环境影响较小。</w:t>
            </w:r>
          </w:p>
        </w:tc>
      </w:tr>
      <w:tr w14:paraId="2F5880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04" w:hRule="atLeast"/>
          <w:jc w:val="center"/>
        </w:trPr>
        <w:tc>
          <w:tcPr>
            <w:tcW w:w="609" w:type="dxa"/>
            <w:tcMar>
              <w:left w:w="28" w:type="dxa"/>
              <w:right w:w="28" w:type="dxa"/>
            </w:tcMar>
            <w:vAlign w:val="center"/>
          </w:tcPr>
          <w:p w14:paraId="19F2A46F">
            <w:pPr>
              <w:adjustRightInd w:val="0"/>
              <w:snapToGrid w:val="0"/>
              <w:jc w:val="center"/>
              <w:rPr>
                <w:rFonts w:ascii="宋体" w:hAnsi="宋体" w:cs="宋体"/>
                <w:bCs/>
                <w:szCs w:val="21"/>
              </w:rPr>
            </w:pPr>
            <w:r>
              <w:rPr>
                <w:rFonts w:hint="eastAsia" w:ascii="宋体" w:hAnsi="宋体" w:cs="宋体"/>
                <w:bCs/>
                <w:szCs w:val="21"/>
              </w:rPr>
              <w:t>选址选线环境合理性分析</w:t>
            </w:r>
          </w:p>
        </w:tc>
        <w:tc>
          <w:tcPr>
            <w:tcW w:w="8320" w:type="dxa"/>
            <w:vAlign w:val="center"/>
          </w:tcPr>
          <w:p w14:paraId="0C9AF292">
            <w:pPr>
              <w:autoSpaceDE w:val="0"/>
              <w:autoSpaceDN w:val="0"/>
              <w:adjustRightInd w:val="0"/>
              <w:spacing w:line="360" w:lineRule="auto"/>
              <w:ind w:firstLine="480" w:firstLineChars="200"/>
              <w:jc w:val="left"/>
              <w:rPr>
                <w:rFonts w:ascii="宋体" w:cs="宋体"/>
                <w:kern w:val="0"/>
                <w:sz w:val="24"/>
              </w:rPr>
            </w:pPr>
            <w:r>
              <w:rPr>
                <w:rFonts w:hint="eastAsia"/>
                <w:bCs/>
                <w:kern w:val="28"/>
                <w:sz w:val="24"/>
                <w:szCs w:val="32"/>
              </w:rPr>
              <w:t>项目的建设符合国家及地方产业政策，项目位于安康市高新区，施工期供水、供电都有保障，周边交通便利，原料来源方便，项目区不涉及国家、省、市级自然保护区、风景名胜区、水源保护区、生态红线及重点文物保护对象，选址符合要求，沿线现状敏感点较少，项目建成后可为安康市高新区基础建设提供很多便捷。通过采取项目工程设计及环评提出的环保措施后，项目污染物可达标排放，对环境影响较小。从环保角度分析，项目选址可行。</w:t>
            </w:r>
          </w:p>
        </w:tc>
      </w:tr>
    </w:tbl>
    <w:p w14:paraId="34053CE7">
      <w:pPr>
        <w:pStyle w:val="22"/>
        <w:jc w:val="center"/>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6DB39C53">
      <w:pPr>
        <w:pStyle w:val="22"/>
        <w:spacing w:before="0" w:beforeAutospacing="0" w:after="0" w:afterAutospacing="0"/>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6"/>
        <w:tblW w:w="504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8616"/>
      </w:tblGrid>
      <w:tr w14:paraId="2E3CE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361" w:type="pct"/>
            <w:tcMar>
              <w:left w:w="28" w:type="dxa"/>
              <w:right w:w="28" w:type="dxa"/>
            </w:tcMar>
            <w:vAlign w:val="center"/>
          </w:tcPr>
          <w:p w14:paraId="1E811850">
            <w:pPr>
              <w:adjustRightInd w:val="0"/>
              <w:snapToGrid w:val="0"/>
              <w:jc w:val="center"/>
              <w:rPr>
                <w:bCs/>
                <w:szCs w:val="21"/>
              </w:rPr>
            </w:pPr>
            <w:bookmarkStart w:id="5" w:name="_Toc90566530"/>
            <w:r>
              <w:rPr>
                <w:kern w:val="0"/>
                <w:szCs w:val="21"/>
              </w:rPr>
              <w:t>施工期生态环境保护措施</w:t>
            </w:r>
          </w:p>
        </w:tc>
        <w:tc>
          <w:tcPr>
            <w:tcW w:w="4639" w:type="pct"/>
          </w:tcPr>
          <w:p w14:paraId="598E67CA">
            <w:pPr>
              <w:autoSpaceDE w:val="0"/>
              <w:autoSpaceDN w:val="0"/>
              <w:adjustRightInd w:val="0"/>
              <w:spacing w:line="360" w:lineRule="auto"/>
              <w:ind w:firstLine="480" w:firstLineChars="200"/>
              <w:jc w:val="left"/>
              <w:rPr>
                <w:bCs/>
                <w:kern w:val="28"/>
                <w:sz w:val="24"/>
                <w:szCs w:val="32"/>
              </w:rPr>
            </w:pPr>
            <w:r>
              <w:rPr>
                <w:bCs/>
                <w:kern w:val="28"/>
                <w:sz w:val="24"/>
                <w:szCs w:val="32"/>
              </w:rPr>
              <w:t>一、废气</w:t>
            </w:r>
          </w:p>
          <w:p w14:paraId="47308919">
            <w:pPr>
              <w:autoSpaceDE w:val="0"/>
              <w:autoSpaceDN w:val="0"/>
              <w:adjustRightInd w:val="0"/>
              <w:spacing w:line="360" w:lineRule="auto"/>
              <w:ind w:firstLine="480" w:firstLineChars="200"/>
              <w:jc w:val="left"/>
              <w:rPr>
                <w:bCs/>
                <w:kern w:val="28"/>
                <w:sz w:val="24"/>
                <w:szCs w:val="32"/>
              </w:rPr>
            </w:pPr>
            <w:r>
              <w:rPr>
                <w:bCs/>
                <w:kern w:val="28"/>
                <w:sz w:val="24"/>
                <w:szCs w:val="32"/>
              </w:rPr>
              <w:t>1、施工期大气污染防治措施</w:t>
            </w:r>
          </w:p>
          <w:p w14:paraId="2C086052">
            <w:pPr>
              <w:autoSpaceDE w:val="0"/>
              <w:autoSpaceDN w:val="0"/>
              <w:adjustRightInd w:val="0"/>
              <w:spacing w:line="360" w:lineRule="auto"/>
              <w:ind w:firstLine="480" w:firstLineChars="200"/>
              <w:jc w:val="left"/>
              <w:rPr>
                <w:bCs/>
                <w:kern w:val="28"/>
                <w:sz w:val="24"/>
                <w:szCs w:val="32"/>
              </w:rPr>
            </w:pPr>
            <w:r>
              <w:rPr>
                <w:bCs/>
                <w:kern w:val="28"/>
                <w:sz w:val="24"/>
                <w:szCs w:val="32"/>
              </w:rPr>
              <w:t>（1）扬尘污染防治措施</w:t>
            </w:r>
          </w:p>
          <w:p w14:paraId="5863F444">
            <w:pPr>
              <w:autoSpaceDE w:val="0"/>
              <w:autoSpaceDN w:val="0"/>
              <w:adjustRightInd w:val="0"/>
              <w:spacing w:line="360" w:lineRule="auto"/>
              <w:ind w:firstLine="480" w:firstLineChars="200"/>
              <w:jc w:val="left"/>
              <w:rPr>
                <w:bCs/>
                <w:kern w:val="28"/>
                <w:sz w:val="24"/>
                <w:szCs w:val="32"/>
              </w:rPr>
            </w:pPr>
            <w:r>
              <w:rPr>
                <w:bCs/>
                <w:kern w:val="28"/>
                <w:sz w:val="24"/>
                <w:szCs w:val="32"/>
              </w:rPr>
              <w:t>本项目施工期间的扬尘主要包括施工扬尘和运输扬尘，为减少扬尘污染，评价要求建设单位严格按照《陕西省大气污染防治条例》、《</w:t>
            </w:r>
            <w:r>
              <w:rPr>
                <w:rFonts w:hint="eastAsia"/>
                <w:bCs/>
                <w:kern w:val="28"/>
                <w:sz w:val="24"/>
                <w:szCs w:val="32"/>
              </w:rPr>
              <w:t>安康</w:t>
            </w:r>
            <w:r>
              <w:rPr>
                <w:bCs/>
                <w:kern w:val="28"/>
                <w:sz w:val="24"/>
                <w:szCs w:val="32"/>
              </w:rPr>
              <w:t>市“十四五”生态环境保护规划》、《</w:t>
            </w:r>
            <w:r>
              <w:rPr>
                <w:rFonts w:hint="eastAsia"/>
                <w:bCs/>
                <w:kern w:val="28"/>
                <w:sz w:val="24"/>
                <w:szCs w:val="32"/>
              </w:rPr>
              <w:t>安康市大气污染治理专项行动工作方案（2023-2027年）</w:t>
            </w:r>
            <w:r>
              <w:rPr>
                <w:bCs/>
                <w:kern w:val="28"/>
                <w:sz w:val="24"/>
                <w:szCs w:val="32"/>
              </w:rPr>
              <w:t>》等文件中扬尘污染防治相关规定，尽量减缓施工扬尘对周围环境的影响。本项目建设过程中应采取以下扬尘污染防治措施：</w:t>
            </w:r>
          </w:p>
          <w:p w14:paraId="0D9EC3AD">
            <w:pPr>
              <w:autoSpaceDE w:val="0"/>
              <w:autoSpaceDN w:val="0"/>
              <w:adjustRightInd w:val="0"/>
              <w:spacing w:line="360" w:lineRule="auto"/>
              <w:ind w:firstLine="480" w:firstLineChars="200"/>
              <w:jc w:val="left"/>
              <w:rPr>
                <w:bCs/>
                <w:kern w:val="28"/>
                <w:sz w:val="24"/>
                <w:szCs w:val="32"/>
              </w:rPr>
            </w:pPr>
            <w:r>
              <w:rPr>
                <w:bCs/>
                <w:kern w:val="28"/>
                <w:sz w:val="24"/>
                <w:szCs w:val="32"/>
              </w:rPr>
              <w:t>1）做到工地周边围挡、物料裸土覆盖、土方开挖湿法作业、路面硬化、出入车辆清洗、渣土车辆密闭运输“六个百分之百”，严格执行扬尘治理“红黄绿”监督管理制度，</w:t>
            </w:r>
            <w:r>
              <w:rPr>
                <w:rFonts w:hint="eastAsia"/>
                <w:bCs/>
                <w:kern w:val="28"/>
                <w:sz w:val="24"/>
                <w:szCs w:val="32"/>
                <w:lang w:val="en-US" w:eastAsia="zh-CN"/>
              </w:rPr>
              <w:t>视频</w:t>
            </w:r>
            <w:bookmarkStart w:id="6" w:name="_GoBack"/>
            <w:bookmarkEnd w:id="6"/>
            <w:r>
              <w:rPr>
                <w:bCs/>
                <w:kern w:val="28"/>
                <w:sz w:val="24"/>
                <w:szCs w:val="32"/>
              </w:rPr>
              <w:t>监控、扬尘在线监测系统联网管理。</w:t>
            </w:r>
          </w:p>
          <w:p w14:paraId="1EC577B3">
            <w:pPr>
              <w:autoSpaceDE w:val="0"/>
              <w:autoSpaceDN w:val="0"/>
              <w:adjustRightInd w:val="0"/>
              <w:spacing w:line="360" w:lineRule="auto"/>
              <w:ind w:firstLine="480" w:firstLineChars="200"/>
              <w:jc w:val="left"/>
              <w:rPr>
                <w:bCs/>
                <w:color w:val="FF0000"/>
                <w:kern w:val="28"/>
                <w:sz w:val="24"/>
                <w:szCs w:val="32"/>
              </w:rPr>
            </w:pPr>
            <w:r>
              <w:rPr>
                <w:bCs/>
                <w:color w:val="FF0000"/>
                <w:kern w:val="28"/>
                <w:sz w:val="24"/>
                <w:szCs w:val="32"/>
              </w:rPr>
              <w:t>2）</w:t>
            </w:r>
            <w:r>
              <w:rPr>
                <w:rFonts w:hint="eastAsia"/>
                <w:bCs/>
                <w:color w:val="FF0000"/>
                <w:kern w:val="28"/>
                <w:sz w:val="24"/>
                <w:szCs w:val="32"/>
              </w:rPr>
              <w:t>施工内部工地裸露地面应覆盖防尘布或防尘网，挖填方采取水雾喷洒降低施工场地扬尘</w:t>
            </w:r>
            <w:r>
              <w:rPr>
                <w:bCs/>
                <w:color w:val="FF0000"/>
                <w:kern w:val="28"/>
                <w:sz w:val="24"/>
                <w:szCs w:val="32"/>
              </w:rPr>
              <w:t>。</w:t>
            </w:r>
          </w:p>
          <w:p w14:paraId="188DDC2E">
            <w:pPr>
              <w:autoSpaceDE w:val="0"/>
              <w:autoSpaceDN w:val="0"/>
              <w:adjustRightInd w:val="0"/>
              <w:spacing w:line="360" w:lineRule="auto"/>
              <w:ind w:firstLine="480" w:firstLineChars="200"/>
              <w:jc w:val="left"/>
              <w:rPr>
                <w:bCs/>
                <w:kern w:val="28"/>
                <w:sz w:val="24"/>
                <w:szCs w:val="32"/>
              </w:rPr>
            </w:pPr>
            <w:r>
              <w:rPr>
                <w:bCs/>
                <w:kern w:val="28"/>
                <w:sz w:val="24"/>
                <w:szCs w:val="32"/>
              </w:rPr>
              <w:t>3）临时堆放场应有遮盖篷遮蔽，并定期检查，发现破损及时补修。施工现场地面、道路及各扬尘点每天定时洒水抑尘。</w:t>
            </w:r>
          </w:p>
          <w:p w14:paraId="1544957F">
            <w:pPr>
              <w:autoSpaceDE w:val="0"/>
              <w:autoSpaceDN w:val="0"/>
              <w:adjustRightInd w:val="0"/>
              <w:spacing w:line="360" w:lineRule="auto"/>
              <w:ind w:firstLine="480" w:firstLineChars="200"/>
              <w:jc w:val="left"/>
              <w:rPr>
                <w:bCs/>
                <w:kern w:val="28"/>
                <w:sz w:val="24"/>
                <w:szCs w:val="32"/>
              </w:rPr>
            </w:pPr>
            <w:r>
              <w:rPr>
                <w:bCs/>
                <w:kern w:val="28"/>
                <w:sz w:val="24"/>
                <w:szCs w:val="32"/>
              </w:rPr>
              <w:t>4）大风天气应当停止易产生扬尘污染的施工作业，要及时洒水。</w:t>
            </w:r>
          </w:p>
          <w:p w14:paraId="0327F93D">
            <w:pPr>
              <w:autoSpaceDE w:val="0"/>
              <w:autoSpaceDN w:val="0"/>
              <w:adjustRightInd w:val="0"/>
              <w:spacing w:line="360" w:lineRule="auto"/>
              <w:ind w:firstLine="480" w:firstLineChars="200"/>
              <w:jc w:val="left"/>
              <w:rPr>
                <w:bCs/>
                <w:kern w:val="28"/>
                <w:sz w:val="24"/>
                <w:szCs w:val="32"/>
              </w:rPr>
            </w:pPr>
            <w:r>
              <w:rPr>
                <w:bCs/>
                <w:kern w:val="28"/>
                <w:sz w:val="24"/>
                <w:szCs w:val="32"/>
              </w:rPr>
              <w:t>5）定期对施工面进行养护。</w:t>
            </w:r>
          </w:p>
          <w:p w14:paraId="2F91534E">
            <w:pPr>
              <w:autoSpaceDE w:val="0"/>
              <w:autoSpaceDN w:val="0"/>
              <w:adjustRightInd w:val="0"/>
              <w:spacing w:line="360" w:lineRule="auto"/>
              <w:ind w:firstLine="480" w:firstLineChars="200"/>
              <w:jc w:val="left"/>
              <w:rPr>
                <w:bCs/>
                <w:kern w:val="28"/>
                <w:sz w:val="24"/>
                <w:szCs w:val="32"/>
              </w:rPr>
            </w:pPr>
            <w:r>
              <w:rPr>
                <w:bCs/>
                <w:kern w:val="28"/>
                <w:sz w:val="24"/>
                <w:szCs w:val="32"/>
              </w:rPr>
              <w:t>6）运输车辆应采取密闭或其他措施，防止抛洒遗漏，造成扬尘污染。</w:t>
            </w:r>
          </w:p>
          <w:p w14:paraId="7535AF60">
            <w:pPr>
              <w:autoSpaceDE w:val="0"/>
              <w:autoSpaceDN w:val="0"/>
              <w:adjustRightInd w:val="0"/>
              <w:spacing w:line="360" w:lineRule="auto"/>
              <w:ind w:firstLine="480" w:firstLineChars="200"/>
              <w:jc w:val="left"/>
              <w:rPr>
                <w:bCs/>
                <w:kern w:val="28"/>
                <w:sz w:val="24"/>
                <w:szCs w:val="32"/>
              </w:rPr>
            </w:pPr>
            <w:r>
              <w:rPr>
                <w:bCs/>
                <w:kern w:val="28"/>
                <w:sz w:val="24"/>
                <w:szCs w:val="32"/>
              </w:rPr>
              <w:t>7）施工场地设置洗车平台，物料、渣土、垃圾运输车辆驶离工地前，应在洗车平台清洗轮胎及车身，不得带泥上路，做到出工地车辆100%冲洗车轮。</w:t>
            </w:r>
          </w:p>
          <w:p w14:paraId="2795F721">
            <w:pPr>
              <w:autoSpaceDE w:val="0"/>
              <w:autoSpaceDN w:val="0"/>
              <w:adjustRightInd w:val="0"/>
              <w:spacing w:line="360" w:lineRule="auto"/>
              <w:ind w:firstLine="480" w:firstLineChars="200"/>
              <w:jc w:val="left"/>
              <w:rPr>
                <w:bCs/>
                <w:kern w:val="28"/>
                <w:sz w:val="24"/>
                <w:szCs w:val="32"/>
              </w:rPr>
            </w:pPr>
            <w:r>
              <w:rPr>
                <w:bCs/>
                <w:kern w:val="28"/>
                <w:sz w:val="24"/>
                <w:szCs w:val="32"/>
              </w:rPr>
              <w:t>8）施工现场严禁熔融沥青，不得使用煤、重油等高污染燃料。</w:t>
            </w:r>
          </w:p>
          <w:p w14:paraId="3F366D34">
            <w:pPr>
              <w:autoSpaceDE w:val="0"/>
              <w:autoSpaceDN w:val="0"/>
              <w:adjustRightInd w:val="0"/>
              <w:spacing w:line="360" w:lineRule="auto"/>
              <w:ind w:firstLine="480" w:firstLineChars="200"/>
              <w:jc w:val="left"/>
              <w:rPr>
                <w:bCs/>
                <w:kern w:val="28"/>
                <w:sz w:val="24"/>
                <w:szCs w:val="32"/>
              </w:rPr>
            </w:pPr>
            <w:r>
              <w:rPr>
                <w:bCs/>
                <w:kern w:val="28"/>
                <w:sz w:val="24"/>
                <w:szCs w:val="32"/>
              </w:rPr>
              <w:t>9）关于施工完成后及时恢复地表的问题：施工结束后，应及时进行绿地的建设及地表植被的恢复。</w:t>
            </w:r>
          </w:p>
          <w:p w14:paraId="260830EB">
            <w:pPr>
              <w:autoSpaceDE w:val="0"/>
              <w:autoSpaceDN w:val="0"/>
              <w:adjustRightInd w:val="0"/>
              <w:spacing w:line="360" w:lineRule="auto"/>
              <w:ind w:firstLine="480" w:firstLineChars="200"/>
              <w:jc w:val="left"/>
              <w:rPr>
                <w:bCs/>
                <w:kern w:val="28"/>
                <w:sz w:val="24"/>
                <w:szCs w:val="32"/>
              </w:rPr>
            </w:pPr>
            <w:r>
              <w:rPr>
                <w:bCs/>
                <w:kern w:val="28"/>
                <w:sz w:val="24"/>
                <w:szCs w:val="32"/>
              </w:rPr>
              <w:t>本项目施工过程中，严格按照相关法律法规要求，并认真落实以上扬尘污染防治措施，确保施工扬尘污染物排放满足《施工场界扬尘排放限值》（DB61/1078-2017）中规定的标准限值要求。因此，施工期产生的施工扬尘对周围大气环境产生的影响较小，且随着施工期的结束而逐渐消失。</w:t>
            </w:r>
          </w:p>
          <w:p w14:paraId="234976B9">
            <w:pPr>
              <w:autoSpaceDE w:val="0"/>
              <w:autoSpaceDN w:val="0"/>
              <w:adjustRightInd w:val="0"/>
              <w:spacing w:line="360" w:lineRule="auto"/>
              <w:ind w:firstLine="480" w:firstLineChars="200"/>
              <w:jc w:val="left"/>
              <w:rPr>
                <w:bCs/>
                <w:kern w:val="28"/>
                <w:sz w:val="24"/>
                <w:szCs w:val="32"/>
              </w:rPr>
            </w:pPr>
            <w:r>
              <w:rPr>
                <w:bCs/>
                <w:kern w:val="28"/>
                <w:sz w:val="24"/>
                <w:szCs w:val="32"/>
              </w:rPr>
              <w:t>（2）沥青烟气污染防治措施</w:t>
            </w:r>
          </w:p>
          <w:p w14:paraId="545C5865">
            <w:pPr>
              <w:autoSpaceDE w:val="0"/>
              <w:autoSpaceDN w:val="0"/>
              <w:adjustRightInd w:val="0"/>
              <w:spacing w:line="360" w:lineRule="auto"/>
              <w:ind w:firstLine="480" w:firstLineChars="200"/>
              <w:jc w:val="left"/>
              <w:rPr>
                <w:bCs/>
                <w:kern w:val="28"/>
                <w:sz w:val="24"/>
                <w:szCs w:val="32"/>
              </w:rPr>
            </w:pPr>
            <w:r>
              <w:rPr>
                <w:bCs/>
                <w:kern w:val="28"/>
                <w:sz w:val="24"/>
                <w:szCs w:val="32"/>
              </w:rPr>
              <w:t>1）本项目所需的沥青采用统一订购和配送，不进行现场拌合。沥青运输过程中采用封闭式运输，一方面可以有效降低运输过程中沥青烟对沿线大气环境产生的污染影响，同时，也可以确保运输的沥青不会随意洒落。因此，本项目沥青烟主要来源于路面铺设过程。</w:t>
            </w:r>
          </w:p>
          <w:p w14:paraId="75B7F594">
            <w:pPr>
              <w:autoSpaceDE w:val="0"/>
              <w:autoSpaceDN w:val="0"/>
              <w:adjustRightInd w:val="0"/>
              <w:spacing w:line="360" w:lineRule="auto"/>
              <w:ind w:firstLine="480" w:firstLineChars="200"/>
              <w:jc w:val="left"/>
              <w:rPr>
                <w:bCs/>
                <w:kern w:val="28"/>
                <w:sz w:val="24"/>
                <w:szCs w:val="32"/>
              </w:rPr>
            </w:pPr>
            <w:r>
              <w:rPr>
                <w:bCs/>
                <w:kern w:val="28"/>
                <w:sz w:val="24"/>
                <w:szCs w:val="32"/>
              </w:rPr>
              <w:t>2）本项目沥青摊铺采用一次摊铺成型，并在铺设过程中严格注意控制沥青温度，摊铺选择在二级以上的风力条件下进行，通过采取以上措施可以有效控制沥青烟的产生，并在风力较大的条件下摊铺，大气扩散条件较好，有利于沥青烟的扩散。另外，为了进一步降低项目施工过程中沥青烟产生的污染影响，还可以采取调整施工时间、路段临时封闭等措施。</w:t>
            </w:r>
          </w:p>
          <w:p w14:paraId="2D551545">
            <w:pPr>
              <w:autoSpaceDE w:val="0"/>
              <w:autoSpaceDN w:val="0"/>
              <w:adjustRightInd w:val="0"/>
              <w:spacing w:line="360" w:lineRule="auto"/>
              <w:ind w:firstLine="480" w:firstLineChars="200"/>
              <w:jc w:val="left"/>
              <w:rPr>
                <w:bCs/>
                <w:kern w:val="28"/>
                <w:sz w:val="24"/>
                <w:szCs w:val="32"/>
              </w:rPr>
            </w:pPr>
            <w:r>
              <w:rPr>
                <w:bCs/>
                <w:kern w:val="28"/>
                <w:sz w:val="24"/>
                <w:szCs w:val="32"/>
              </w:rPr>
              <w:t>综上所述，项目施工过程中沥青烟产生量相对较小，沥青烟排放浓度较小，且排放时间较短。因此，建设单位及施工单位严格落实上述沥青运输及摊铺过程中沥青烟污染防治措施，可有效减轻沥青烟气对周围环境空气的污染影响。</w:t>
            </w:r>
          </w:p>
          <w:p w14:paraId="341DBE20">
            <w:pPr>
              <w:autoSpaceDE w:val="0"/>
              <w:autoSpaceDN w:val="0"/>
              <w:adjustRightInd w:val="0"/>
              <w:spacing w:line="360" w:lineRule="auto"/>
              <w:ind w:firstLine="480" w:firstLineChars="200"/>
              <w:jc w:val="left"/>
              <w:rPr>
                <w:bCs/>
                <w:kern w:val="28"/>
                <w:sz w:val="24"/>
                <w:szCs w:val="32"/>
              </w:rPr>
            </w:pPr>
            <w:r>
              <w:rPr>
                <w:bCs/>
                <w:kern w:val="28"/>
                <w:sz w:val="24"/>
                <w:szCs w:val="32"/>
              </w:rPr>
              <w:t>（3）运输车辆及机械设备尾气</w:t>
            </w:r>
          </w:p>
          <w:p w14:paraId="7413A518">
            <w:pPr>
              <w:autoSpaceDE w:val="0"/>
              <w:autoSpaceDN w:val="0"/>
              <w:adjustRightInd w:val="0"/>
              <w:spacing w:line="360" w:lineRule="auto"/>
              <w:ind w:firstLine="480" w:firstLineChars="200"/>
              <w:jc w:val="left"/>
              <w:rPr>
                <w:bCs/>
                <w:kern w:val="28"/>
                <w:sz w:val="24"/>
                <w:szCs w:val="32"/>
              </w:rPr>
            </w:pPr>
            <w:r>
              <w:rPr>
                <w:bCs/>
                <w:kern w:val="28"/>
                <w:sz w:val="24"/>
                <w:szCs w:val="32"/>
              </w:rPr>
              <w:t>施工期运输建筑材料的车辆及施工机械多为大动力柴油发动机，将排放一定量的燃油尾气，排放的主要污染物为CO、NO</w:t>
            </w:r>
            <w:r>
              <w:rPr>
                <w:bCs/>
                <w:kern w:val="28"/>
                <w:sz w:val="24"/>
                <w:szCs w:val="32"/>
                <w:vertAlign w:val="subscript"/>
              </w:rPr>
              <w:t>2</w:t>
            </w:r>
            <w:r>
              <w:rPr>
                <w:bCs/>
                <w:kern w:val="28"/>
                <w:sz w:val="24"/>
                <w:szCs w:val="32"/>
              </w:rPr>
              <w:t>、总烃等。根据类比监测资料，距离现场50m处CO、NO</w:t>
            </w:r>
            <w:r>
              <w:rPr>
                <w:bCs/>
                <w:kern w:val="28"/>
                <w:sz w:val="24"/>
                <w:szCs w:val="32"/>
                <w:vertAlign w:val="subscript"/>
              </w:rPr>
              <w:t>2</w:t>
            </w:r>
            <w:r>
              <w:rPr>
                <w:bCs/>
                <w:kern w:val="28"/>
                <w:sz w:val="24"/>
                <w:szCs w:val="32"/>
              </w:rPr>
              <w:t>的1小时平均浓度分别为0.2mg/m</w:t>
            </w:r>
            <w:r>
              <w:rPr>
                <w:bCs/>
                <w:kern w:val="28"/>
                <w:sz w:val="24"/>
                <w:szCs w:val="32"/>
                <w:vertAlign w:val="superscript"/>
              </w:rPr>
              <w:t>3</w:t>
            </w:r>
            <w:r>
              <w:rPr>
                <w:bCs/>
                <w:kern w:val="28"/>
                <w:sz w:val="24"/>
                <w:szCs w:val="32"/>
              </w:rPr>
              <w:t>和0.13mg/m</w:t>
            </w:r>
            <w:r>
              <w:rPr>
                <w:bCs/>
                <w:kern w:val="28"/>
                <w:sz w:val="24"/>
                <w:szCs w:val="32"/>
                <w:vertAlign w:val="superscript"/>
              </w:rPr>
              <w:t>3</w:t>
            </w:r>
            <w:r>
              <w:rPr>
                <w:bCs/>
                <w:kern w:val="28"/>
                <w:sz w:val="24"/>
                <w:szCs w:val="32"/>
              </w:rPr>
              <w:t>，日均浓度分别为0.13mg/m</w:t>
            </w:r>
            <w:r>
              <w:rPr>
                <w:bCs/>
                <w:kern w:val="28"/>
                <w:sz w:val="24"/>
                <w:szCs w:val="32"/>
                <w:vertAlign w:val="superscript"/>
              </w:rPr>
              <w:t>3</w:t>
            </w:r>
            <w:r>
              <w:rPr>
                <w:bCs/>
                <w:kern w:val="28"/>
                <w:sz w:val="24"/>
                <w:szCs w:val="32"/>
              </w:rPr>
              <w:t>和0.062mg/m</w:t>
            </w:r>
            <w:r>
              <w:rPr>
                <w:bCs/>
                <w:kern w:val="28"/>
                <w:sz w:val="24"/>
                <w:szCs w:val="32"/>
                <w:vertAlign w:val="superscript"/>
              </w:rPr>
              <w:t>3</w:t>
            </w:r>
            <w:r>
              <w:rPr>
                <w:bCs/>
                <w:kern w:val="28"/>
                <w:sz w:val="24"/>
                <w:szCs w:val="32"/>
              </w:rPr>
              <w:t>。</w:t>
            </w:r>
          </w:p>
          <w:p w14:paraId="30B170E5">
            <w:pPr>
              <w:autoSpaceDE w:val="0"/>
              <w:autoSpaceDN w:val="0"/>
              <w:adjustRightInd w:val="0"/>
              <w:spacing w:line="360" w:lineRule="auto"/>
              <w:ind w:firstLine="480" w:firstLineChars="200"/>
              <w:jc w:val="left"/>
              <w:rPr>
                <w:bCs/>
                <w:kern w:val="28"/>
                <w:sz w:val="24"/>
                <w:szCs w:val="32"/>
              </w:rPr>
            </w:pPr>
            <w:r>
              <w:rPr>
                <w:bCs/>
                <w:kern w:val="28"/>
                <w:sz w:val="24"/>
                <w:szCs w:val="32"/>
              </w:rPr>
              <w:t>本项目施工过程中涉及的非道路移动施工机械设备应严格采取和落实以下措施，有效控制施工机械设备尾气中污染物的产生和排放。</w:t>
            </w:r>
          </w:p>
          <w:p w14:paraId="2244DFAE">
            <w:pPr>
              <w:autoSpaceDE w:val="0"/>
              <w:autoSpaceDN w:val="0"/>
              <w:adjustRightInd w:val="0"/>
              <w:spacing w:line="360" w:lineRule="auto"/>
              <w:ind w:firstLine="480" w:firstLineChars="200"/>
              <w:jc w:val="left"/>
              <w:rPr>
                <w:bCs/>
                <w:kern w:val="28"/>
                <w:sz w:val="24"/>
                <w:szCs w:val="32"/>
              </w:rPr>
            </w:pPr>
            <w:r>
              <w:rPr>
                <w:bCs/>
                <w:kern w:val="28"/>
                <w:sz w:val="24"/>
                <w:szCs w:val="32"/>
              </w:rPr>
              <w:t>1）所用油品质量满足国家相关标准要求，提升油品，使用烯烃、芳烃、多环芳烃较低的油品；</w:t>
            </w:r>
          </w:p>
          <w:p w14:paraId="4745CB8F">
            <w:pPr>
              <w:autoSpaceDE w:val="0"/>
              <w:autoSpaceDN w:val="0"/>
              <w:adjustRightInd w:val="0"/>
              <w:spacing w:line="360" w:lineRule="auto"/>
              <w:ind w:firstLine="480" w:firstLineChars="200"/>
              <w:jc w:val="left"/>
              <w:rPr>
                <w:bCs/>
                <w:kern w:val="28"/>
                <w:sz w:val="24"/>
                <w:szCs w:val="32"/>
              </w:rPr>
            </w:pPr>
            <w:r>
              <w:rPr>
                <w:bCs/>
                <w:kern w:val="28"/>
                <w:sz w:val="24"/>
                <w:szCs w:val="32"/>
              </w:rPr>
              <w:t>2）加强各施工机械排放检测和维修，确保各施工机械运行过程中污染物排放满足国家及地方有关标准限值要求；</w:t>
            </w:r>
          </w:p>
          <w:p w14:paraId="5B9F1360">
            <w:pPr>
              <w:autoSpaceDE w:val="0"/>
              <w:autoSpaceDN w:val="0"/>
              <w:adjustRightInd w:val="0"/>
              <w:spacing w:line="360" w:lineRule="auto"/>
              <w:ind w:firstLine="480" w:firstLineChars="200"/>
              <w:jc w:val="left"/>
              <w:rPr>
                <w:bCs/>
                <w:kern w:val="28"/>
                <w:sz w:val="24"/>
                <w:szCs w:val="32"/>
              </w:rPr>
            </w:pPr>
            <w:r>
              <w:rPr>
                <w:bCs/>
                <w:kern w:val="28"/>
                <w:sz w:val="24"/>
                <w:szCs w:val="32"/>
              </w:rPr>
              <w:t>3）施工期所用的各施工机械必须按照国家及地方要求，进行挂牌登记。另外，本项目施工期所用大型施工机械较为分散，并处于露天环境，有利于尾气扩散。</w:t>
            </w:r>
          </w:p>
          <w:p w14:paraId="00B72F55">
            <w:pPr>
              <w:autoSpaceDE w:val="0"/>
              <w:autoSpaceDN w:val="0"/>
              <w:adjustRightInd w:val="0"/>
              <w:spacing w:line="360" w:lineRule="auto"/>
              <w:ind w:firstLine="480" w:firstLineChars="200"/>
              <w:jc w:val="left"/>
              <w:rPr>
                <w:bCs/>
                <w:kern w:val="28"/>
                <w:sz w:val="24"/>
                <w:szCs w:val="32"/>
              </w:rPr>
            </w:pPr>
            <w:r>
              <w:rPr>
                <w:bCs/>
                <w:kern w:val="28"/>
                <w:sz w:val="24"/>
                <w:szCs w:val="32"/>
              </w:rPr>
              <w:t>（</w:t>
            </w:r>
            <w:r>
              <w:rPr>
                <w:rFonts w:hint="eastAsia"/>
                <w:bCs/>
                <w:kern w:val="28"/>
                <w:sz w:val="24"/>
                <w:szCs w:val="32"/>
              </w:rPr>
              <w:t>4</w:t>
            </w:r>
            <w:r>
              <w:rPr>
                <w:bCs/>
                <w:kern w:val="28"/>
                <w:sz w:val="24"/>
                <w:szCs w:val="32"/>
              </w:rPr>
              <w:t>）</w:t>
            </w:r>
            <w:r>
              <w:rPr>
                <w:rFonts w:hint="eastAsia"/>
                <w:bCs/>
                <w:kern w:val="28"/>
                <w:sz w:val="24"/>
                <w:szCs w:val="32"/>
              </w:rPr>
              <w:t>焊接烟尘</w:t>
            </w:r>
          </w:p>
          <w:p w14:paraId="0E9F811C">
            <w:pPr>
              <w:autoSpaceDE w:val="0"/>
              <w:autoSpaceDN w:val="0"/>
              <w:adjustRightInd w:val="0"/>
              <w:spacing w:line="360" w:lineRule="auto"/>
              <w:ind w:firstLine="480" w:firstLineChars="200"/>
              <w:jc w:val="left"/>
              <w:rPr>
                <w:bCs/>
                <w:kern w:val="28"/>
                <w:sz w:val="24"/>
                <w:szCs w:val="32"/>
              </w:rPr>
            </w:pPr>
            <w:r>
              <w:rPr>
                <w:rFonts w:hint="eastAsia"/>
                <w:bCs/>
                <w:kern w:val="28"/>
                <w:sz w:val="24"/>
                <w:szCs w:val="32"/>
              </w:rPr>
              <w:t>管道的焊接烟尘经移动式焊烟除尘器处理后在排放。</w:t>
            </w:r>
          </w:p>
          <w:p w14:paraId="1828CF9D">
            <w:pPr>
              <w:autoSpaceDE w:val="0"/>
              <w:autoSpaceDN w:val="0"/>
              <w:adjustRightInd w:val="0"/>
              <w:spacing w:line="360" w:lineRule="auto"/>
              <w:ind w:firstLine="480" w:firstLineChars="200"/>
              <w:jc w:val="left"/>
              <w:rPr>
                <w:bCs/>
                <w:kern w:val="28"/>
                <w:sz w:val="24"/>
                <w:szCs w:val="32"/>
              </w:rPr>
            </w:pPr>
            <w:r>
              <w:rPr>
                <w:bCs/>
                <w:kern w:val="28"/>
                <w:sz w:val="24"/>
                <w:szCs w:val="32"/>
              </w:rPr>
              <w:t>因此，施工过程中，运输车辆及机械设备排放的尾气会对区域大气环境造成一定的污染影响，但由于运输汽车及施工机械设备尾气排放量相对较少，且为间歇、无组织排放，另外，大型施工机械较为分散，并处于露天环境，有利于尾气扩散，因此，本项目施工过程中，加强运输车辆和施工机械管理，其排放的尾气对大气环境产生的污染影响程度相对较小，且随着施工期的结束而逐渐消失。</w:t>
            </w:r>
          </w:p>
          <w:p w14:paraId="70B1811A">
            <w:pPr>
              <w:autoSpaceDE w:val="0"/>
              <w:autoSpaceDN w:val="0"/>
              <w:adjustRightInd w:val="0"/>
              <w:spacing w:line="360" w:lineRule="auto"/>
              <w:ind w:firstLine="480" w:firstLineChars="200"/>
              <w:jc w:val="left"/>
              <w:rPr>
                <w:bCs/>
                <w:kern w:val="28"/>
                <w:sz w:val="24"/>
                <w:szCs w:val="32"/>
              </w:rPr>
            </w:pPr>
            <w:r>
              <w:rPr>
                <w:bCs/>
                <w:kern w:val="28"/>
                <w:sz w:val="24"/>
                <w:szCs w:val="32"/>
              </w:rPr>
              <w:t>二、水环境</w:t>
            </w:r>
          </w:p>
          <w:p w14:paraId="64B2BA71">
            <w:pPr>
              <w:autoSpaceDE w:val="0"/>
              <w:autoSpaceDN w:val="0"/>
              <w:adjustRightInd w:val="0"/>
              <w:spacing w:line="360" w:lineRule="auto"/>
              <w:ind w:firstLine="480" w:firstLineChars="200"/>
              <w:jc w:val="left"/>
              <w:rPr>
                <w:bCs/>
                <w:kern w:val="28"/>
                <w:sz w:val="24"/>
                <w:szCs w:val="32"/>
              </w:rPr>
            </w:pPr>
            <w:r>
              <w:rPr>
                <w:rFonts w:hint="eastAsia"/>
                <w:bCs/>
                <w:kern w:val="28"/>
                <w:sz w:val="24"/>
                <w:szCs w:val="32"/>
              </w:rPr>
              <w:t>1、施工废水污染防治措施</w:t>
            </w:r>
          </w:p>
          <w:p w14:paraId="37A76A2D">
            <w:pPr>
              <w:autoSpaceDE w:val="0"/>
              <w:autoSpaceDN w:val="0"/>
              <w:adjustRightInd w:val="0"/>
              <w:spacing w:line="360" w:lineRule="auto"/>
              <w:ind w:firstLine="480" w:firstLineChars="200"/>
              <w:jc w:val="left"/>
              <w:rPr>
                <w:bCs/>
                <w:kern w:val="28"/>
                <w:sz w:val="24"/>
                <w:szCs w:val="32"/>
              </w:rPr>
            </w:pPr>
            <w:r>
              <w:rPr>
                <w:rFonts w:hint="eastAsia"/>
                <w:bCs/>
                <w:kern w:val="28"/>
                <w:sz w:val="24"/>
                <w:szCs w:val="32"/>
              </w:rPr>
              <w:t>（1）工程承包合同中应明确筑路材料（如油料、粉煤灰、水泥、砂、石料等）的运输过程中防止洒漏条款，堆放场地不得设在水体附近，以免随雨水冲入水体造成污染。</w:t>
            </w:r>
          </w:p>
          <w:p w14:paraId="2CA1141E">
            <w:pPr>
              <w:autoSpaceDE w:val="0"/>
              <w:autoSpaceDN w:val="0"/>
              <w:adjustRightInd w:val="0"/>
              <w:spacing w:line="360" w:lineRule="auto"/>
              <w:ind w:firstLine="480" w:firstLineChars="200"/>
              <w:jc w:val="left"/>
              <w:rPr>
                <w:bCs/>
                <w:kern w:val="28"/>
                <w:sz w:val="24"/>
                <w:szCs w:val="32"/>
              </w:rPr>
            </w:pPr>
            <w:r>
              <w:rPr>
                <w:rFonts w:hint="eastAsia"/>
                <w:bCs/>
                <w:kern w:val="28"/>
                <w:sz w:val="24"/>
                <w:szCs w:val="32"/>
              </w:rPr>
              <w:t>（2）施工材料如油料等有害物质堆放场地应设蓬盖，以减少雨水冲刷造成污染。</w:t>
            </w:r>
          </w:p>
          <w:p w14:paraId="3A8D9F96">
            <w:pPr>
              <w:autoSpaceDE w:val="0"/>
              <w:autoSpaceDN w:val="0"/>
              <w:adjustRightInd w:val="0"/>
              <w:spacing w:line="360" w:lineRule="auto"/>
              <w:ind w:firstLine="480" w:firstLineChars="200"/>
              <w:jc w:val="left"/>
              <w:rPr>
                <w:bCs/>
                <w:kern w:val="28"/>
                <w:sz w:val="24"/>
                <w:szCs w:val="32"/>
              </w:rPr>
            </w:pPr>
            <w:r>
              <w:rPr>
                <w:rFonts w:hint="eastAsia"/>
                <w:bCs/>
                <w:kern w:val="28"/>
                <w:sz w:val="24"/>
                <w:szCs w:val="32"/>
              </w:rPr>
              <w:t>（3）在场地进出口设置沉淀池对车辆清洗废水进行收集处理，处理后的水循环回用于车辆冲洗和场地、道路洒水降尘，不外排。</w:t>
            </w:r>
          </w:p>
          <w:p w14:paraId="66300B6A">
            <w:pPr>
              <w:autoSpaceDE w:val="0"/>
              <w:autoSpaceDN w:val="0"/>
              <w:adjustRightInd w:val="0"/>
              <w:spacing w:line="360" w:lineRule="auto"/>
              <w:ind w:firstLine="480" w:firstLineChars="200"/>
              <w:jc w:val="left"/>
              <w:rPr>
                <w:bCs/>
                <w:kern w:val="28"/>
                <w:sz w:val="24"/>
                <w:szCs w:val="32"/>
              </w:rPr>
            </w:pPr>
            <w:r>
              <w:rPr>
                <w:bCs/>
                <w:kern w:val="28"/>
                <w:sz w:val="24"/>
                <w:szCs w:val="32"/>
              </w:rPr>
              <w:t>（2）施工人员生活废水</w:t>
            </w:r>
          </w:p>
          <w:p w14:paraId="5C32DE1D">
            <w:pPr>
              <w:autoSpaceDE w:val="0"/>
              <w:autoSpaceDN w:val="0"/>
              <w:adjustRightInd w:val="0"/>
              <w:spacing w:line="360" w:lineRule="auto"/>
              <w:ind w:firstLine="480" w:firstLineChars="200"/>
              <w:jc w:val="left"/>
              <w:rPr>
                <w:bCs/>
                <w:kern w:val="28"/>
                <w:sz w:val="24"/>
                <w:szCs w:val="32"/>
              </w:rPr>
            </w:pPr>
            <w:r>
              <w:rPr>
                <w:bCs/>
                <w:kern w:val="28"/>
                <w:sz w:val="24"/>
                <w:szCs w:val="32"/>
              </w:rPr>
              <w:t>施工期施工人员生活污水产生于盥洗间、厕所冲洗等，参考同类工程生活污水的排放浓度，生活污水中COD、BOD</w:t>
            </w:r>
            <w:r>
              <w:rPr>
                <w:bCs/>
                <w:kern w:val="28"/>
                <w:sz w:val="24"/>
                <w:szCs w:val="32"/>
                <w:vertAlign w:val="subscript"/>
              </w:rPr>
              <w:t>5</w:t>
            </w:r>
            <w:r>
              <w:rPr>
                <w:bCs/>
                <w:kern w:val="28"/>
                <w:sz w:val="24"/>
                <w:szCs w:val="32"/>
              </w:rPr>
              <w:t>、NH</w:t>
            </w:r>
            <w:r>
              <w:rPr>
                <w:bCs/>
                <w:kern w:val="28"/>
                <w:sz w:val="24"/>
                <w:szCs w:val="32"/>
                <w:vertAlign w:val="subscript"/>
              </w:rPr>
              <w:t>3</w:t>
            </w:r>
            <w:r>
              <w:rPr>
                <w:bCs/>
                <w:kern w:val="28"/>
                <w:sz w:val="24"/>
                <w:szCs w:val="32"/>
              </w:rPr>
              <w:t>-N 和SS 的浓度值约为250mg/L、150mg/L、20mg/L 和220mg/L。本工程施工期不单独设施工营地，施工人员均租用当地民房，生活污水依托</w:t>
            </w:r>
            <w:r>
              <w:rPr>
                <w:rFonts w:hint="eastAsia"/>
                <w:bCs/>
                <w:kern w:val="28"/>
                <w:sz w:val="24"/>
                <w:szCs w:val="32"/>
              </w:rPr>
              <w:t>租用民房的</w:t>
            </w:r>
            <w:r>
              <w:rPr>
                <w:bCs/>
                <w:kern w:val="28"/>
                <w:sz w:val="24"/>
                <w:szCs w:val="32"/>
              </w:rPr>
              <w:t>化粪池处理，</w:t>
            </w:r>
            <w:r>
              <w:rPr>
                <w:rFonts w:hint="eastAsia"/>
                <w:bCs/>
                <w:kern w:val="28"/>
                <w:sz w:val="24"/>
                <w:szCs w:val="32"/>
              </w:rPr>
              <w:t>清掏回用农田</w:t>
            </w:r>
            <w:r>
              <w:rPr>
                <w:bCs/>
                <w:kern w:val="28"/>
                <w:sz w:val="24"/>
                <w:szCs w:val="32"/>
              </w:rPr>
              <w:t>，不外排，不会对周边水体造成影响。</w:t>
            </w:r>
          </w:p>
          <w:p w14:paraId="267FDB00">
            <w:pPr>
              <w:autoSpaceDE w:val="0"/>
              <w:autoSpaceDN w:val="0"/>
              <w:adjustRightInd w:val="0"/>
              <w:spacing w:line="360" w:lineRule="auto"/>
              <w:ind w:firstLine="480" w:firstLineChars="200"/>
              <w:jc w:val="left"/>
              <w:rPr>
                <w:bCs/>
                <w:kern w:val="28"/>
                <w:sz w:val="24"/>
                <w:szCs w:val="32"/>
              </w:rPr>
            </w:pPr>
            <w:r>
              <w:rPr>
                <w:bCs/>
                <w:kern w:val="28"/>
                <w:sz w:val="24"/>
                <w:szCs w:val="32"/>
              </w:rPr>
              <w:t>三、声环境</w:t>
            </w:r>
          </w:p>
          <w:p w14:paraId="12014806">
            <w:pPr>
              <w:spacing w:line="360" w:lineRule="auto"/>
              <w:ind w:firstLine="480" w:firstLineChars="200"/>
              <w:rPr>
                <w:bCs/>
                <w:kern w:val="28"/>
                <w:sz w:val="24"/>
                <w:szCs w:val="32"/>
              </w:rPr>
            </w:pPr>
            <w:r>
              <w:rPr>
                <w:rFonts w:hint="eastAsia"/>
                <w:bCs/>
                <w:kern w:val="28"/>
                <w:sz w:val="24"/>
                <w:szCs w:val="32"/>
              </w:rPr>
              <w:t>为减小本项目施工过程中产生的施工噪声对周围声环境的污染影响，本项目施工过程中，应严格按照相关法律法规要求，并认真落实各项施工噪声污染防治措施。</w:t>
            </w:r>
          </w:p>
          <w:p w14:paraId="5634CA6C">
            <w:pPr>
              <w:spacing w:line="360" w:lineRule="auto"/>
              <w:ind w:firstLine="480" w:firstLineChars="200"/>
              <w:rPr>
                <w:bCs/>
                <w:kern w:val="28"/>
                <w:sz w:val="24"/>
                <w:szCs w:val="32"/>
              </w:rPr>
            </w:pPr>
            <w:r>
              <w:rPr>
                <w:rFonts w:hint="eastAsia"/>
                <w:bCs/>
                <w:kern w:val="28"/>
                <w:sz w:val="24"/>
                <w:szCs w:val="32"/>
              </w:rPr>
              <w:t>1、施工单位必须选用符合国家有关标准的施工机具和运输车辆，尽量选用低噪 声的施工机械和工艺。振动较大的固定机械设备应加装减振机座，同时加强各类施工设备的维护和保养，保持其更好的运转，尽量降低噪声源强。</w:t>
            </w:r>
          </w:p>
          <w:p w14:paraId="3BD8EB9B">
            <w:pPr>
              <w:adjustRightInd w:val="0"/>
              <w:spacing w:line="360" w:lineRule="auto"/>
              <w:ind w:firstLine="480" w:firstLineChars="200"/>
              <w:rPr>
                <w:bCs/>
                <w:kern w:val="28"/>
                <w:sz w:val="24"/>
                <w:szCs w:val="32"/>
              </w:rPr>
            </w:pPr>
            <w:r>
              <w:rPr>
                <w:rFonts w:hint="eastAsia"/>
                <w:bCs/>
                <w:kern w:val="28"/>
                <w:sz w:val="24"/>
                <w:szCs w:val="32"/>
              </w:rPr>
              <w:t>2</w:t>
            </w:r>
            <w:r>
              <w:rPr>
                <w:bCs/>
                <w:kern w:val="28"/>
                <w:sz w:val="24"/>
                <w:szCs w:val="32"/>
              </w:rPr>
              <w:t>、施工过程中应合理安排好运输车辆的运输时间，尽量避开沿线居民的休息时间，同时，施工运输车辆途径居民区时应减速慢行，禁鸣喇叭。</w:t>
            </w:r>
          </w:p>
          <w:p w14:paraId="6B61A13A">
            <w:pPr>
              <w:adjustRightInd w:val="0"/>
              <w:spacing w:line="360" w:lineRule="auto"/>
              <w:ind w:firstLine="480" w:firstLineChars="200"/>
              <w:rPr>
                <w:bCs/>
                <w:kern w:val="28"/>
                <w:sz w:val="24"/>
                <w:szCs w:val="32"/>
              </w:rPr>
            </w:pPr>
            <w:r>
              <w:rPr>
                <w:rFonts w:hint="eastAsia"/>
                <w:bCs/>
                <w:kern w:val="28"/>
                <w:sz w:val="24"/>
                <w:szCs w:val="32"/>
              </w:rPr>
              <w:t>3</w:t>
            </w:r>
            <w:r>
              <w:rPr>
                <w:bCs/>
                <w:kern w:val="28"/>
                <w:sz w:val="24"/>
                <w:szCs w:val="32"/>
              </w:rPr>
              <w:t>、优化施工组织，合理安排施工进度，缩短施工工期，减轻施工噪声污染影响，同时，施工单位加强施工人员教育，提高作业人员环保意识，坚持科学组织、文明施工。</w:t>
            </w:r>
          </w:p>
          <w:p w14:paraId="0BD36F08">
            <w:pPr>
              <w:adjustRightInd w:val="0"/>
              <w:spacing w:line="360" w:lineRule="auto"/>
              <w:ind w:firstLine="480" w:firstLineChars="200"/>
              <w:rPr>
                <w:bCs/>
                <w:kern w:val="28"/>
                <w:sz w:val="24"/>
                <w:szCs w:val="32"/>
              </w:rPr>
            </w:pPr>
            <w:r>
              <w:rPr>
                <w:rFonts w:hint="eastAsia"/>
                <w:bCs/>
                <w:color w:val="FF0000"/>
                <w:sz w:val="24"/>
              </w:rPr>
              <w:t>4、</w:t>
            </w:r>
            <w:r>
              <w:rPr>
                <w:bCs/>
                <w:color w:val="FF0000"/>
                <w:sz w:val="24"/>
              </w:rPr>
              <w:t>夜间（22</w:t>
            </w:r>
            <w:r>
              <w:rPr>
                <w:rFonts w:hint="eastAsia"/>
                <w:bCs/>
                <w:color w:val="FF0000"/>
                <w:sz w:val="24"/>
              </w:rPr>
              <w:t>∶</w:t>
            </w:r>
            <w:r>
              <w:rPr>
                <w:bCs/>
                <w:color w:val="FF0000"/>
                <w:sz w:val="24"/>
              </w:rPr>
              <w:t>00～6</w:t>
            </w:r>
            <w:r>
              <w:rPr>
                <w:rFonts w:hint="eastAsia"/>
                <w:bCs/>
                <w:color w:val="FF0000"/>
                <w:sz w:val="24"/>
              </w:rPr>
              <w:t>∶</w:t>
            </w:r>
            <w:r>
              <w:rPr>
                <w:bCs/>
                <w:color w:val="FF0000"/>
                <w:sz w:val="24"/>
              </w:rPr>
              <w:t>00）应禁止施工作业</w:t>
            </w:r>
            <w:r>
              <w:rPr>
                <w:rFonts w:hint="eastAsia"/>
                <w:bCs/>
                <w:color w:val="FF0000"/>
                <w:sz w:val="24"/>
              </w:rPr>
              <w:t>，</w:t>
            </w:r>
            <w:r>
              <w:rPr>
                <w:bCs/>
                <w:color w:val="FF0000"/>
                <w:sz w:val="24"/>
              </w:rPr>
              <w:t>因特殊需要必须连续作业的，必须有县级以上人民政府或者其有关主管部门的证明，按规定申领夜间施工证，同时发布公告，告知附近居民，最大限度地争取民众支持。</w:t>
            </w:r>
            <w:r>
              <w:rPr>
                <w:rFonts w:hint="eastAsia"/>
                <w:bCs/>
                <w:color w:val="FF0000"/>
                <w:sz w:val="24"/>
              </w:rPr>
              <w:t>并采取必要的噪声控制措施（如设置施工围挡、移动式声屏障等）、</w:t>
            </w:r>
            <w:r>
              <w:rPr>
                <w:bCs/>
                <w:color w:val="FF0000"/>
                <w:sz w:val="24"/>
              </w:rPr>
              <w:t>选用低噪声机械设备、避免高噪声设备同时作业等综合降噪措施</w:t>
            </w:r>
            <w:r>
              <w:rPr>
                <w:rFonts w:hint="eastAsia"/>
                <w:bCs/>
                <w:color w:val="FF0000"/>
                <w:sz w:val="24"/>
              </w:rPr>
              <w:t>。</w:t>
            </w:r>
          </w:p>
          <w:p w14:paraId="311643B9">
            <w:pPr>
              <w:adjustRightInd w:val="0"/>
              <w:spacing w:line="360" w:lineRule="auto"/>
              <w:ind w:firstLine="480" w:firstLineChars="200"/>
              <w:rPr>
                <w:bCs/>
                <w:kern w:val="28"/>
                <w:sz w:val="24"/>
                <w:szCs w:val="32"/>
              </w:rPr>
            </w:pPr>
            <w:r>
              <w:rPr>
                <w:rFonts w:hint="eastAsia"/>
                <w:bCs/>
                <w:kern w:val="28"/>
                <w:sz w:val="24"/>
                <w:szCs w:val="32"/>
              </w:rPr>
              <w:t>综上所述，本项目施工过程中严格按照相关法律法规要求，并认真落实上述噪声污染控制和防治措施，避免扰民现象发生。本项目施工期噪声污染随着施工期的结束而逐渐消失。因此，本项目施工噪声对周围声环境影响较小。</w:t>
            </w:r>
          </w:p>
          <w:p w14:paraId="3E30F031">
            <w:pPr>
              <w:autoSpaceDE w:val="0"/>
              <w:autoSpaceDN w:val="0"/>
              <w:adjustRightInd w:val="0"/>
              <w:spacing w:line="360" w:lineRule="auto"/>
              <w:ind w:firstLine="480" w:firstLineChars="200"/>
              <w:jc w:val="left"/>
              <w:rPr>
                <w:bCs/>
                <w:kern w:val="28"/>
                <w:sz w:val="24"/>
                <w:szCs w:val="32"/>
              </w:rPr>
            </w:pPr>
            <w:r>
              <w:rPr>
                <w:bCs/>
                <w:kern w:val="28"/>
                <w:sz w:val="24"/>
                <w:szCs w:val="32"/>
              </w:rPr>
              <w:t>四、固体废物</w:t>
            </w:r>
          </w:p>
          <w:p w14:paraId="767B556C">
            <w:pPr>
              <w:pStyle w:val="8"/>
              <w:widowControl w:val="0"/>
              <w:snapToGrid/>
              <w:spacing w:before="0" w:after="0" w:line="360" w:lineRule="auto"/>
              <w:ind w:right="0" w:firstLine="480" w:firstLineChars="200"/>
              <w:rPr>
                <w:bCs/>
                <w:kern w:val="28"/>
                <w:sz w:val="24"/>
                <w:szCs w:val="32"/>
              </w:rPr>
            </w:pPr>
            <w:r>
              <w:rPr>
                <w:bCs/>
                <w:kern w:val="28"/>
                <w:sz w:val="24"/>
                <w:szCs w:val="32"/>
              </w:rPr>
              <w:t>（</w:t>
            </w:r>
            <w:r>
              <w:rPr>
                <w:rFonts w:hint="eastAsia"/>
                <w:bCs/>
                <w:kern w:val="28"/>
                <w:sz w:val="24"/>
                <w:szCs w:val="32"/>
              </w:rPr>
              <w:t>1</w:t>
            </w:r>
            <w:r>
              <w:rPr>
                <w:bCs/>
                <w:kern w:val="28"/>
                <w:sz w:val="24"/>
                <w:szCs w:val="32"/>
              </w:rPr>
              <w:t>）施工人员生活垃圾</w:t>
            </w:r>
          </w:p>
          <w:p w14:paraId="74891754">
            <w:pPr>
              <w:pStyle w:val="8"/>
              <w:widowControl w:val="0"/>
              <w:snapToGrid/>
              <w:spacing w:before="0" w:after="0" w:line="360" w:lineRule="auto"/>
              <w:ind w:right="0" w:firstLine="480" w:firstLineChars="200"/>
              <w:rPr>
                <w:bCs/>
                <w:kern w:val="28"/>
                <w:sz w:val="24"/>
                <w:szCs w:val="32"/>
              </w:rPr>
            </w:pPr>
            <w:r>
              <w:rPr>
                <w:bCs/>
                <w:kern w:val="28"/>
                <w:sz w:val="24"/>
                <w:szCs w:val="32"/>
              </w:rPr>
              <w:t>本项目大部分为当地民工，</w:t>
            </w:r>
            <w:r>
              <w:rPr>
                <w:rFonts w:hint="eastAsia"/>
                <w:bCs/>
                <w:kern w:val="28"/>
                <w:sz w:val="24"/>
                <w:szCs w:val="32"/>
              </w:rPr>
              <w:t>施工期在现场设置临时项目管理板房，</w:t>
            </w:r>
            <w:r>
              <w:rPr>
                <w:bCs/>
                <w:kern w:val="28"/>
                <w:sz w:val="24"/>
                <w:szCs w:val="32"/>
              </w:rPr>
              <w:t>人员</w:t>
            </w:r>
            <w:r>
              <w:rPr>
                <w:rFonts w:hint="eastAsia"/>
                <w:bCs/>
                <w:kern w:val="28"/>
                <w:sz w:val="24"/>
                <w:szCs w:val="32"/>
              </w:rPr>
              <w:t>住宿</w:t>
            </w:r>
            <w:r>
              <w:rPr>
                <w:bCs/>
                <w:kern w:val="28"/>
                <w:sz w:val="24"/>
                <w:szCs w:val="32"/>
              </w:rPr>
              <w:t>租赁</w:t>
            </w:r>
            <w:r>
              <w:rPr>
                <w:rFonts w:hint="eastAsia"/>
                <w:bCs/>
                <w:kern w:val="28"/>
                <w:sz w:val="24"/>
                <w:szCs w:val="32"/>
              </w:rPr>
              <w:t>项目附近民房</w:t>
            </w:r>
            <w:r>
              <w:rPr>
                <w:bCs/>
                <w:kern w:val="28"/>
                <w:sz w:val="24"/>
                <w:szCs w:val="32"/>
              </w:rPr>
              <w:t>，排放的生活垃圾很少，</w:t>
            </w:r>
            <w:r>
              <w:rPr>
                <w:rFonts w:hint="eastAsia"/>
                <w:bCs/>
                <w:kern w:val="28"/>
                <w:sz w:val="24"/>
                <w:szCs w:val="32"/>
              </w:rPr>
              <w:t>施工现场</w:t>
            </w:r>
            <w:r>
              <w:rPr>
                <w:bCs/>
                <w:kern w:val="28"/>
                <w:sz w:val="24"/>
                <w:szCs w:val="32"/>
              </w:rPr>
              <w:t>设置垃圾集中收集装置，统一进行收集。生活垃圾收集后交由当地环卫部门处置。</w:t>
            </w:r>
          </w:p>
          <w:p w14:paraId="4A50DE89">
            <w:pPr>
              <w:pStyle w:val="8"/>
              <w:widowControl w:val="0"/>
              <w:snapToGrid/>
              <w:spacing w:before="0" w:after="0" w:line="360" w:lineRule="auto"/>
              <w:ind w:right="0" w:firstLine="480" w:firstLineChars="200"/>
              <w:rPr>
                <w:bCs/>
                <w:kern w:val="28"/>
                <w:sz w:val="24"/>
                <w:szCs w:val="32"/>
              </w:rPr>
            </w:pPr>
            <w:r>
              <w:rPr>
                <w:bCs/>
                <w:kern w:val="28"/>
                <w:sz w:val="24"/>
                <w:szCs w:val="32"/>
              </w:rPr>
              <w:t>（</w:t>
            </w:r>
            <w:r>
              <w:rPr>
                <w:rFonts w:hint="eastAsia"/>
                <w:bCs/>
                <w:kern w:val="28"/>
                <w:sz w:val="24"/>
                <w:szCs w:val="32"/>
              </w:rPr>
              <w:t>2</w:t>
            </w:r>
            <w:r>
              <w:rPr>
                <w:bCs/>
                <w:kern w:val="28"/>
                <w:sz w:val="24"/>
                <w:szCs w:val="32"/>
              </w:rPr>
              <w:t>）施工场地建筑垃圾：道路施工场地的建筑垃圾主要是指剩余的筑路材料，包括石料、砂、石灰、水泥、钢材、木料、预制构件等，施工剩余的材料能回收的尽量回收，少量剩余的筑路材料集中堆放并做好苫盖围挡，之后运至城市管理部门指定的建筑垃圾填埋场进行填埋处置。</w:t>
            </w:r>
          </w:p>
          <w:p w14:paraId="1B7612B3">
            <w:pPr>
              <w:pStyle w:val="8"/>
              <w:widowControl w:val="0"/>
              <w:snapToGrid/>
              <w:spacing w:before="0" w:after="0" w:line="360" w:lineRule="auto"/>
              <w:ind w:right="0" w:firstLine="480" w:firstLineChars="200"/>
              <w:rPr>
                <w:bCs/>
                <w:kern w:val="28"/>
                <w:sz w:val="24"/>
                <w:szCs w:val="32"/>
              </w:rPr>
            </w:pPr>
            <w:r>
              <w:rPr>
                <w:bCs/>
                <w:kern w:val="28"/>
                <w:sz w:val="24"/>
                <w:szCs w:val="32"/>
              </w:rPr>
              <w:t>五、生态环境措施</w:t>
            </w:r>
          </w:p>
          <w:p w14:paraId="1BB82A35">
            <w:pPr>
              <w:pStyle w:val="8"/>
              <w:widowControl w:val="0"/>
              <w:snapToGrid/>
              <w:spacing w:before="0" w:after="0" w:line="360" w:lineRule="auto"/>
              <w:ind w:right="0" w:firstLine="480" w:firstLineChars="200"/>
              <w:rPr>
                <w:bCs/>
                <w:kern w:val="28"/>
                <w:sz w:val="24"/>
                <w:szCs w:val="32"/>
              </w:rPr>
            </w:pPr>
            <w:r>
              <w:rPr>
                <w:rFonts w:hint="eastAsia"/>
                <w:bCs/>
                <w:sz w:val="24"/>
              </w:rPr>
              <w:t>本项目属于高铁站规划的附属道路，紧邻安康高铁西站站前广场，项目建成后根据车站绿化设计进行全面绿化。</w:t>
            </w:r>
            <w:r>
              <w:rPr>
                <w:bCs/>
                <w:kern w:val="28"/>
                <w:sz w:val="24"/>
                <w:szCs w:val="32"/>
              </w:rPr>
              <w:t>施工过程中，尽量减少对工程区周边表土及植被的破坏，</w:t>
            </w:r>
            <w:r>
              <w:rPr>
                <w:rFonts w:hint="eastAsia"/>
                <w:bCs/>
                <w:kern w:val="28"/>
                <w:sz w:val="24"/>
                <w:szCs w:val="32"/>
              </w:rPr>
              <w:t>加强临时工程管理</w:t>
            </w:r>
            <w:r>
              <w:rPr>
                <w:bCs/>
                <w:kern w:val="28"/>
                <w:sz w:val="24"/>
                <w:szCs w:val="32"/>
              </w:rPr>
              <w:t>。</w:t>
            </w:r>
          </w:p>
          <w:p w14:paraId="0337EA2E">
            <w:pPr>
              <w:pStyle w:val="8"/>
              <w:widowControl w:val="0"/>
              <w:snapToGrid/>
              <w:spacing w:before="0" w:after="0" w:line="360" w:lineRule="auto"/>
              <w:ind w:right="0" w:firstLine="480" w:firstLineChars="200"/>
              <w:rPr>
                <w:bCs/>
                <w:kern w:val="28"/>
                <w:sz w:val="24"/>
                <w:szCs w:val="32"/>
              </w:rPr>
            </w:pPr>
            <w:r>
              <w:rPr>
                <w:rFonts w:hint="eastAsia"/>
                <w:bCs/>
                <w:kern w:val="28"/>
                <w:sz w:val="24"/>
                <w:szCs w:val="32"/>
              </w:rPr>
              <w:t>（1）为了防止施工占地表层土的损耗，将开挖面30cm厚的表层土剥离，进行留存。待施工结束后用于场地平整绿化；</w:t>
            </w:r>
          </w:p>
          <w:p w14:paraId="1A5E5596">
            <w:pPr>
              <w:pStyle w:val="8"/>
              <w:widowControl w:val="0"/>
              <w:snapToGrid/>
              <w:spacing w:before="0" w:after="0" w:line="360" w:lineRule="auto"/>
              <w:ind w:right="0" w:firstLine="480" w:firstLineChars="200"/>
              <w:rPr>
                <w:bCs/>
                <w:kern w:val="28"/>
                <w:sz w:val="24"/>
                <w:szCs w:val="32"/>
              </w:rPr>
            </w:pPr>
            <w:r>
              <w:rPr>
                <w:rFonts w:hint="eastAsia"/>
                <w:bCs/>
                <w:kern w:val="28"/>
                <w:sz w:val="24"/>
                <w:szCs w:val="32"/>
              </w:rPr>
              <w:t>（</w:t>
            </w:r>
            <w:r>
              <w:rPr>
                <w:bCs/>
                <w:kern w:val="28"/>
                <w:sz w:val="24"/>
                <w:szCs w:val="32"/>
              </w:rPr>
              <w:t>2</w:t>
            </w:r>
            <w:r>
              <w:rPr>
                <w:rFonts w:hint="eastAsia"/>
                <w:bCs/>
                <w:kern w:val="28"/>
                <w:sz w:val="24"/>
                <w:szCs w:val="32"/>
              </w:rPr>
              <w:t>）施工期临时占地选择在道路或安康高铁西站征地范围内，不占土地；</w:t>
            </w:r>
          </w:p>
          <w:p w14:paraId="300615A3">
            <w:pPr>
              <w:spacing w:line="360" w:lineRule="auto"/>
              <w:ind w:firstLine="480" w:firstLineChars="200"/>
              <w:rPr>
                <w:bCs/>
                <w:kern w:val="28"/>
                <w:sz w:val="24"/>
                <w:szCs w:val="32"/>
              </w:rPr>
            </w:pPr>
            <w:r>
              <w:rPr>
                <w:rFonts w:hint="eastAsia"/>
                <w:bCs/>
                <w:kern w:val="28"/>
                <w:sz w:val="24"/>
                <w:szCs w:val="32"/>
              </w:rPr>
              <w:t>（3）各种施工活动应严格控制在施工作业区内。</w:t>
            </w:r>
          </w:p>
          <w:p w14:paraId="7478E641">
            <w:pPr>
              <w:ind w:firstLine="480"/>
              <w:rPr>
                <w:bCs/>
                <w:kern w:val="28"/>
                <w:sz w:val="24"/>
                <w:szCs w:val="32"/>
              </w:rPr>
            </w:pPr>
          </w:p>
          <w:p w14:paraId="5D2635DC">
            <w:pPr>
              <w:ind w:firstLine="480"/>
              <w:rPr>
                <w:bCs/>
                <w:kern w:val="28"/>
                <w:sz w:val="24"/>
                <w:szCs w:val="32"/>
              </w:rPr>
            </w:pPr>
          </w:p>
          <w:p w14:paraId="1DED28A4">
            <w:pPr>
              <w:ind w:firstLine="480"/>
              <w:rPr>
                <w:bCs/>
                <w:kern w:val="28"/>
                <w:sz w:val="24"/>
                <w:szCs w:val="32"/>
              </w:rPr>
            </w:pPr>
          </w:p>
        </w:tc>
      </w:tr>
      <w:tr w14:paraId="5BEAC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361" w:type="pct"/>
            <w:tcMar>
              <w:left w:w="28" w:type="dxa"/>
              <w:right w:w="28" w:type="dxa"/>
            </w:tcMar>
            <w:vAlign w:val="center"/>
          </w:tcPr>
          <w:p w14:paraId="72A0070D">
            <w:pPr>
              <w:adjustRightInd w:val="0"/>
              <w:snapToGrid w:val="0"/>
              <w:jc w:val="center"/>
              <w:rPr>
                <w:bCs/>
                <w:spacing w:val="10"/>
                <w:szCs w:val="21"/>
              </w:rPr>
            </w:pPr>
            <w:r>
              <w:rPr>
                <w:kern w:val="0"/>
                <w:szCs w:val="21"/>
              </w:rPr>
              <w:t>运营期生态环境保护措施</w:t>
            </w:r>
          </w:p>
        </w:tc>
        <w:tc>
          <w:tcPr>
            <w:tcW w:w="4639" w:type="pct"/>
          </w:tcPr>
          <w:p w14:paraId="003B6C9F">
            <w:pPr>
              <w:wordWrap w:val="0"/>
              <w:spacing w:line="360" w:lineRule="auto"/>
              <w:ind w:firstLine="482" w:firstLineChars="200"/>
              <w:rPr>
                <w:b/>
                <w:bCs/>
                <w:sz w:val="24"/>
              </w:rPr>
            </w:pPr>
            <w:r>
              <w:rPr>
                <w:rFonts w:hint="eastAsia"/>
                <w:b/>
                <w:bCs/>
                <w:sz w:val="24"/>
              </w:rPr>
              <w:t>1、运营期大气污染防治措施</w:t>
            </w:r>
          </w:p>
          <w:p w14:paraId="02C2BCA6">
            <w:pPr>
              <w:wordWrap w:val="0"/>
              <w:spacing w:line="360" w:lineRule="auto"/>
              <w:ind w:firstLine="480" w:firstLineChars="200"/>
              <w:rPr>
                <w:sz w:val="24"/>
              </w:rPr>
            </w:pPr>
            <w:r>
              <w:rPr>
                <w:rFonts w:hint="eastAsia"/>
                <w:sz w:val="24"/>
              </w:rPr>
              <w:t>运营期定期对路面进行清扫、日常洒水抑尘；加强对道路的养护，使道路保持良好的运营状态以减少车辆非正常工况行驶的情况发生；加强道路两侧的绿化维护，以净化吸收车辆尾气中的污染物，衰减大气中总悬浮微粒，又可以美化环境和改善道路沿线景观效果。</w:t>
            </w:r>
          </w:p>
          <w:p w14:paraId="03CBD838">
            <w:pPr>
              <w:wordWrap w:val="0"/>
              <w:spacing w:line="360" w:lineRule="auto"/>
              <w:ind w:firstLine="482" w:firstLineChars="200"/>
              <w:rPr>
                <w:b/>
                <w:bCs/>
                <w:sz w:val="24"/>
              </w:rPr>
            </w:pPr>
            <w:r>
              <w:rPr>
                <w:rFonts w:hint="eastAsia"/>
                <w:b/>
                <w:bCs/>
                <w:sz w:val="24"/>
              </w:rPr>
              <w:t>2、运营期水环境保护措施</w:t>
            </w:r>
          </w:p>
          <w:p w14:paraId="3E3288C4">
            <w:pPr>
              <w:wordWrap w:val="0"/>
              <w:spacing w:line="360" w:lineRule="auto"/>
              <w:ind w:firstLine="480" w:firstLineChars="200"/>
              <w:rPr>
                <w:sz w:val="24"/>
              </w:rPr>
            </w:pPr>
            <w:r>
              <w:rPr>
                <w:rFonts w:hint="eastAsia"/>
                <w:sz w:val="24"/>
              </w:rPr>
              <w:t>本工程道路周边汇水范围的雨水径流通过道路下方设的雨水管道收集。路面径流为面源污染，其污染程度与区域大气环境质量状况、地表的清洁程度、降雨特征等因素有关，可以通过采取加强交通管理，保持路面清洁的措施减缓对地表水环境的影响，使地表清洁、卫生状况良好，则随雨水径流带入水体的污染物将大大降低。</w:t>
            </w:r>
          </w:p>
          <w:p w14:paraId="33B59624">
            <w:pPr>
              <w:wordWrap w:val="0"/>
              <w:spacing w:line="360" w:lineRule="auto"/>
              <w:ind w:firstLine="482" w:firstLineChars="200"/>
              <w:rPr>
                <w:b/>
                <w:bCs/>
                <w:sz w:val="24"/>
              </w:rPr>
            </w:pPr>
            <w:r>
              <w:rPr>
                <w:rFonts w:hint="eastAsia"/>
                <w:b/>
                <w:bCs/>
                <w:sz w:val="24"/>
              </w:rPr>
              <w:t>3、运营期噪声污染防治措施</w:t>
            </w:r>
          </w:p>
          <w:p w14:paraId="584DB772">
            <w:pPr>
              <w:wordWrap w:val="0"/>
              <w:spacing w:line="360" w:lineRule="auto"/>
              <w:ind w:firstLine="480" w:firstLineChars="200"/>
              <w:rPr>
                <w:sz w:val="24"/>
              </w:rPr>
            </w:pPr>
            <w:r>
              <w:rPr>
                <w:rFonts w:hint="eastAsia"/>
                <w:sz w:val="24"/>
              </w:rPr>
              <w:t>本项目评价范围内不涉及声环境保护目标，可不另采取工程措施。运营期通过采取低噪声筑路材料、加强市政路管理、加强交通管理，本项目对声环境的影响可以控制在国家有关标准和要求允许的范围内。具体声环境保护措施见噪声专项评价。</w:t>
            </w:r>
          </w:p>
          <w:p w14:paraId="38837E7C">
            <w:pPr>
              <w:wordWrap w:val="0"/>
              <w:spacing w:line="360" w:lineRule="auto"/>
              <w:ind w:firstLine="482" w:firstLineChars="200"/>
              <w:rPr>
                <w:b/>
                <w:bCs/>
                <w:sz w:val="24"/>
              </w:rPr>
            </w:pPr>
            <w:r>
              <w:rPr>
                <w:rFonts w:hint="eastAsia"/>
                <w:b/>
                <w:bCs/>
                <w:sz w:val="24"/>
              </w:rPr>
              <w:t>4、运营期固体废物环境保护措施</w:t>
            </w:r>
          </w:p>
          <w:p w14:paraId="27982E5E">
            <w:pPr>
              <w:wordWrap w:val="0"/>
              <w:spacing w:line="360" w:lineRule="auto"/>
              <w:ind w:firstLine="480" w:firstLineChars="200"/>
              <w:rPr>
                <w:sz w:val="24"/>
              </w:rPr>
            </w:pPr>
            <w:r>
              <w:rPr>
                <w:rFonts w:hint="eastAsia"/>
                <w:sz w:val="24"/>
              </w:rPr>
              <w:t>营运期固体废物主要来源是运输车辆散落的运载物、发生交通事故的车辆装载的货物、乘客丢弃的物品等，及行人丢弃的垃圾。</w:t>
            </w:r>
          </w:p>
          <w:p w14:paraId="1437A564">
            <w:pPr>
              <w:wordWrap w:val="0"/>
              <w:spacing w:line="360" w:lineRule="auto"/>
              <w:ind w:firstLine="480" w:firstLineChars="200"/>
              <w:rPr>
                <w:sz w:val="24"/>
              </w:rPr>
            </w:pPr>
            <w:r>
              <w:rPr>
                <w:rFonts w:hint="eastAsia"/>
                <w:sz w:val="24"/>
              </w:rPr>
              <w:t>（1）路面固体废物为一般城市垃圾，可交由环卫部门进行处置，定期组织环卫部门对道路的清扫可有效防止固废污染。</w:t>
            </w:r>
          </w:p>
          <w:p w14:paraId="35D0AD9E">
            <w:pPr>
              <w:wordWrap w:val="0"/>
              <w:spacing w:line="360" w:lineRule="auto"/>
              <w:ind w:firstLine="480" w:firstLineChars="200"/>
              <w:rPr>
                <w:sz w:val="24"/>
              </w:rPr>
            </w:pPr>
            <w:r>
              <w:rPr>
                <w:rFonts w:hint="eastAsia"/>
                <w:sz w:val="24"/>
              </w:rPr>
              <w:t>（2）建议沿线布设相应数量的垃圾桶/箱，减少废物的丢弃量。</w:t>
            </w:r>
          </w:p>
          <w:p w14:paraId="21A15A65">
            <w:pPr>
              <w:wordWrap w:val="0"/>
              <w:spacing w:line="360" w:lineRule="auto"/>
              <w:ind w:firstLine="480" w:firstLineChars="200"/>
              <w:rPr>
                <w:sz w:val="24"/>
              </w:rPr>
            </w:pPr>
            <w:r>
              <w:rPr>
                <w:rFonts w:hint="eastAsia"/>
                <w:sz w:val="24"/>
              </w:rPr>
              <w:t>（3）建议设立相应的“勿丢废弃物”警示牌，提醒过往的行人及司机不要乱丢果皮、杂物。</w:t>
            </w:r>
          </w:p>
          <w:p w14:paraId="46159FEB">
            <w:pPr>
              <w:wordWrap w:val="0"/>
              <w:spacing w:line="360" w:lineRule="auto"/>
              <w:ind w:firstLine="482" w:firstLineChars="200"/>
              <w:rPr>
                <w:b/>
                <w:bCs/>
                <w:sz w:val="24"/>
              </w:rPr>
            </w:pPr>
            <w:r>
              <w:rPr>
                <w:rFonts w:hint="eastAsia"/>
                <w:b/>
                <w:bCs/>
                <w:sz w:val="24"/>
              </w:rPr>
              <w:t>5、生态环境保护措施</w:t>
            </w:r>
          </w:p>
          <w:p w14:paraId="46A4E24C">
            <w:pPr>
              <w:wordWrap w:val="0"/>
              <w:spacing w:line="360" w:lineRule="auto"/>
              <w:ind w:firstLine="480" w:firstLineChars="200"/>
              <w:rPr>
                <w:sz w:val="24"/>
              </w:rPr>
            </w:pPr>
            <w:r>
              <w:rPr>
                <w:rFonts w:hint="eastAsia"/>
                <w:sz w:val="24"/>
              </w:rPr>
              <w:t>为弥补工程引起的土地占用和植被破坏导致的生态损失，项目区需同时进行植被恢复，选择适宜的植物种类，注意沿线绿化的日常维护（包括浇水、修剪等）。</w:t>
            </w:r>
          </w:p>
          <w:p w14:paraId="3E8A54FA">
            <w:pPr>
              <w:ind w:firstLine="480"/>
            </w:pPr>
          </w:p>
        </w:tc>
      </w:tr>
      <w:tr w14:paraId="20EC5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361" w:type="pct"/>
            <w:tcMar>
              <w:left w:w="28" w:type="dxa"/>
              <w:right w:w="28" w:type="dxa"/>
            </w:tcMar>
            <w:vAlign w:val="center"/>
          </w:tcPr>
          <w:p w14:paraId="59BC76C6">
            <w:pPr>
              <w:adjustRightInd w:val="0"/>
              <w:snapToGrid w:val="0"/>
              <w:jc w:val="center"/>
              <w:rPr>
                <w:kern w:val="0"/>
                <w:szCs w:val="21"/>
              </w:rPr>
            </w:pPr>
            <w:r>
              <w:rPr>
                <w:kern w:val="0"/>
                <w:szCs w:val="21"/>
              </w:rPr>
              <w:t>其他</w:t>
            </w:r>
          </w:p>
        </w:tc>
        <w:tc>
          <w:tcPr>
            <w:tcW w:w="4639" w:type="pct"/>
          </w:tcPr>
          <w:p w14:paraId="2E257228">
            <w:pPr>
              <w:adjustRightInd w:val="0"/>
              <w:snapToGrid w:val="0"/>
              <w:spacing w:line="360" w:lineRule="auto"/>
              <w:rPr>
                <w:b/>
                <w:bCs/>
                <w:kern w:val="0"/>
                <w:sz w:val="24"/>
              </w:rPr>
            </w:pPr>
            <w:r>
              <w:rPr>
                <w:b/>
                <w:bCs/>
                <w:kern w:val="0"/>
                <w:sz w:val="24"/>
              </w:rPr>
              <w:t>一、环境管理与监测计划</w:t>
            </w:r>
          </w:p>
          <w:p w14:paraId="6D993568">
            <w:pPr>
              <w:adjustRightInd w:val="0"/>
              <w:snapToGrid w:val="0"/>
              <w:spacing w:line="360" w:lineRule="auto"/>
              <w:ind w:firstLine="480" w:firstLineChars="200"/>
              <w:rPr>
                <w:kern w:val="0"/>
                <w:sz w:val="24"/>
              </w:rPr>
            </w:pPr>
            <w:r>
              <w:rPr>
                <w:kern w:val="0"/>
                <w:sz w:val="24"/>
              </w:rPr>
              <w:t>1、施工期环境管理计划</w:t>
            </w:r>
          </w:p>
          <w:p w14:paraId="29A2BE8F">
            <w:pPr>
              <w:adjustRightInd w:val="0"/>
              <w:snapToGrid w:val="0"/>
              <w:spacing w:line="360" w:lineRule="auto"/>
              <w:ind w:firstLine="480" w:firstLineChars="200"/>
              <w:rPr>
                <w:kern w:val="0"/>
                <w:sz w:val="24"/>
              </w:rPr>
            </w:pPr>
            <w:r>
              <w:rPr>
                <w:kern w:val="0"/>
                <w:sz w:val="24"/>
              </w:rPr>
              <w:t>施工期环境管理计划见表5-1。</w:t>
            </w:r>
          </w:p>
          <w:p w14:paraId="63753D74">
            <w:pPr>
              <w:pStyle w:val="18"/>
              <w:ind w:left="840" w:hanging="420"/>
            </w:pPr>
            <w:r>
              <w:t>表5-1施工期环境管理计划表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
              <w:gridCol w:w="1275"/>
              <w:gridCol w:w="1839"/>
              <w:gridCol w:w="4529"/>
            </w:tblGrid>
            <w:tr w14:paraId="184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pct"/>
                  <w:shd w:val="clear" w:color="auto" w:fill="auto"/>
                  <w:vAlign w:val="center"/>
                </w:tcPr>
                <w:p w14:paraId="23C36C40">
                  <w:pPr>
                    <w:pStyle w:val="82"/>
                    <w:rPr>
                      <w:rStyle w:val="78"/>
                    </w:rPr>
                  </w:pPr>
                  <w:r>
                    <w:rPr>
                      <w:rStyle w:val="78"/>
                    </w:rPr>
                    <w:t>序号</w:t>
                  </w:r>
                </w:p>
              </w:tc>
              <w:tc>
                <w:tcPr>
                  <w:tcW w:w="760" w:type="pct"/>
                  <w:shd w:val="clear" w:color="auto" w:fill="auto"/>
                  <w:vAlign w:val="center"/>
                </w:tcPr>
                <w:p w14:paraId="1B1C9650">
                  <w:pPr>
                    <w:pStyle w:val="82"/>
                    <w:rPr>
                      <w:rStyle w:val="78"/>
                    </w:rPr>
                  </w:pPr>
                  <w:r>
                    <w:rPr>
                      <w:rStyle w:val="78"/>
                    </w:rPr>
                    <w:t>管理项目</w:t>
                  </w:r>
                </w:p>
              </w:tc>
              <w:tc>
                <w:tcPr>
                  <w:tcW w:w="1096" w:type="pct"/>
                  <w:shd w:val="clear" w:color="auto" w:fill="auto"/>
                  <w:vAlign w:val="center"/>
                </w:tcPr>
                <w:p w14:paraId="32BF4458">
                  <w:pPr>
                    <w:pStyle w:val="82"/>
                    <w:rPr>
                      <w:rStyle w:val="78"/>
                    </w:rPr>
                  </w:pPr>
                  <w:r>
                    <w:rPr>
                      <w:rStyle w:val="78"/>
                    </w:rPr>
                    <w:t>管理内容</w:t>
                  </w:r>
                </w:p>
              </w:tc>
              <w:tc>
                <w:tcPr>
                  <w:tcW w:w="2700" w:type="pct"/>
                  <w:shd w:val="clear" w:color="auto" w:fill="auto"/>
                  <w:vAlign w:val="center"/>
                </w:tcPr>
                <w:p w14:paraId="6EADB02B">
                  <w:pPr>
                    <w:pStyle w:val="82"/>
                    <w:rPr>
                      <w:rStyle w:val="78"/>
                    </w:rPr>
                  </w:pPr>
                  <w:r>
                    <w:rPr>
                      <w:rStyle w:val="78"/>
                    </w:rPr>
                    <w:t>管理要求</w:t>
                  </w:r>
                </w:p>
              </w:tc>
            </w:tr>
            <w:tr w14:paraId="3D1E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445" w:type="pct"/>
                  <w:shd w:val="clear" w:color="auto" w:fill="auto"/>
                  <w:vAlign w:val="center"/>
                </w:tcPr>
                <w:p w14:paraId="43C21F4D">
                  <w:pPr>
                    <w:pStyle w:val="82"/>
                    <w:rPr>
                      <w:rStyle w:val="78"/>
                    </w:rPr>
                  </w:pPr>
                  <w:r>
                    <w:rPr>
                      <w:rStyle w:val="78"/>
                    </w:rPr>
                    <w:t>1</w:t>
                  </w:r>
                </w:p>
              </w:tc>
              <w:tc>
                <w:tcPr>
                  <w:tcW w:w="760" w:type="pct"/>
                  <w:shd w:val="clear" w:color="auto" w:fill="auto"/>
                  <w:vAlign w:val="center"/>
                </w:tcPr>
                <w:p w14:paraId="0937A3BE">
                  <w:pPr>
                    <w:pStyle w:val="82"/>
                    <w:rPr>
                      <w:rStyle w:val="78"/>
                    </w:rPr>
                  </w:pPr>
                  <w:r>
                    <w:rPr>
                      <w:rStyle w:val="78"/>
                    </w:rPr>
                    <w:t>施工扬尘点</w:t>
                  </w:r>
                </w:p>
              </w:tc>
              <w:tc>
                <w:tcPr>
                  <w:tcW w:w="1096" w:type="pct"/>
                  <w:shd w:val="clear" w:color="auto" w:fill="auto"/>
                  <w:vAlign w:val="center"/>
                </w:tcPr>
                <w:p w14:paraId="3691708A">
                  <w:pPr>
                    <w:pStyle w:val="82"/>
                    <w:rPr>
                      <w:rStyle w:val="78"/>
                      <w:color w:val="FF0000"/>
                    </w:rPr>
                  </w:pPr>
                  <w:r>
                    <w:rPr>
                      <w:rStyle w:val="78"/>
                      <w:color w:val="FF0000"/>
                    </w:rPr>
                    <w:t>贮料场及</w:t>
                  </w:r>
                  <w:r>
                    <w:rPr>
                      <w:rStyle w:val="78"/>
                      <w:rFonts w:hint="eastAsia"/>
                      <w:color w:val="FF0000"/>
                    </w:rPr>
                    <w:t>挖填方</w:t>
                  </w:r>
                  <w:r>
                    <w:rPr>
                      <w:rStyle w:val="78"/>
                      <w:color w:val="FF0000"/>
                    </w:rPr>
                    <w:t>现场作业点等</w:t>
                  </w:r>
                </w:p>
              </w:tc>
              <w:tc>
                <w:tcPr>
                  <w:tcW w:w="2700" w:type="pct"/>
                  <w:shd w:val="clear" w:color="auto" w:fill="auto"/>
                  <w:vAlign w:val="center"/>
                </w:tcPr>
                <w:p w14:paraId="049720AC">
                  <w:pPr>
                    <w:pStyle w:val="82"/>
                    <w:jc w:val="both"/>
                    <w:rPr>
                      <w:rStyle w:val="78"/>
                      <w:color w:val="FF0000"/>
                    </w:rPr>
                  </w:pPr>
                  <w:r>
                    <w:rPr>
                      <w:rStyle w:val="78"/>
                      <w:color w:val="FF0000"/>
                    </w:rPr>
                    <w:t>1）贮料场等采取围挡、苫盖等措施；</w:t>
                  </w:r>
                </w:p>
                <w:p w14:paraId="2F6B870E">
                  <w:pPr>
                    <w:pStyle w:val="82"/>
                    <w:jc w:val="both"/>
                    <w:rPr>
                      <w:rStyle w:val="78"/>
                      <w:color w:val="FF0000"/>
                    </w:rPr>
                  </w:pPr>
                  <w:r>
                    <w:rPr>
                      <w:rStyle w:val="78"/>
                      <w:color w:val="FF0000"/>
                    </w:rPr>
                    <w:t>2）施工现场定期洒水，防止尘土飞扬</w:t>
                  </w:r>
                  <w:r>
                    <w:rPr>
                      <w:rStyle w:val="78"/>
                      <w:rFonts w:hint="eastAsia"/>
                      <w:color w:val="FF0000"/>
                    </w:rPr>
                    <w:t>；</w:t>
                  </w:r>
                </w:p>
                <w:p w14:paraId="1FD4C222">
                  <w:pPr>
                    <w:pStyle w:val="82"/>
                    <w:jc w:val="both"/>
                    <w:rPr>
                      <w:rStyle w:val="78"/>
                      <w:color w:val="FF0000"/>
                    </w:rPr>
                  </w:pPr>
                  <w:r>
                    <w:rPr>
                      <w:rStyle w:val="78"/>
                      <w:rFonts w:hint="eastAsia"/>
                      <w:color w:val="FF0000"/>
                    </w:rPr>
                    <w:t>3）裸露地面应覆盖防尘布或防尘网；</w:t>
                  </w:r>
                </w:p>
                <w:p w14:paraId="34CD255A">
                  <w:pPr>
                    <w:pStyle w:val="82"/>
                    <w:jc w:val="both"/>
                    <w:rPr>
                      <w:rStyle w:val="78"/>
                      <w:color w:val="FF0000"/>
                    </w:rPr>
                  </w:pPr>
                  <w:r>
                    <w:rPr>
                      <w:rStyle w:val="78"/>
                      <w:rFonts w:hint="eastAsia"/>
                      <w:color w:val="FF0000"/>
                    </w:rPr>
                    <w:t>4）挖填方采取水雾喷洒降低施工场地扬尘。</w:t>
                  </w:r>
                </w:p>
              </w:tc>
            </w:tr>
            <w:tr w14:paraId="6A33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trPr>
              <w:tc>
                <w:tcPr>
                  <w:tcW w:w="445" w:type="pct"/>
                  <w:shd w:val="clear" w:color="auto" w:fill="auto"/>
                  <w:vAlign w:val="center"/>
                </w:tcPr>
                <w:p w14:paraId="5D616C67">
                  <w:pPr>
                    <w:pStyle w:val="82"/>
                    <w:rPr>
                      <w:rStyle w:val="78"/>
                    </w:rPr>
                  </w:pPr>
                  <w:r>
                    <w:rPr>
                      <w:rStyle w:val="78"/>
                    </w:rPr>
                    <w:t>2</w:t>
                  </w:r>
                </w:p>
              </w:tc>
              <w:tc>
                <w:tcPr>
                  <w:tcW w:w="760" w:type="pct"/>
                  <w:shd w:val="clear" w:color="auto" w:fill="auto"/>
                  <w:vAlign w:val="center"/>
                </w:tcPr>
                <w:p w14:paraId="7D888C39">
                  <w:pPr>
                    <w:pStyle w:val="82"/>
                    <w:rPr>
                      <w:rStyle w:val="78"/>
                    </w:rPr>
                  </w:pPr>
                  <w:r>
                    <w:rPr>
                      <w:rStyle w:val="78"/>
                    </w:rPr>
                    <w:t>施工材料、固废等运输</w:t>
                  </w:r>
                </w:p>
              </w:tc>
              <w:tc>
                <w:tcPr>
                  <w:tcW w:w="1096" w:type="pct"/>
                  <w:shd w:val="clear" w:color="auto" w:fill="auto"/>
                  <w:vAlign w:val="center"/>
                </w:tcPr>
                <w:p w14:paraId="7A785A9E">
                  <w:pPr>
                    <w:pStyle w:val="82"/>
                    <w:rPr>
                      <w:rStyle w:val="78"/>
                    </w:rPr>
                  </w:pPr>
                  <w:r>
                    <w:rPr>
                      <w:rStyle w:val="78"/>
                    </w:rPr>
                    <w:t>运输砂石料、渣土的车辆</w:t>
                  </w:r>
                </w:p>
              </w:tc>
              <w:tc>
                <w:tcPr>
                  <w:tcW w:w="2700" w:type="pct"/>
                  <w:shd w:val="clear" w:color="auto" w:fill="auto"/>
                  <w:vAlign w:val="center"/>
                </w:tcPr>
                <w:p w14:paraId="76395F99">
                  <w:pPr>
                    <w:pStyle w:val="82"/>
                    <w:jc w:val="both"/>
                    <w:rPr>
                      <w:rStyle w:val="78"/>
                    </w:rPr>
                  </w:pPr>
                  <w:r>
                    <w:rPr>
                      <w:rStyle w:val="78"/>
                    </w:rPr>
                    <w:t>1）运输车辆采取密闭或其他措施，防止抛洒遗漏；</w:t>
                  </w:r>
                </w:p>
                <w:p w14:paraId="121568B2">
                  <w:pPr>
                    <w:pStyle w:val="82"/>
                    <w:jc w:val="both"/>
                    <w:rPr>
                      <w:rStyle w:val="78"/>
                    </w:rPr>
                  </w:pPr>
                  <w:r>
                    <w:rPr>
                      <w:rStyle w:val="78"/>
                    </w:rPr>
                    <w:t>2）优选运输线路，避免长途运输，减轻扬尘和噪声污染影响；</w:t>
                  </w:r>
                </w:p>
                <w:p w14:paraId="5A5E2EBB">
                  <w:pPr>
                    <w:pStyle w:val="82"/>
                    <w:jc w:val="both"/>
                    <w:rPr>
                      <w:rStyle w:val="78"/>
                    </w:rPr>
                  </w:pPr>
                  <w:r>
                    <w:rPr>
                      <w:rStyle w:val="78"/>
                    </w:rPr>
                    <w:t>3）制定合适的运输计划，避开现有道路交通高峰期</w:t>
                  </w:r>
                </w:p>
              </w:tc>
            </w:tr>
            <w:tr w14:paraId="5978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445" w:type="pct"/>
                  <w:shd w:val="clear" w:color="auto" w:fill="auto"/>
                  <w:vAlign w:val="center"/>
                </w:tcPr>
                <w:p w14:paraId="5C750B84">
                  <w:pPr>
                    <w:pStyle w:val="82"/>
                    <w:rPr>
                      <w:rStyle w:val="78"/>
                    </w:rPr>
                  </w:pPr>
                  <w:r>
                    <w:rPr>
                      <w:rStyle w:val="78"/>
                    </w:rPr>
                    <w:t>3</w:t>
                  </w:r>
                </w:p>
              </w:tc>
              <w:tc>
                <w:tcPr>
                  <w:tcW w:w="760" w:type="pct"/>
                  <w:shd w:val="clear" w:color="auto" w:fill="auto"/>
                  <w:vAlign w:val="center"/>
                </w:tcPr>
                <w:p w14:paraId="1147B626">
                  <w:pPr>
                    <w:pStyle w:val="82"/>
                    <w:rPr>
                      <w:rStyle w:val="78"/>
                    </w:rPr>
                  </w:pPr>
                  <w:r>
                    <w:rPr>
                      <w:rStyle w:val="78"/>
                    </w:rPr>
                    <w:t>施工材料堆放</w:t>
                  </w:r>
                </w:p>
              </w:tc>
              <w:tc>
                <w:tcPr>
                  <w:tcW w:w="1096" w:type="pct"/>
                  <w:shd w:val="clear" w:color="auto" w:fill="auto"/>
                  <w:vAlign w:val="center"/>
                </w:tcPr>
                <w:p w14:paraId="07239890">
                  <w:pPr>
                    <w:pStyle w:val="82"/>
                    <w:rPr>
                      <w:rStyle w:val="78"/>
                    </w:rPr>
                  </w:pPr>
                  <w:r>
                    <w:rPr>
                      <w:rStyle w:val="78"/>
                    </w:rPr>
                    <w:t>沙、渣土、灰土等易产生扬尘的物料，必须采取覆盖等防尘措施</w:t>
                  </w:r>
                </w:p>
              </w:tc>
              <w:tc>
                <w:tcPr>
                  <w:tcW w:w="2700" w:type="pct"/>
                  <w:shd w:val="clear" w:color="auto" w:fill="auto"/>
                  <w:vAlign w:val="center"/>
                </w:tcPr>
                <w:p w14:paraId="7BA08E19">
                  <w:pPr>
                    <w:pStyle w:val="82"/>
                    <w:jc w:val="both"/>
                    <w:rPr>
                      <w:rStyle w:val="78"/>
                    </w:rPr>
                  </w:pPr>
                  <w:r>
                    <w:rPr>
                      <w:rStyle w:val="78"/>
                    </w:rPr>
                    <w:t>施工材料应备有临时遮挡的帆布，防止大风暴雨冲刷通过地表径流而进入水体</w:t>
                  </w:r>
                </w:p>
              </w:tc>
            </w:tr>
            <w:tr w14:paraId="0DA2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445" w:type="pct"/>
                  <w:shd w:val="clear" w:color="auto" w:fill="auto"/>
                  <w:vAlign w:val="center"/>
                </w:tcPr>
                <w:p w14:paraId="757005AA">
                  <w:pPr>
                    <w:pStyle w:val="82"/>
                    <w:rPr>
                      <w:rStyle w:val="78"/>
                    </w:rPr>
                  </w:pPr>
                  <w:r>
                    <w:rPr>
                      <w:rStyle w:val="78"/>
                    </w:rPr>
                    <w:t>4</w:t>
                  </w:r>
                </w:p>
              </w:tc>
              <w:tc>
                <w:tcPr>
                  <w:tcW w:w="760" w:type="pct"/>
                  <w:shd w:val="clear" w:color="auto" w:fill="auto"/>
                  <w:vAlign w:val="center"/>
                </w:tcPr>
                <w:p w14:paraId="504E01FB">
                  <w:pPr>
                    <w:pStyle w:val="82"/>
                    <w:rPr>
                      <w:rStyle w:val="78"/>
                    </w:rPr>
                  </w:pPr>
                  <w:r>
                    <w:rPr>
                      <w:rStyle w:val="78"/>
                    </w:rPr>
                    <w:t>施工噪声</w:t>
                  </w:r>
                </w:p>
              </w:tc>
              <w:tc>
                <w:tcPr>
                  <w:tcW w:w="1096" w:type="pct"/>
                  <w:shd w:val="clear" w:color="auto" w:fill="auto"/>
                  <w:vAlign w:val="center"/>
                </w:tcPr>
                <w:p w14:paraId="5BAED658">
                  <w:pPr>
                    <w:pStyle w:val="82"/>
                    <w:rPr>
                      <w:rStyle w:val="78"/>
                    </w:rPr>
                  </w:pPr>
                  <w:r>
                    <w:rPr>
                      <w:rStyle w:val="78"/>
                    </w:rPr>
                    <w:t>施工期噪声达标排放</w:t>
                  </w:r>
                </w:p>
              </w:tc>
              <w:tc>
                <w:tcPr>
                  <w:tcW w:w="2700" w:type="pct"/>
                  <w:shd w:val="clear" w:color="auto" w:fill="auto"/>
                  <w:vAlign w:val="center"/>
                </w:tcPr>
                <w:p w14:paraId="5D61D7D7">
                  <w:pPr>
                    <w:pStyle w:val="82"/>
                    <w:jc w:val="both"/>
                    <w:rPr>
                      <w:rStyle w:val="78"/>
                    </w:rPr>
                  </w:pPr>
                  <w:r>
                    <w:rPr>
                      <w:rStyle w:val="78"/>
                    </w:rPr>
                    <w:t>施工期严格落实噪声污染防治措施，施工噪声排放严格执行《建筑施工场界环境噪声排放标准》（GB12523-2011）中相应的标准限值要求</w:t>
                  </w:r>
                </w:p>
              </w:tc>
            </w:tr>
            <w:tr w14:paraId="0EBF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445" w:type="pct"/>
                  <w:shd w:val="clear" w:color="auto" w:fill="auto"/>
                  <w:vAlign w:val="center"/>
                </w:tcPr>
                <w:p w14:paraId="256BC601">
                  <w:pPr>
                    <w:pStyle w:val="82"/>
                    <w:rPr>
                      <w:rStyle w:val="78"/>
                    </w:rPr>
                  </w:pPr>
                  <w:r>
                    <w:rPr>
                      <w:rStyle w:val="78"/>
                    </w:rPr>
                    <w:t>5</w:t>
                  </w:r>
                </w:p>
              </w:tc>
              <w:tc>
                <w:tcPr>
                  <w:tcW w:w="760" w:type="pct"/>
                  <w:shd w:val="clear" w:color="auto" w:fill="auto"/>
                  <w:vAlign w:val="center"/>
                </w:tcPr>
                <w:p w14:paraId="0860C0AA">
                  <w:pPr>
                    <w:pStyle w:val="82"/>
                    <w:rPr>
                      <w:rStyle w:val="78"/>
                    </w:rPr>
                  </w:pPr>
                  <w:r>
                    <w:rPr>
                      <w:rStyle w:val="78"/>
                    </w:rPr>
                    <w:t>施工固废</w:t>
                  </w:r>
                </w:p>
              </w:tc>
              <w:tc>
                <w:tcPr>
                  <w:tcW w:w="1096" w:type="pct"/>
                  <w:shd w:val="clear" w:color="auto" w:fill="auto"/>
                  <w:vAlign w:val="center"/>
                </w:tcPr>
                <w:p w14:paraId="02CBE1A0">
                  <w:pPr>
                    <w:pStyle w:val="82"/>
                    <w:rPr>
                      <w:rStyle w:val="78"/>
                    </w:rPr>
                  </w:pPr>
                  <w:r>
                    <w:rPr>
                      <w:rStyle w:val="78"/>
                    </w:rPr>
                    <w:t>生活垃圾、施工建设垃圾</w:t>
                  </w:r>
                </w:p>
              </w:tc>
              <w:tc>
                <w:tcPr>
                  <w:tcW w:w="2700" w:type="pct"/>
                  <w:shd w:val="clear" w:color="auto" w:fill="auto"/>
                  <w:vAlign w:val="center"/>
                </w:tcPr>
                <w:p w14:paraId="629B5C83">
                  <w:pPr>
                    <w:pStyle w:val="82"/>
                    <w:jc w:val="both"/>
                    <w:rPr>
                      <w:rStyle w:val="78"/>
                    </w:rPr>
                  </w:pPr>
                  <w:r>
                    <w:rPr>
                      <w:rStyle w:val="78"/>
                    </w:rPr>
                    <w:t>1）生活垃圾分类收集后，交由当地环卫部门统一清运处理处置；</w:t>
                  </w:r>
                </w:p>
                <w:p w14:paraId="7D38FFEE">
                  <w:pPr>
                    <w:pStyle w:val="82"/>
                    <w:jc w:val="both"/>
                    <w:rPr>
                      <w:rStyle w:val="78"/>
                    </w:rPr>
                  </w:pPr>
                  <w:r>
                    <w:rPr>
                      <w:rStyle w:val="78"/>
                    </w:rPr>
                    <w:t>2）建筑垃圾运输至城市管理部门指定的建筑垃圾填埋场/弃置场</w:t>
                  </w:r>
                  <w:r>
                    <w:rPr>
                      <w:rStyle w:val="78"/>
                      <w:rFonts w:hint="eastAsia"/>
                    </w:rPr>
                    <w:t>。</w:t>
                  </w:r>
                </w:p>
              </w:tc>
            </w:tr>
            <w:tr w14:paraId="1BCD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445" w:type="pct"/>
                  <w:shd w:val="clear" w:color="auto" w:fill="auto"/>
                  <w:vAlign w:val="center"/>
                </w:tcPr>
                <w:p w14:paraId="5AD432C9">
                  <w:pPr>
                    <w:pStyle w:val="82"/>
                    <w:rPr>
                      <w:rStyle w:val="78"/>
                    </w:rPr>
                  </w:pPr>
                  <w:r>
                    <w:rPr>
                      <w:rStyle w:val="78"/>
                    </w:rPr>
                    <w:t>6</w:t>
                  </w:r>
                </w:p>
              </w:tc>
              <w:tc>
                <w:tcPr>
                  <w:tcW w:w="760" w:type="pct"/>
                  <w:shd w:val="clear" w:color="auto" w:fill="auto"/>
                  <w:vAlign w:val="center"/>
                </w:tcPr>
                <w:p w14:paraId="219DC96A">
                  <w:pPr>
                    <w:pStyle w:val="82"/>
                    <w:rPr>
                      <w:rStyle w:val="78"/>
                    </w:rPr>
                  </w:pPr>
                  <w:r>
                    <w:rPr>
                      <w:rStyle w:val="78"/>
                    </w:rPr>
                    <w:t>施工废水</w:t>
                  </w:r>
                </w:p>
              </w:tc>
              <w:tc>
                <w:tcPr>
                  <w:tcW w:w="1096" w:type="pct"/>
                  <w:shd w:val="clear" w:color="auto" w:fill="auto"/>
                  <w:vAlign w:val="center"/>
                </w:tcPr>
                <w:p w14:paraId="3D44BA87">
                  <w:pPr>
                    <w:pStyle w:val="82"/>
                    <w:rPr>
                      <w:rStyle w:val="78"/>
                    </w:rPr>
                  </w:pPr>
                  <w:r>
                    <w:rPr>
                      <w:rStyle w:val="78"/>
                    </w:rPr>
                    <w:t>施工生产废水及生活污水</w:t>
                  </w:r>
                </w:p>
              </w:tc>
              <w:tc>
                <w:tcPr>
                  <w:tcW w:w="2700" w:type="pct"/>
                  <w:shd w:val="clear" w:color="auto" w:fill="auto"/>
                  <w:vAlign w:val="center"/>
                </w:tcPr>
                <w:p w14:paraId="10B4B0C7">
                  <w:pPr>
                    <w:pStyle w:val="82"/>
                    <w:jc w:val="both"/>
                    <w:rPr>
                      <w:rStyle w:val="78"/>
                    </w:rPr>
                  </w:pPr>
                  <w:r>
                    <w:rPr>
                      <w:rStyle w:val="78"/>
                    </w:rPr>
                    <w:t>1）生产废水经过临时</w:t>
                  </w:r>
                  <w:r>
                    <w:rPr>
                      <w:rStyle w:val="78"/>
                      <w:rFonts w:hint="eastAsia"/>
                    </w:rPr>
                    <w:t>沉淀</w:t>
                  </w:r>
                  <w:r>
                    <w:rPr>
                      <w:rStyle w:val="78"/>
                    </w:rPr>
                    <w:t>池沉淀处理后全部回用，不外排；</w:t>
                  </w:r>
                </w:p>
                <w:p w14:paraId="7EEE6CB3">
                  <w:pPr>
                    <w:pStyle w:val="82"/>
                    <w:jc w:val="both"/>
                    <w:rPr>
                      <w:rStyle w:val="78"/>
                    </w:rPr>
                  </w:pPr>
                  <w:r>
                    <w:rPr>
                      <w:rStyle w:val="78"/>
                    </w:rPr>
                    <w:t>2）生活污水</w:t>
                  </w:r>
                  <w:r>
                    <w:rPr>
                      <w:rStyle w:val="78"/>
                      <w:rFonts w:hint="eastAsia"/>
                    </w:rPr>
                    <w:t>依托</w:t>
                  </w:r>
                  <w:r>
                    <w:rPr>
                      <w:rStyle w:val="78"/>
                    </w:rPr>
                    <w:t>周边村庄污水处理设施。</w:t>
                  </w:r>
                </w:p>
              </w:tc>
            </w:tr>
            <w:tr w14:paraId="390A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445" w:type="pct"/>
                  <w:shd w:val="clear" w:color="auto" w:fill="auto"/>
                  <w:vAlign w:val="center"/>
                </w:tcPr>
                <w:p w14:paraId="23B468DB">
                  <w:pPr>
                    <w:pStyle w:val="82"/>
                    <w:rPr>
                      <w:rStyle w:val="78"/>
                    </w:rPr>
                  </w:pPr>
                  <w:r>
                    <w:rPr>
                      <w:rStyle w:val="78"/>
                    </w:rPr>
                    <w:t>7</w:t>
                  </w:r>
                </w:p>
              </w:tc>
              <w:tc>
                <w:tcPr>
                  <w:tcW w:w="760" w:type="pct"/>
                  <w:shd w:val="clear" w:color="auto" w:fill="auto"/>
                  <w:vAlign w:val="center"/>
                </w:tcPr>
                <w:p w14:paraId="11C555C6">
                  <w:pPr>
                    <w:pStyle w:val="82"/>
                    <w:rPr>
                      <w:rStyle w:val="78"/>
                    </w:rPr>
                  </w:pPr>
                  <w:r>
                    <w:rPr>
                      <w:rStyle w:val="78"/>
                    </w:rPr>
                    <w:t>施工管理</w:t>
                  </w:r>
                </w:p>
              </w:tc>
              <w:tc>
                <w:tcPr>
                  <w:tcW w:w="1096" w:type="pct"/>
                  <w:shd w:val="clear" w:color="auto" w:fill="auto"/>
                  <w:vAlign w:val="center"/>
                </w:tcPr>
                <w:p w14:paraId="5A7858E8">
                  <w:pPr>
                    <w:pStyle w:val="82"/>
                    <w:rPr>
                      <w:rStyle w:val="78"/>
                    </w:rPr>
                  </w:pPr>
                  <w:r>
                    <w:rPr>
                      <w:rStyle w:val="78"/>
                    </w:rPr>
                    <w:t>/</w:t>
                  </w:r>
                </w:p>
              </w:tc>
              <w:tc>
                <w:tcPr>
                  <w:tcW w:w="2700" w:type="pct"/>
                  <w:shd w:val="clear" w:color="auto" w:fill="auto"/>
                  <w:vAlign w:val="center"/>
                </w:tcPr>
                <w:p w14:paraId="55F79D2A">
                  <w:pPr>
                    <w:pStyle w:val="82"/>
                    <w:jc w:val="both"/>
                    <w:rPr>
                      <w:rStyle w:val="78"/>
                    </w:rPr>
                  </w:pPr>
                  <w:r>
                    <w:rPr>
                      <w:rStyle w:val="78"/>
                    </w:rPr>
                    <w:t>1）应提高环保意识，加强施工现场的环境管理，合理安排施工计划，切实做到组织计划严谨，文明施工</w:t>
                  </w:r>
                  <w:r>
                    <w:rPr>
                      <w:rStyle w:val="78"/>
                      <w:rFonts w:hint="eastAsia"/>
                    </w:rPr>
                    <w:t>；</w:t>
                  </w:r>
                </w:p>
                <w:p w14:paraId="175528C8">
                  <w:pPr>
                    <w:pStyle w:val="82"/>
                    <w:jc w:val="both"/>
                    <w:rPr>
                      <w:rStyle w:val="78"/>
                    </w:rPr>
                  </w:pPr>
                  <w:r>
                    <w:rPr>
                      <w:rStyle w:val="78"/>
                    </w:rPr>
                    <w:t>2）工程施工完毕后施工单位及时清理和恢复施工现场，妥善处理施工弃渣，减少扬尘。</w:t>
                  </w:r>
                </w:p>
              </w:tc>
            </w:tr>
          </w:tbl>
          <w:p w14:paraId="56DDD544">
            <w:pPr>
              <w:adjustRightInd w:val="0"/>
              <w:snapToGrid w:val="0"/>
              <w:spacing w:line="360" w:lineRule="auto"/>
              <w:ind w:firstLine="480" w:firstLineChars="200"/>
              <w:rPr>
                <w:kern w:val="0"/>
                <w:sz w:val="24"/>
              </w:rPr>
            </w:pPr>
            <w:r>
              <w:rPr>
                <w:rFonts w:hint="eastAsia"/>
                <w:kern w:val="0"/>
                <w:sz w:val="24"/>
              </w:rPr>
              <w:t>2、</w:t>
            </w:r>
            <w:r>
              <w:rPr>
                <w:kern w:val="0"/>
                <w:sz w:val="24"/>
              </w:rPr>
              <w:t>运营期环境管理计划</w:t>
            </w:r>
          </w:p>
          <w:p w14:paraId="174B6BB2">
            <w:pPr>
              <w:pStyle w:val="15"/>
              <w:ind w:left="0" w:leftChars="0"/>
              <w:rPr>
                <w:rFonts w:eastAsia="宋体" w:cs="Times New Roman"/>
                <w:b w:val="0"/>
                <w:bCs/>
              </w:rPr>
            </w:pPr>
            <w:r>
              <w:rPr>
                <w:rFonts w:eastAsia="宋体" w:cs="Times New Roman"/>
                <w:b w:val="0"/>
                <w:bCs/>
              </w:rPr>
              <w:t>项目运营期管理计划见表5-2。</w:t>
            </w:r>
          </w:p>
          <w:p w14:paraId="436F44E9">
            <w:pPr>
              <w:pStyle w:val="18"/>
              <w:spacing w:before="0"/>
              <w:ind w:left="840" w:hanging="420"/>
            </w:pPr>
            <w:r>
              <w:t>表5-2  运营期环境管理计划表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1266"/>
              <w:gridCol w:w="6452"/>
            </w:tblGrid>
            <w:tr w14:paraId="456F1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Align w:val="center"/>
                </w:tcPr>
                <w:p w14:paraId="1EB36FCB">
                  <w:pPr>
                    <w:adjustRightInd w:val="0"/>
                    <w:snapToGrid w:val="0"/>
                    <w:jc w:val="center"/>
                    <w:rPr>
                      <w:kern w:val="0"/>
                      <w:szCs w:val="21"/>
                    </w:rPr>
                  </w:pPr>
                  <w:r>
                    <w:rPr>
                      <w:kern w:val="0"/>
                      <w:szCs w:val="21"/>
                    </w:rPr>
                    <w:t>序号</w:t>
                  </w:r>
                </w:p>
              </w:tc>
              <w:tc>
                <w:tcPr>
                  <w:tcW w:w="755" w:type="pct"/>
                  <w:vAlign w:val="center"/>
                </w:tcPr>
                <w:p w14:paraId="64D48DB8">
                  <w:pPr>
                    <w:adjustRightInd w:val="0"/>
                    <w:snapToGrid w:val="0"/>
                    <w:jc w:val="center"/>
                    <w:rPr>
                      <w:kern w:val="0"/>
                      <w:szCs w:val="21"/>
                    </w:rPr>
                  </w:pPr>
                  <w:r>
                    <w:rPr>
                      <w:kern w:val="0"/>
                      <w:szCs w:val="21"/>
                    </w:rPr>
                    <w:t>管理内容</w:t>
                  </w:r>
                </w:p>
              </w:tc>
              <w:tc>
                <w:tcPr>
                  <w:tcW w:w="3846" w:type="pct"/>
                  <w:vAlign w:val="center"/>
                </w:tcPr>
                <w:p w14:paraId="494DB6EB">
                  <w:pPr>
                    <w:adjustRightInd w:val="0"/>
                    <w:snapToGrid w:val="0"/>
                    <w:jc w:val="center"/>
                    <w:rPr>
                      <w:kern w:val="0"/>
                      <w:szCs w:val="21"/>
                    </w:rPr>
                  </w:pPr>
                  <w:r>
                    <w:rPr>
                      <w:kern w:val="0"/>
                      <w:szCs w:val="21"/>
                    </w:rPr>
                    <w:t>环境管理要求</w:t>
                  </w:r>
                </w:p>
              </w:tc>
            </w:tr>
            <w:tr w14:paraId="23A6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Align w:val="center"/>
                </w:tcPr>
                <w:p w14:paraId="52F1F921">
                  <w:pPr>
                    <w:adjustRightInd w:val="0"/>
                    <w:snapToGrid w:val="0"/>
                    <w:jc w:val="center"/>
                    <w:rPr>
                      <w:kern w:val="0"/>
                      <w:szCs w:val="21"/>
                    </w:rPr>
                  </w:pPr>
                  <w:r>
                    <w:rPr>
                      <w:kern w:val="0"/>
                      <w:szCs w:val="21"/>
                    </w:rPr>
                    <w:t>1</w:t>
                  </w:r>
                </w:p>
              </w:tc>
              <w:tc>
                <w:tcPr>
                  <w:tcW w:w="755" w:type="pct"/>
                  <w:vAlign w:val="center"/>
                </w:tcPr>
                <w:p w14:paraId="27EF3EA8">
                  <w:pPr>
                    <w:adjustRightInd w:val="0"/>
                    <w:snapToGrid w:val="0"/>
                    <w:jc w:val="center"/>
                    <w:rPr>
                      <w:kern w:val="0"/>
                      <w:szCs w:val="21"/>
                    </w:rPr>
                  </w:pPr>
                  <w:r>
                    <w:rPr>
                      <w:kern w:val="0"/>
                      <w:szCs w:val="21"/>
                    </w:rPr>
                    <w:t>交通</w:t>
                  </w:r>
                </w:p>
                <w:p w14:paraId="20437A71">
                  <w:pPr>
                    <w:adjustRightInd w:val="0"/>
                    <w:snapToGrid w:val="0"/>
                    <w:jc w:val="center"/>
                    <w:rPr>
                      <w:kern w:val="0"/>
                      <w:szCs w:val="21"/>
                    </w:rPr>
                  </w:pPr>
                  <w:r>
                    <w:rPr>
                      <w:kern w:val="0"/>
                      <w:szCs w:val="21"/>
                    </w:rPr>
                    <w:t>噪声</w:t>
                  </w:r>
                </w:p>
              </w:tc>
              <w:tc>
                <w:tcPr>
                  <w:tcW w:w="3846" w:type="pct"/>
                </w:tcPr>
                <w:p w14:paraId="57BCF87F">
                  <w:pPr>
                    <w:adjustRightInd w:val="0"/>
                    <w:snapToGrid w:val="0"/>
                  </w:pPr>
                  <w:r>
                    <w:t>1）加强交通管理，严格执行限速和禁止超载等交通规则；</w:t>
                  </w:r>
                </w:p>
                <w:p w14:paraId="079609DD">
                  <w:pPr>
                    <w:adjustRightInd w:val="0"/>
                    <w:snapToGrid w:val="0"/>
                  </w:pPr>
                  <w:r>
                    <w:t>2）沿线设置禁止鸣笛标志；</w:t>
                  </w:r>
                </w:p>
                <w:p w14:paraId="22052214">
                  <w:pPr>
                    <w:adjustRightInd w:val="0"/>
                    <w:snapToGrid w:val="0"/>
                  </w:pPr>
                  <w:r>
                    <w:t>3）加强路面养护，保证</w:t>
                  </w:r>
                  <w:r>
                    <w:rPr>
                      <w:rFonts w:hint="eastAsia"/>
                    </w:rPr>
                    <w:t>道</w:t>
                  </w:r>
                  <w:r>
                    <w:t>路</w:t>
                  </w:r>
                  <w:r>
                    <w:rPr>
                      <w:rFonts w:hint="eastAsia"/>
                    </w:rPr>
                    <w:t>路</w:t>
                  </w:r>
                  <w:r>
                    <w:t>况良好；</w:t>
                  </w:r>
                </w:p>
                <w:p w14:paraId="39F914FC">
                  <w:pPr>
                    <w:pStyle w:val="25"/>
                    <w:ind w:left="0" w:leftChars="0" w:firstLine="0" w:firstLineChars="0"/>
                    <w:rPr>
                      <w:szCs w:val="21"/>
                    </w:rPr>
                  </w:pPr>
                  <w:r>
                    <w:rPr>
                      <w:szCs w:val="21"/>
                    </w:rPr>
                    <w:t>4）</w:t>
                  </w:r>
                  <w:r>
                    <w:rPr>
                      <w:rFonts w:hint="eastAsia"/>
                      <w:szCs w:val="21"/>
                    </w:rPr>
                    <w:t>敏感点噪声防治</w:t>
                  </w:r>
                  <w:r>
                    <w:rPr>
                      <w:szCs w:val="21"/>
                    </w:rPr>
                    <w:t>措施落实。</w:t>
                  </w:r>
                </w:p>
              </w:tc>
            </w:tr>
            <w:tr w14:paraId="1BAC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Align w:val="center"/>
                </w:tcPr>
                <w:p w14:paraId="52CB5407">
                  <w:pPr>
                    <w:adjustRightInd w:val="0"/>
                    <w:snapToGrid w:val="0"/>
                    <w:jc w:val="center"/>
                    <w:rPr>
                      <w:kern w:val="0"/>
                      <w:szCs w:val="21"/>
                    </w:rPr>
                  </w:pPr>
                  <w:r>
                    <w:rPr>
                      <w:kern w:val="0"/>
                      <w:szCs w:val="21"/>
                    </w:rPr>
                    <w:t>2</w:t>
                  </w:r>
                </w:p>
              </w:tc>
              <w:tc>
                <w:tcPr>
                  <w:tcW w:w="755" w:type="pct"/>
                  <w:vAlign w:val="center"/>
                </w:tcPr>
                <w:p w14:paraId="5D63619D">
                  <w:pPr>
                    <w:adjustRightInd w:val="0"/>
                    <w:snapToGrid w:val="0"/>
                    <w:jc w:val="center"/>
                    <w:rPr>
                      <w:kern w:val="0"/>
                      <w:szCs w:val="21"/>
                    </w:rPr>
                  </w:pPr>
                  <w:r>
                    <w:rPr>
                      <w:kern w:val="0"/>
                      <w:szCs w:val="21"/>
                    </w:rPr>
                    <w:t>大气</w:t>
                  </w:r>
                </w:p>
                <w:p w14:paraId="48A4B268">
                  <w:pPr>
                    <w:adjustRightInd w:val="0"/>
                    <w:snapToGrid w:val="0"/>
                    <w:jc w:val="center"/>
                    <w:rPr>
                      <w:kern w:val="0"/>
                      <w:szCs w:val="21"/>
                    </w:rPr>
                  </w:pPr>
                  <w:r>
                    <w:rPr>
                      <w:kern w:val="0"/>
                      <w:szCs w:val="21"/>
                    </w:rPr>
                    <w:t>污染</w:t>
                  </w:r>
                </w:p>
              </w:tc>
              <w:tc>
                <w:tcPr>
                  <w:tcW w:w="3846" w:type="pct"/>
                </w:tcPr>
                <w:p w14:paraId="715D089C">
                  <w:pPr>
                    <w:adjustRightInd w:val="0"/>
                    <w:snapToGrid w:val="0"/>
                  </w:pPr>
                  <w:r>
                    <w:t>1）加强道路两侧绿化植被的日常养护管理；</w:t>
                  </w:r>
                </w:p>
                <w:p w14:paraId="192037CB">
                  <w:pPr>
                    <w:adjustRightInd w:val="0"/>
                    <w:snapToGrid w:val="0"/>
                  </w:pPr>
                  <w:r>
                    <w:t>2）加强路面及交通设施的养护管理，机动车辆保持良好的运行工况；</w:t>
                  </w:r>
                </w:p>
                <w:p w14:paraId="0409289D">
                  <w:pPr>
                    <w:adjustRightInd w:val="0"/>
                    <w:snapToGrid w:val="0"/>
                  </w:pPr>
                  <w:r>
                    <w:t>3）对路面进行定期洒水、清扫；</w:t>
                  </w:r>
                </w:p>
                <w:p w14:paraId="6E67B58C">
                  <w:pPr>
                    <w:adjustRightInd w:val="0"/>
                    <w:snapToGrid w:val="0"/>
                  </w:pPr>
                  <w:r>
                    <w:rPr>
                      <w:rFonts w:hint="eastAsia"/>
                    </w:rPr>
                    <w:t>4</w:t>
                  </w:r>
                  <w:r>
                    <w:t>）易产生扬尘污染的物料密闭运输；</w:t>
                  </w:r>
                </w:p>
              </w:tc>
            </w:tr>
            <w:tr w14:paraId="38C7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Align w:val="center"/>
                </w:tcPr>
                <w:p w14:paraId="490E6DB8">
                  <w:pPr>
                    <w:adjustRightInd w:val="0"/>
                    <w:snapToGrid w:val="0"/>
                    <w:jc w:val="center"/>
                    <w:rPr>
                      <w:kern w:val="0"/>
                      <w:szCs w:val="21"/>
                    </w:rPr>
                  </w:pPr>
                  <w:r>
                    <w:rPr>
                      <w:rFonts w:hint="eastAsia"/>
                      <w:kern w:val="0"/>
                      <w:szCs w:val="21"/>
                    </w:rPr>
                    <w:t>3</w:t>
                  </w:r>
                </w:p>
              </w:tc>
              <w:tc>
                <w:tcPr>
                  <w:tcW w:w="755" w:type="pct"/>
                  <w:vAlign w:val="center"/>
                </w:tcPr>
                <w:p w14:paraId="49940CF3">
                  <w:pPr>
                    <w:adjustRightInd w:val="0"/>
                    <w:snapToGrid w:val="0"/>
                    <w:jc w:val="center"/>
                    <w:rPr>
                      <w:kern w:val="0"/>
                      <w:szCs w:val="21"/>
                    </w:rPr>
                  </w:pPr>
                  <w:r>
                    <w:rPr>
                      <w:kern w:val="0"/>
                      <w:szCs w:val="21"/>
                    </w:rPr>
                    <w:t>固体</w:t>
                  </w:r>
                </w:p>
                <w:p w14:paraId="4FC1AFB3">
                  <w:pPr>
                    <w:adjustRightInd w:val="0"/>
                    <w:snapToGrid w:val="0"/>
                    <w:jc w:val="center"/>
                    <w:rPr>
                      <w:kern w:val="0"/>
                      <w:szCs w:val="21"/>
                    </w:rPr>
                  </w:pPr>
                  <w:r>
                    <w:rPr>
                      <w:kern w:val="0"/>
                      <w:szCs w:val="21"/>
                    </w:rPr>
                    <w:t>废物</w:t>
                  </w:r>
                </w:p>
              </w:tc>
              <w:tc>
                <w:tcPr>
                  <w:tcW w:w="3846" w:type="pct"/>
                </w:tcPr>
                <w:p w14:paraId="547E55AB">
                  <w:pPr>
                    <w:adjustRightInd w:val="0"/>
                    <w:snapToGrid w:val="0"/>
                    <w:rPr>
                      <w:lang w:val="zh-CN"/>
                    </w:rPr>
                  </w:pPr>
                  <w:r>
                    <w:rPr>
                      <w:lang w:val="zh-CN"/>
                    </w:rPr>
                    <w:t>1）加强</w:t>
                  </w:r>
                  <w:r>
                    <w:t>道路</w:t>
                  </w:r>
                  <w:r>
                    <w:rPr>
                      <w:lang w:val="zh-CN"/>
                    </w:rPr>
                    <w:t>环保宣传力度，增强群众环保意识，杜绝交通垃圾沿路随意丢弃；</w:t>
                  </w:r>
                </w:p>
                <w:p w14:paraId="0DA973B1">
                  <w:pPr>
                    <w:adjustRightInd w:val="0"/>
                    <w:snapToGrid w:val="0"/>
                    <w:rPr>
                      <w:lang w:val="zh-CN"/>
                    </w:rPr>
                  </w:pPr>
                  <w:r>
                    <w:rPr>
                      <w:lang w:val="zh-CN"/>
                    </w:rPr>
                    <w:t>2）定期对路面进行清扫；</w:t>
                  </w:r>
                </w:p>
              </w:tc>
            </w:tr>
            <w:tr w14:paraId="5F1B7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9" w:type="pct"/>
                  <w:vAlign w:val="center"/>
                </w:tcPr>
                <w:p w14:paraId="6A4315F0">
                  <w:pPr>
                    <w:adjustRightInd w:val="0"/>
                    <w:snapToGrid w:val="0"/>
                    <w:jc w:val="center"/>
                    <w:rPr>
                      <w:kern w:val="0"/>
                      <w:szCs w:val="21"/>
                    </w:rPr>
                  </w:pPr>
                  <w:r>
                    <w:rPr>
                      <w:rFonts w:hint="eastAsia"/>
                      <w:kern w:val="0"/>
                      <w:szCs w:val="21"/>
                    </w:rPr>
                    <w:t>4</w:t>
                  </w:r>
                </w:p>
              </w:tc>
              <w:tc>
                <w:tcPr>
                  <w:tcW w:w="755" w:type="pct"/>
                  <w:vAlign w:val="center"/>
                </w:tcPr>
                <w:p w14:paraId="2AAD9552">
                  <w:pPr>
                    <w:adjustRightInd w:val="0"/>
                    <w:snapToGrid w:val="0"/>
                    <w:jc w:val="center"/>
                    <w:rPr>
                      <w:kern w:val="0"/>
                      <w:szCs w:val="21"/>
                    </w:rPr>
                  </w:pPr>
                  <w:r>
                    <w:rPr>
                      <w:kern w:val="0"/>
                      <w:szCs w:val="21"/>
                    </w:rPr>
                    <w:t>生态</w:t>
                  </w:r>
                </w:p>
                <w:p w14:paraId="60462B4D">
                  <w:pPr>
                    <w:adjustRightInd w:val="0"/>
                    <w:snapToGrid w:val="0"/>
                    <w:jc w:val="center"/>
                    <w:rPr>
                      <w:kern w:val="0"/>
                      <w:szCs w:val="21"/>
                    </w:rPr>
                  </w:pPr>
                  <w:r>
                    <w:rPr>
                      <w:kern w:val="0"/>
                      <w:szCs w:val="21"/>
                    </w:rPr>
                    <w:t>绿化</w:t>
                  </w:r>
                </w:p>
              </w:tc>
              <w:tc>
                <w:tcPr>
                  <w:tcW w:w="3846" w:type="pct"/>
                </w:tcPr>
                <w:p w14:paraId="7EF811DE">
                  <w:pPr>
                    <w:adjustRightInd w:val="0"/>
                    <w:snapToGrid w:val="0"/>
                    <w:rPr>
                      <w:lang w:val="zh-CN"/>
                    </w:rPr>
                  </w:pPr>
                  <w:r>
                    <w:rPr>
                      <w:lang w:val="zh-CN"/>
                    </w:rPr>
                    <w:t>1）加强绿化植被的培育和管理；</w:t>
                  </w:r>
                </w:p>
                <w:p w14:paraId="0DD27D3E">
                  <w:pPr>
                    <w:adjustRightInd w:val="0"/>
                    <w:snapToGrid w:val="0"/>
                  </w:pPr>
                  <w:r>
                    <w:rPr>
                      <w:lang w:val="zh-CN"/>
                    </w:rPr>
                    <w:t>2）加强管理和宣传教育，禁止破坏项目沿线</w:t>
                  </w:r>
                  <w:r>
                    <w:t>绿化；</w:t>
                  </w:r>
                </w:p>
              </w:tc>
            </w:tr>
          </w:tbl>
          <w:p w14:paraId="3B95A24A">
            <w:pPr>
              <w:adjustRightInd w:val="0"/>
              <w:snapToGrid w:val="0"/>
              <w:spacing w:line="360" w:lineRule="auto"/>
              <w:rPr>
                <w:b/>
                <w:bCs/>
                <w:kern w:val="0"/>
                <w:sz w:val="24"/>
              </w:rPr>
            </w:pPr>
            <w:r>
              <w:rPr>
                <w:b/>
                <w:bCs/>
                <w:kern w:val="0"/>
                <w:sz w:val="24"/>
              </w:rPr>
              <w:t>二、环境监测计划</w:t>
            </w:r>
          </w:p>
          <w:p w14:paraId="767FCD91">
            <w:pPr>
              <w:spacing w:line="360" w:lineRule="auto"/>
              <w:ind w:firstLine="480" w:firstLineChars="200"/>
              <w:rPr>
                <w:sz w:val="24"/>
              </w:rPr>
            </w:pPr>
            <w:r>
              <w:rPr>
                <w:sz w:val="24"/>
              </w:rPr>
              <w:t>重点监测噪声、大气。施工期和营运期的环境监测计划见表</w:t>
            </w:r>
            <w:r>
              <w:rPr>
                <w:rFonts w:hint="eastAsia"/>
                <w:sz w:val="24"/>
              </w:rPr>
              <w:t>5-3</w:t>
            </w:r>
            <w:r>
              <w:rPr>
                <w:sz w:val="24"/>
              </w:rPr>
              <w:t>。监测单位根据监测合同要求，执行监测计划。按环境监测要求定点和流动监测，定时和不定时抽检相结合的方式进行。</w:t>
            </w:r>
          </w:p>
          <w:p w14:paraId="1FFE27F7">
            <w:pPr>
              <w:adjustRightInd w:val="0"/>
              <w:snapToGrid w:val="0"/>
              <w:spacing w:line="360" w:lineRule="auto"/>
              <w:ind w:firstLine="480" w:firstLineChars="200"/>
              <w:rPr>
                <w:kern w:val="0"/>
                <w:sz w:val="24"/>
              </w:rPr>
            </w:pPr>
            <w:r>
              <w:rPr>
                <w:kern w:val="0"/>
                <w:sz w:val="24"/>
              </w:rPr>
              <w:t>（</w:t>
            </w:r>
            <w:r>
              <w:rPr>
                <w:rFonts w:hint="eastAsia"/>
                <w:kern w:val="0"/>
                <w:sz w:val="24"/>
              </w:rPr>
              <w:t>1</w:t>
            </w:r>
            <w:r>
              <w:rPr>
                <w:kern w:val="0"/>
                <w:sz w:val="24"/>
              </w:rPr>
              <w:t>）环境监测计划</w:t>
            </w:r>
          </w:p>
          <w:p w14:paraId="745004F8">
            <w:pPr>
              <w:adjustRightInd w:val="0"/>
              <w:snapToGrid w:val="0"/>
              <w:spacing w:line="360" w:lineRule="auto"/>
              <w:ind w:firstLine="480" w:firstLineChars="200"/>
              <w:rPr>
                <w:kern w:val="0"/>
                <w:sz w:val="24"/>
              </w:rPr>
            </w:pPr>
            <w:r>
              <w:rPr>
                <w:kern w:val="0"/>
                <w:sz w:val="24"/>
              </w:rPr>
              <w:t>本项目制定环境监测计划见表5-3。</w:t>
            </w:r>
          </w:p>
          <w:p w14:paraId="3CDBA0EB">
            <w:pPr>
              <w:pStyle w:val="18"/>
              <w:ind w:left="840" w:hanging="420"/>
            </w:pPr>
            <w:r>
              <w:t>表5-3  环境质量监测内容及计划</w:t>
            </w:r>
          </w:p>
          <w:tbl>
            <w:tblPr>
              <w:tblStyle w:val="26"/>
              <w:tblW w:w="8390"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804"/>
              <w:gridCol w:w="936"/>
              <w:gridCol w:w="1732"/>
              <w:gridCol w:w="1205"/>
              <w:gridCol w:w="2915"/>
            </w:tblGrid>
            <w:tr w14:paraId="2469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14:paraId="50B936E7">
                  <w:pPr>
                    <w:pStyle w:val="82"/>
                  </w:pPr>
                  <w:r>
                    <w:t>环境</w:t>
                  </w:r>
                </w:p>
                <w:p w14:paraId="6C7C2C75">
                  <w:pPr>
                    <w:pStyle w:val="82"/>
                  </w:pPr>
                  <w:r>
                    <w:t>要素</w:t>
                  </w:r>
                </w:p>
              </w:tc>
              <w:tc>
                <w:tcPr>
                  <w:tcW w:w="479" w:type="pct"/>
                  <w:vAlign w:val="center"/>
                </w:tcPr>
                <w:p w14:paraId="72C27DF6">
                  <w:pPr>
                    <w:pStyle w:val="82"/>
                  </w:pPr>
                  <w:r>
                    <w:t>环境</w:t>
                  </w:r>
                </w:p>
                <w:p w14:paraId="2A673124">
                  <w:pPr>
                    <w:pStyle w:val="82"/>
                  </w:pPr>
                  <w:r>
                    <w:t>因子</w:t>
                  </w:r>
                </w:p>
              </w:tc>
              <w:tc>
                <w:tcPr>
                  <w:tcW w:w="558" w:type="pct"/>
                  <w:vAlign w:val="center"/>
                </w:tcPr>
                <w:p w14:paraId="53D505C6">
                  <w:pPr>
                    <w:pStyle w:val="82"/>
                  </w:pPr>
                  <w:r>
                    <w:t>监测项目</w:t>
                  </w:r>
                </w:p>
              </w:tc>
              <w:tc>
                <w:tcPr>
                  <w:tcW w:w="1032" w:type="pct"/>
                  <w:vAlign w:val="center"/>
                </w:tcPr>
                <w:p w14:paraId="2E4B52A6">
                  <w:pPr>
                    <w:pStyle w:val="82"/>
                  </w:pPr>
                  <w:r>
                    <w:t>监测点位</w:t>
                  </w:r>
                </w:p>
              </w:tc>
              <w:tc>
                <w:tcPr>
                  <w:tcW w:w="718" w:type="pct"/>
                  <w:vAlign w:val="center"/>
                </w:tcPr>
                <w:p w14:paraId="1AAE7C5B">
                  <w:pPr>
                    <w:pStyle w:val="82"/>
                  </w:pPr>
                  <w:r>
                    <w:t>监测时间与频率</w:t>
                  </w:r>
                </w:p>
              </w:tc>
              <w:tc>
                <w:tcPr>
                  <w:tcW w:w="1737" w:type="pct"/>
                  <w:vAlign w:val="center"/>
                </w:tcPr>
                <w:p w14:paraId="32E55E90">
                  <w:pPr>
                    <w:pStyle w:val="82"/>
                  </w:pPr>
                  <w:r>
                    <w:t>执行标准</w:t>
                  </w:r>
                </w:p>
              </w:tc>
            </w:tr>
            <w:tr w14:paraId="40A7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trPr>
              <w:tc>
                <w:tcPr>
                  <w:tcW w:w="476" w:type="pct"/>
                  <w:vMerge w:val="restart"/>
                  <w:vAlign w:val="center"/>
                </w:tcPr>
                <w:p w14:paraId="0251233D">
                  <w:pPr>
                    <w:pStyle w:val="82"/>
                  </w:pPr>
                  <w:r>
                    <w:t>施工期</w:t>
                  </w:r>
                </w:p>
              </w:tc>
              <w:tc>
                <w:tcPr>
                  <w:tcW w:w="479" w:type="pct"/>
                  <w:vAlign w:val="center"/>
                </w:tcPr>
                <w:p w14:paraId="7DC19587">
                  <w:pPr>
                    <w:pStyle w:val="82"/>
                  </w:pPr>
                  <w:r>
                    <w:t>空气环境质量</w:t>
                  </w:r>
                </w:p>
              </w:tc>
              <w:tc>
                <w:tcPr>
                  <w:tcW w:w="558" w:type="pct"/>
                  <w:vAlign w:val="center"/>
                </w:tcPr>
                <w:p w14:paraId="069248FF">
                  <w:pPr>
                    <w:pStyle w:val="82"/>
                  </w:pPr>
                  <w:r>
                    <w:t>TSP</w:t>
                  </w:r>
                </w:p>
              </w:tc>
              <w:tc>
                <w:tcPr>
                  <w:tcW w:w="1032" w:type="pct"/>
                  <w:vAlign w:val="center"/>
                </w:tcPr>
                <w:p w14:paraId="350706E0">
                  <w:pPr>
                    <w:pStyle w:val="82"/>
                  </w:pPr>
                  <w:r>
                    <w:t>施工场地主导风向下风向污染最重区域场界</w:t>
                  </w:r>
                </w:p>
              </w:tc>
              <w:tc>
                <w:tcPr>
                  <w:tcW w:w="718" w:type="pct"/>
                  <w:vAlign w:val="center"/>
                </w:tcPr>
                <w:p w14:paraId="699F879B">
                  <w:pPr>
                    <w:pStyle w:val="82"/>
                  </w:pPr>
                  <w:r>
                    <w:t>施工期监测1次</w:t>
                  </w:r>
                </w:p>
              </w:tc>
              <w:tc>
                <w:tcPr>
                  <w:tcW w:w="1737" w:type="pct"/>
                  <w:vAlign w:val="center"/>
                </w:tcPr>
                <w:p w14:paraId="2822230C">
                  <w:pPr>
                    <w:pStyle w:val="82"/>
                  </w:pPr>
                  <w:r>
                    <w:t>《施工场界扬尘排放限值》（DB61/1078-2017）中的扬尘排放控制要求</w:t>
                  </w:r>
                </w:p>
              </w:tc>
            </w:tr>
            <w:tr w14:paraId="3369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trPr>
              <w:tc>
                <w:tcPr>
                  <w:tcW w:w="476" w:type="pct"/>
                  <w:vMerge w:val="continue"/>
                  <w:vAlign w:val="center"/>
                </w:tcPr>
                <w:p w14:paraId="6B459206">
                  <w:pPr>
                    <w:pStyle w:val="82"/>
                  </w:pPr>
                </w:p>
              </w:tc>
              <w:tc>
                <w:tcPr>
                  <w:tcW w:w="479" w:type="pct"/>
                  <w:vAlign w:val="center"/>
                </w:tcPr>
                <w:p w14:paraId="66FFD1E2">
                  <w:pPr>
                    <w:pStyle w:val="82"/>
                  </w:pPr>
                  <w:r>
                    <w:t>声环境质量</w:t>
                  </w:r>
                </w:p>
              </w:tc>
              <w:tc>
                <w:tcPr>
                  <w:tcW w:w="558" w:type="pct"/>
                  <w:vAlign w:val="center"/>
                </w:tcPr>
                <w:p w14:paraId="7F23C5E8">
                  <w:pPr>
                    <w:pStyle w:val="82"/>
                  </w:pPr>
                  <w:r>
                    <w:t>Leq（A）</w:t>
                  </w:r>
                </w:p>
              </w:tc>
              <w:tc>
                <w:tcPr>
                  <w:tcW w:w="1032" w:type="pct"/>
                  <w:vAlign w:val="center"/>
                </w:tcPr>
                <w:p w14:paraId="1A6C4A52">
                  <w:pPr>
                    <w:pStyle w:val="82"/>
                  </w:pPr>
                  <w:r>
                    <w:t>根据施工进度，对噪声大的工序</w:t>
                  </w:r>
                  <w:r>
                    <w:rPr>
                      <w:rFonts w:hint="eastAsia"/>
                    </w:rPr>
                    <w:t>时</w:t>
                  </w:r>
                  <w:r>
                    <w:t>施工场界外1m</w:t>
                  </w:r>
                  <w:r>
                    <w:rPr>
                      <w:rFonts w:hint="eastAsia"/>
                    </w:rPr>
                    <w:t>外设置1个监测点</w:t>
                  </w:r>
                </w:p>
              </w:tc>
              <w:tc>
                <w:tcPr>
                  <w:tcW w:w="718" w:type="pct"/>
                  <w:vAlign w:val="center"/>
                </w:tcPr>
                <w:p w14:paraId="476BFB23">
                  <w:pPr>
                    <w:pStyle w:val="82"/>
                  </w:pPr>
                  <w:r>
                    <w:t>施工期昼、夜各监测1次</w:t>
                  </w:r>
                </w:p>
              </w:tc>
              <w:tc>
                <w:tcPr>
                  <w:tcW w:w="1737" w:type="pct"/>
                  <w:vAlign w:val="center"/>
                </w:tcPr>
                <w:p w14:paraId="148E5545">
                  <w:pPr>
                    <w:pStyle w:val="82"/>
                  </w:pPr>
                  <w:r>
                    <w:t>噪声排放执行《建筑施工场界环境噪声排放标准》噪声排放限值</w:t>
                  </w:r>
                </w:p>
              </w:tc>
            </w:tr>
          </w:tbl>
          <w:p w14:paraId="2C8617E0">
            <w:pPr>
              <w:adjustRightInd w:val="0"/>
              <w:snapToGrid w:val="0"/>
              <w:spacing w:line="360" w:lineRule="auto"/>
              <w:rPr>
                <w:b/>
                <w:bCs/>
                <w:kern w:val="0"/>
                <w:sz w:val="24"/>
              </w:rPr>
            </w:pPr>
            <w:r>
              <w:rPr>
                <w:rFonts w:hint="eastAsia"/>
                <w:b/>
                <w:bCs/>
                <w:kern w:val="0"/>
                <w:sz w:val="24"/>
              </w:rPr>
              <w:t>三</w:t>
            </w:r>
            <w:r>
              <w:rPr>
                <w:b/>
                <w:bCs/>
                <w:kern w:val="0"/>
                <w:sz w:val="24"/>
              </w:rPr>
              <w:t>、环保设施清单</w:t>
            </w:r>
          </w:p>
          <w:p w14:paraId="2F4EB9A1">
            <w:pPr>
              <w:spacing w:line="360" w:lineRule="auto"/>
              <w:ind w:firstLine="480" w:firstLineChars="200"/>
              <w:rPr>
                <w:sz w:val="24"/>
              </w:rPr>
            </w:pPr>
            <w:r>
              <w:rPr>
                <w:sz w:val="24"/>
              </w:rPr>
              <w:t>项目建成后，建设单位应按照《建设项目竣工环境保护验收暂行办法》中有关规定，及时进行环境保护竣工验收。本项目环境保护验收建议表见表</w:t>
            </w:r>
            <w:r>
              <w:rPr>
                <w:rFonts w:hint="eastAsia"/>
                <w:sz w:val="24"/>
              </w:rPr>
              <w:t>5-4</w:t>
            </w:r>
            <w:r>
              <w:rPr>
                <w:sz w:val="24"/>
              </w:rPr>
              <w:t>。</w:t>
            </w:r>
          </w:p>
          <w:p w14:paraId="7A341360">
            <w:pPr>
              <w:pStyle w:val="70"/>
              <w:spacing w:before="156"/>
            </w:pPr>
            <w:r>
              <w:t>表</w:t>
            </w:r>
            <w:r>
              <w:rPr>
                <w:rFonts w:hint="eastAsia"/>
              </w:rPr>
              <w:t>5-4</w:t>
            </w:r>
            <w:r>
              <w:t xml:space="preserve">   项目环保措施“三同时”验收一览表（建议）</w:t>
            </w:r>
          </w:p>
          <w:tbl>
            <w:tblPr>
              <w:tblStyle w:val="2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705"/>
              <w:gridCol w:w="3651"/>
              <w:gridCol w:w="2169"/>
            </w:tblGrid>
            <w:tr w14:paraId="1E66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76" w:type="pct"/>
                  <w:vMerge w:val="restart"/>
                  <w:tcBorders>
                    <w:tl2br w:val="nil"/>
                    <w:tr2bl w:val="nil"/>
                  </w:tcBorders>
                  <w:shd w:val="clear" w:color="auto" w:fill="auto"/>
                  <w:vAlign w:val="center"/>
                </w:tcPr>
                <w:p w14:paraId="3AD84B6D">
                  <w:pPr>
                    <w:adjustRightInd w:val="0"/>
                    <w:snapToGrid w:val="0"/>
                    <w:jc w:val="center"/>
                    <w:rPr>
                      <w:szCs w:val="21"/>
                    </w:rPr>
                  </w:pPr>
                  <w:r>
                    <w:rPr>
                      <w:szCs w:val="21"/>
                    </w:rPr>
                    <w:t>类别</w:t>
                  </w:r>
                </w:p>
              </w:tc>
              <w:tc>
                <w:tcPr>
                  <w:tcW w:w="3220" w:type="pct"/>
                  <w:gridSpan w:val="2"/>
                  <w:tcBorders>
                    <w:tl2br w:val="nil"/>
                    <w:tr2bl w:val="nil"/>
                  </w:tcBorders>
                  <w:shd w:val="clear" w:color="auto" w:fill="auto"/>
                  <w:vAlign w:val="center"/>
                </w:tcPr>
                <w:p w14:paraId="16D270B0">
                  <w:pPr>
                    <w:adjustRightInd w:val="0"/>
                    <w:snapToGrid w:val="0"/>
                    <w:jc w:val="center"/>
                    <w:rPr>
                      <w:szCs w:val="21"/>
                    </w:rPr>
                  </w:pPr>
                  <w:r>
                    <w:rPr>
                      <w:szCs w:val="21"/>
                    </w:rPr>
                    <w:t>验收清单</w:t>
                  </w:r>
                </w:p>
              </w:tc>
              <w:tc>
                <w:tcPr>
                  <w:tcW w:w="1304" w:type="pct"/>
                  <w:vMerge w:val="restart"/>
                  <w:tcBorders>
                    <w:tl2br w:val="nil"/>
                    <w:tr2bl w:val="nil"/>
                  </w:tcBorders>
                  <w:shd w:val="clear" w:color="auto" w:fill="auto"/>
                  <w:vAlign w:val="center"/>
                </w:tcPr>
                <w:p w14:paraId="2239CC7B">
                  <w:pPr>
                    <w:adjustRightInd w:val="0"/>
                    <w:snapToGrid w:val="0"/>
                    <w:jc w:val="center"/>
                    <w:rPr>
                      <w:szCs w:val="21"/>
                    </w:rPr>
                  </w:pPr>
                  <w:r>
                    <w:rPr>
                      <w:szCs w:val="21"/>
                    </w:rPr>
                    <w:t>要求</w:t>
                  </w:r>
                </w:p>
              </w:tc>
            </w:tr>
            <w:tr w14:paraId="1D1E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76" w:type="pct"/>
                  <w:vMerge w:val="continue"/>
                  <w:tcBorders>
                    <w:tl2br w:val="nil"/>
                    <w:tr2bl w:val="nil"/>
                  </w:tcBorders>
                  <w:shd w:val="clear" w:color="auto" w:fill="auto"/>
                  <w:vAlign w:val="center"/>
                </w:tcPr>
                <w:p w14:paraId="57D249DF">
                  <w:pPr>
                    <w:widowControl/>
                    <w:adjustRightInd w:val="0"/>
                    <w:snapToGrid w:val="0"/>
                    <w:jc w:val="center"/>
                    <w:rPr>
                      <w:szCs w:val="21"/>
                    </w:rPr>
                  </w:pPr>
                </w:p>
              </w:tc>
              <w:tc>
                <w:tcPr>
                  <w:tcW w:w="1025" w:type="pct"/>
                  <w:tcBorders>
                    <w:tl2br w:val="nil"/>
                    <w:tr2bl w:val="nil"/>
                  </w:tcBorders>
                  <w:shd w:val="clear" w:color="auto" w:fill="auto"/>
                  <w:vAlign w:val="center"/>
                </w:tcPr>
                <w:p w14:paraId="3968C535">
                  <w:pPr>
                    <w:adjustRightInd w:val="0"/>
                    <w:snapToGrid w:val="0"/>
                    <w:jc w:val="center"/>
                    <w:rPr>
                      <w:szCs w:val="21"/>
                    </w:rPr>
                  </w:pPr>
                  <w:r>
                    <w:rPr>
                      <w:szCs w:val="21"/>
                    </w:rPr>
                    <w:t>项目</w:t>
                  </w:r>
                </w:p>
              </w:tc>
              <w:tc>
                <w:tcPr>
                  <w:tcW w:w="2195" w:type="pct"/>
                  <w:tcBorders>
                    <w:tl2br w:val="nil"/>
                    <w:tr2bl w:val="nil"/>
                  </w:tcBorders>
                  <w:shd w:val="clear" w:color="auto" w:fill="auto"/>
                  <w:vAlign w:val="center"/>
                </w:tcPr>
                <w:p w14:paraId="036249E4">
                  <w:pPr>
                    <w:adjustRightInd w:val="0"/>
                    <w:snapToGrid w:val="0"/>
                    <w:jc w:val="center"/>
                    <w:rPr>
                      <w:szCs w:val="21"/>
                    </w:rPr>
                  </w:pPr>
                  <w:r>
                    <w:rPr>
                      <w:szCs w:val="21"/>
                    </w:rPr>
                    <w:t>主要内容</w:t>
                  </w:r>
                </w:p>
              </w:tc>
              <w:tc>
                <w:tcPr>
                  <w:tcW w:w="1304" w:type="pct"/>
                  <w:vMerge w:val="continue"/>
                  <w:tcBorders>
                    <w:tl2br w:val="nil"/>
                    <w:tr2bl w:val="nil"/>
                  </w:tcBorders>
                  <w:shd w:val="clear" w:color="auto" w:fill="auto"/>
                  <w:vAlign w:val="center"/>
                </w:tcPr>
                <w:p w14:paraId="6CB955D0">
                  <w:pPr>
                    <w:widowControl/>
                    <w:adjustRightInd w:val="0"/>
                    <w:snapToGrid w:val="0"/>
                    <w:jc w:val="center"/>
                    <w:rPr>
                      <w:szCs w:val="21"/>
                    </w:rPr>
                  </w:pPr>
                </w:p>
              </w:tc>
            </w:tr>
            <w:tr w14:paraId="2CD0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476" w:type="pct"/>
                  <w:tcBorders>
                    <w:tl2br w:val="nil"/>
                    <w:tr2bl w:val="nil"/>
                  </w:tcBorders>
                  <w:vAlign w:val="center"/>
                </w:tcPr>
                <w:p w14:paraId="2563A6F3">
                  <w:pPr>
                    <w:adjustRightInd w:val="0"/>
                    <w:snapToGrid w:val="0"/>
                    <w:jc w:val="center"/>
                    <w:rPr>
                      <w:szCs w:val="21"/>
                    </w:rPr>
                  </w:pPr>
                  <w:r>
                    <w:rPr>
                      <w:szCs w:val="21"/>
                    </w:rPr>
                    <w:t>噪声</w:t>
                  </w:r>
                </w:p>
              </w:tc>
              <w:tc>
                <w:tcPr>
                  <w:tcW w:w="1025" w:type="pct"/>
                  <w:tcBorders>
                    <w:tl2br w:val="nil"/>
                    <w:tr2bl w:val="nil"/>
                  </w:tcBorders>
                  <w:vAlign w:val="center"/>
                </w:tcPr>
                <w:p w14:paraId="7B08775D">
                  <w:pPr>
                    <w:adjustRightInd w:val="0"/>
                    <w:snapToGrid w:val="0"/>
                    <w:jc w:val="center"/>
                    <w:rPr>
                      <w:szCs w:val="21"/>
                    </w:rPr>
                  </w:pPr>
                  <w:r>
                    <w:rPr>
                      <w:szCs w:val="21"/>
                    </w:rPr>
                    <w:t>交通噪声</w:t>
                  </w:r>
                </w:p>
              </w:tc>
              <w:tc>
                <w:tcPr>
                  <w:tcW w:w="2195" w:type="pct"/>
                  <w:tcBorders>
                    <w:tl2br w:val="nil"/>
                    <w:tr2bl w:val="nil"/>
                  </w:tcBorders>
                  <w:vAlign w:val="center"/>
                </w:tcPr>
                <w:p w14:paraId="0ED828BE">
                  <w:pPr>
                    <w:adjustRightInd w:val="0"/>
                    <w:snapToGrid w:val="0"/>
                    <w:jc w:val="center"/>
                    <w:rPr>
                      <w:szCs w:val="21"/>
                    </w:rPr>
                  </w:pPr>
                  <w:r>
                    <w:t>设置减速带、限速禁鸣标</w:t>
                  </w:r>
                </w:p>
              </w:tc>
              <w:tc>
                <w:tcPr>
                  <w:tcW w:w="1304" w:type="pct"/>
                  <w:tcBorders>
                    <w:tl2br w:val="nil"/>
                    <w:tr2bl w:val="nil"/>
                  </w:tcBorders>
                  <w:vAlign w:val="center"/>
                </w:tcPr>
                <w:p w14:paraId="159FC18A">
                  <w:pPr>
                    <w:adjustRightInd w:val="0"/>
                    <w:snapToGrid w:val="0"/>
                    <w:jc w:val="center"/>
                    <w:rPr>
                      <w:szCs w:val="21"/>
                    </w:rPr>
                  </w:pPr>
                  <w:r>
                    <w:t>尽量减小对沿线声环境的影响</w:t>
                  </w:r>
                </w:p>
              </w:tc>
            </w:tr>
            <w:tr w14:paraId="12C9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76" w:type="pct"/>
                  <w:tcBorders>
                    <w:tl2br w:val="nil"/>
                    <w:tr2bl w:val="nil"/>
                  </w:tcBorders>
                  <w:vAlign w:val="center"/>
                </w:tcPr>
                <w:p w14:paraId="2D650487">
                  <w:pPr>
                    <w:adjustRightInd w:val="0"/>
                    <w:snapToGrid w:val="0"/>
                    <w:jc w:val="center"/>
                    <w:rPr>
                      <w:szCs w:val="21"/>
                    </w:rPr>
                  </w:pPr>
                  <w:r>
                    <w:rPr>
                      <w:szCs w:val="21"/>
                    </w:rPr>
                    <w:t>生态</w:t>
                  </w:r>
                </w:p>
                <w:p w14:paraId="176B79E6">
                  <w:pPr>
                    <w:adjustRightInd w:val="0"/>
                    <w:snapToGrid w:val="0"/>
                    <w:jc w:val="center"/>
                    <w:rPr>
                      <w:szCs w:val="21"/>
                    </w:rPr>
                  </w:pPr>
                  <w:r>
                    <w:rPr>
                      <w:szCs w:val="21"/>
                    </w:rPr>
                    <w:t>环境</w:t>
                  </w:r>
                </w:p>
              </w:tc>
              <w:tc>
                <w:tcPr>
                  <w:tcW w:w="1025" w:type="pct"/>
                  <w:tcBorders>
                    <w:tl2br w:val="nil"/>
                    <w:tr2bl w:val="nil"/>
                  </w:tcBorders>
                  <w:vAlign w:val="center"/>
                </w:tcPr>
                <w:p w14:paraId="113031A4">
                  <w:pPr>
                    <w:adjustRightInd w:val="0"/>
                    <w:snapToGrid w:val="0"/>
                    <w:jc w:val="center"/>
                    <w:rPr>
                      <w:spacing w:val="-4"/>
                      <w:szCs w:val="21"/>
                    </w:rPr>
                  </w:pPr>
                  <w:r>
                    <w:rPr>
                      <w:spacing w:val="4"/>
                      <w:szCs w:val="21"/>
                    </w:rPr>
                    <w:t>绿化工程</w:t>
                  </w:r>
                </w:p>
              </w:tc>
              <w:tc>
                <w:tcPr>
                  <w:tcW w:w="2195" w:type="pct"/>
                  <w:tcBorders>
                    <w:tl2br w:val="nil"/>
                    <w:tr2bl w:val="nil"/>
                  </w:tcBorders>
                  <w:vAlign w:val="center"/>
                </w:tcPr>
                <w:p w14:paraId="00ED2631">
                  <w:pPr>
                    <w:adjustRightInd w:val="0"/>
                    <w:snapToGrid w:val="0"/>
                    <w:jc w:val="center"/>
                    <w:rPr>
                      <w:szCs w:val="21"/>
                    </w:rPr>
                  </w:pPr>
                  <w:r>
                    <w:rPr>
                      <w:szCs w:val="21"/>
                    </w:rPr>
                    <w:t>路基边坡、沿线设施区域绿化</w:t>
                  </w:r>
                </w:p>
              </w:tc>
              <w:tc>
                <w:tcPr>
                  <w:tcW w:w="1304" w:type="pct"/>
                  <w:tcBorders>
                    <w:tl2br w:val="nil"/>
                    <w:tr2bl w:val="nil"/>
                  </w:tcBorders>
                  <w:vAlign w:val="center"/>
                </w:tcPr>
                <w:p w14:paraId="24DECF77">
                  <w:pPr>
                    <w:adjustRightInd w:val="0"/>
                    <w:snapToGrid w:val="0"/>
                    <w:jc w:val="center"/>
                    <w:rPr>
                      <w:szCs w:val="21"/>
                    </w:rPr>
                  </w:pPr>
                  <w:r>
                    <w:rPr>
                      <w:szCs w:val="21"/>
                    </w:rPr>
                    <w:t>绿化情况良好</w:t>
                  </w:r>
                </w:p>
              </w:tc>
            </w:tr>
            <w:tr w14:paraId="00F8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76" w:type="pct"/>
                  <w:tcBorders>
                    <w:tl2br w:val="nil"/>
                    <w:tr2bl w:val="nil"/>
                  </w:tcBorders>
                  <w:vAlign w:val="center"/>
                </w:tcPr>
                <w:p w14:paraId="60276C71">
                  <w:pPr>
                    <w:adjustRightInd w:val="0"/>
                    <w:snapToGrid w:val="0"/>
                    <w:jc w:val="center"/>
                    <w:rPr>
                      <w:szCs w:val="21"/>
                    </w:rPr>
                  </w:pPr>
                  <w:r>
                    <w:rPr>
                      <w:szCs w:val="21"/>
                    </w:rPr>
                    <w:t>固废</w:t>
                  </w:r>
                </w:p>
              </w:tc>
              <w:tc>
                <w:tcPr>
                  <w:tcW w:w="1025" w:type="pct"/>
                  <w:tcBorders>
                    <w:tl2br w:val="nil"/>
                    <w:tr2bl w:val="nil"/>
                  </w:tcBorders>
                  <w:vAlign w:val="center"/>
                </w:tcPr>
                <w:p w14:paraId="63782392">
                  <w:pPr>
                    <w:adjustRightInd w:val="0"/>
                    <w:snapToGrid w:val="0"/>
                    <w:jc w:val="center"/>
                    <w:rPr>
                      <w:spacing w:val="4"/>
                      <w:szCs w:val="21"/>
                    </w:rPr>
                  </w:pPr>
                  <w:r>
                    <w:t>生活垃圾</w:t>
                  </w:r>
                </w:p>
              </w:tc>
              <w:tc>
                <w:tcPr>
                  <w:tcW w:w="2195" w:type="pct"/>
                  <w:tcBorders>
                    <w:tl2br w:val="nil"/>
                    <w:tr2bl w:val="nil"/>
                  </w:tcBorders>
                  <w:vAlign w:val="center"/>
                </w:tcPr>
                <w:p w14:paraId="12F98B95">
                  <w:pPr>
                    <w:adjustRightInd w:val="0"/>
                    <w:snapToGrid w:val="0"/>
                    <w:jc w:val="center"/>
                    <w:rPr>
                      <w:szCs w:val="21"/>
                    </w:rPr>
                  </w:pPr>
                  <w:r>
                    <w:rPr>
                      <w:rFonts w:hint="eastAsia"/>
                      <w:szCs w:val="21"/>
                    </w:rPr>
                    <w:t>垃圾桶</w:t>
                  </w:r>
                </w:p>
              </w:tc>
              <w:tc>
                <w:tcPr>
                  <w:tcW w:w="1304" w:type="pct"/>
                  <w:tcBorders>
                    <w:tl2br w:val="nil"/>
                    <w:tr2bl w:val="nil"/>
                  </w:tcBorders>
                  <w:vAlign w:val="center"/>
                </w:tcPr>
                <w:p w14:paraId="0A6C8A0E">
                  <w:pPr>
                    <w:adjustRightInd w:val="0"/>
                    <w:snapToGrid w:val="0"/>
                    <w:jc w:val="center"/>
                    <w:rPr>
                      <w:szCs w:val="21"/>
                    </w:rPr>
                  </w:pPr>
                  <w:r>
                    <w:rPr>
                      <w:rFonts w:hint="eastAsia"/>
                      <w:szCs w:val="21"/>
                    </w:rPr>
                    <w:t>有效收集生活垃圾</w:t>
                  </w:r>
                </w:p>
              </w:tc>
            </w:tr>
          </w:tbl>
          <w:p w14:paraId="69B6B28B">
            <w:pPr>
              <w:ind w:firstLine="480"/>
            </w:pPr>
          </w:p>
        </w:tc>
      </w:tr>
      <w:tr w14:paraId="7D8947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6" w:hRule="atLeast"/>
          <w:jc w:val="center"/>
        </w:trPr>
        <w:tc>
          <w:tcPr>
            <w:tcW w:w="361" w:type="pct"/>
            <w:tcMar>
              <w:left w:w="28" w:type="dxa"/>
              <w:right w:w="28" w:type="dxa"/>
            </w:tcMar>
            <w:vAlign w:val="center"/>
          </w:tcPr>
          <w:p w14:paraId="26DD4EAE">
            <w:pPr>
              <w:adjustRightInd w:val="0"/>
              <w:snapToGrid w:val="0"/>
              <w:jc w:val="center"/>
              <w:rPr>
                <w:kern w:val="0"/>
                <w:szCs w:val="21"/>
              </w:rPr>
            </w:pPr>
            <w:r>
              <w:rPr>
                <w:rFonts w:hint="eastAsia"/>
                <w:kern w:val="0"/>
                <w:szCs w:val="21"/>
              </w:rPr>
              <w:t>环保投资</w:t>
            </w:r>
          </w:p>
        </w:tc>
        <w:tc>
          <w:tcPr>
            <w:tcW w:w="4639" w:type="pct"/>
          </w:tcPr>
          <w:p w14:paraId="1320386A">
            <w:pPr>
              <w:spacing w:line="360" w:lineRule="auto"/>
              <w:ind w:firstLine="480" w:firstLineChars="200"/>
              <w:rPr>
                <w:sz w:val="24"/>
              </w:rPr>
            </w:pPr>
            <w:r>
              <w:rPr>
                <w:sz w:val="24"/>
              </w:rPr>
              <w:t>根据本评价提出的环保措施，估算本项目所需环境保护投资20.0万元，占项目总投资18515.81万元的</w:t>
            </w:r>
            <w:r>
              <w:rPr>
                <w:rFonts w:hint="eastAsia"/>
                <w:sz w:val="24"/>
              </w:rPr>
              <w:t>0.</w:t>
            </w:r>
            <w:r>
              <w:rPr>
                <w:sz w:val="24"/>
              </w:rPr>
              <w:t>11%，详见</w:t>
            </w:r>
            <w:r>
              <w:rPr>
                <w:rFonts w:hint="eastAsia"/>
                <w:sz w:val="24"/>
              </w:rPr>
              <w:t>5-5</w:t>
            </w:r>
            <w:r>
              <w:rPr>
                <w:sz w:val="24"/>
              </w:rPr>
              <w:t>所示。</w:t>
            </w:r>
          </w:p>
          <w:p w14:paraId="5620EDC2">
            <w:pPr>
              <w:pStyle w:val="70"/>
              <w:spacing w:before="0" w:beforeLines="0"/>
              <w:rPr>
                <w:rFonts w:cs="Times New Roman"/>
              </w:rPr>
            </w:pPr>
            <w:r>
              <w:rPr>
                <w:rFonts w:cs="Times New Roman"/>
              </w:rPr>
              <w:t>表5-5  环境保护投资项目及环保投资估算指标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70"/>
              <w:gridCol w:w="1302"/>
              <w:gridCol w:w="3046"/>
              <w:gridCol w:w="715"/>
              <w:gridCol w:w="933"/>
              <w:gridCol w:w="1624"/>
            </w:tblGrid>
            <w:tr w14:paraId="475B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trPr>
              <w:tc>
                <w:tcPr>
                  <w:tcW w:w="459" w:type="pct"/>
                  <w:tcBorders>
                    <w:tl2br w:val="nil"/>
                    <w:tr2bl w:val="nil"/>
                  </w:tcBorders>
                  <w:shd w:val="clear" w:color="auto" w:fill="auto"/>
                  <w:vAlign w:val="center"/>
                </w:tcPr>
                <w:p w14:paraId="484E0E9B">
                  <w:pPr>
                    <w:pStyle w:val="69"/>
                    <w:rPr>
                      <w:bCs/>
                      <w:szCs w:val="21"/>
                    </w:rPr>
                  </w:pPr>
                  <w:r>
                    <w:rPr>
                      <w:bCs/>
                      <w:szCs w:val="21"/>
                    </w:rPr>
                    <w:t>序号</w:t>
                  </w:r>
                </w:p>
              </w:tc>
              <w:tc>
                <w:tcPr>
                  <w:tcW w:w="2591" w:type="pct"/>
                  <w:gridSpan w:val="2"/>
                  <w:tcBorders>
                    <w:tl2br w:val="nil"/>
                    <w:tr2bl w:val="nil"/>
                  </w:tcBorders>
                  <w:shd w:val="clear" w:color="auto" w:fill="auto"/>
                  <w:vAlign w:val="center"/>
                </w:tcPr>
                <w:p w14:paraId="7593360F">
                  <w:pPr>
                    <w:pStyle w:val="69"/>
                    <w:rPr>
                      <w:bCs/>
                      <w:szCs w:val="21"/>
                    </w:rPr>
                  </w:pPr>
                  <w:r>
                    <w:rPr>
                      <w:bCs/>
                      <w:szCs w:val="21"/>
                    </w:rPr>
                    <w:t>投资项目（工程措施）</w:t>
                  </w:r>
                </w:p>
              </w:tc>
              <w:tc>
                <w:tcPr>
                  <w:tcW w:w="426" w:type="pct"/>
                  <w:tcBorders>
                    <w:tl2br w:val="nil"/>
                    <w:tr2bl w:val="nil"/>
                  </w:tcBorders>
                  <w:shd w:val="clear" w:color="auto" w:fill="auto"/>
                  <w:vAlign w:val="center"/>
                </w:tcPr>
                <w:p w14:paraId="2B8DD0EA">
                  <w:pPr>
                    <w:pStyle w:val="69"/>
                    <w:rPr>
                      <w:bCs/>
                      <w:szCs w:val="21"/>
                    </w:rPr>
                  </w:pPr>
                  <w:r>
                    <w:rPr>
                      <w:bCs/>
                      <w:szCs w:val="21"/>
                    </w:rPr>
                    <w:t>单位</w:t>
                  </w:r>
                </w:p>
              </w:tc>
              <w:tc>
                <w:tcPr>
                  <w:tcW w:w="556" w:type="pct"/>
                  <w:tcBorders>
                    <w:tl2br w:val="nil"/>
                    <w:tr2bl w:val="nil"/>
                  </w:tcBorders>
                  <w:shd w:val="clear" w:color="auto" w:fill="auto"/>
                  <w:vAlign w:val="center"/>
                </w:tcPr>
                <w:p w14:paraId="7A947766">
                  <w:pPr>
                    <w:pStyle w:val="69"/>
                    <w:rPr>
                      <w:bCs/>
                      <w:szCs w:val="21"/>
                    </w:rPr>
                  </w:pPr>
                  <w:r>
                    <w:rPr>
                      <w:bCs/>
                      <w:szCs w:val="21"/>
                    </w:rPr>
                    <w:t>数量</w:t>
                  </w:r>
                </w:p>
              </w:tc>
              <w:tc>
                <w:tcPr>
                  <w:tcW w:w="968" w:type="pct"/>
                  <w:tcBorders>
                    <w:tl2br w:val="nil"/>
                    <w:tr2bl w:val="nil"/>
                  </w:tcBorders>
                  <w:shd w:val="clear" w:color="auto" w:fill="auto"/>
                  <w:vAlign w:val="center"/>
                </w:tcPr>
                <w:p w14:paraId="2CB56E74">
                  <w:pPr>
                    <w:pStyle w:val="69"/>
                    <w:rPr>
                      <w:bCs/>
                      <w:szCs w:val="21"/>
                    </w:rPr>
                  </w:pPr>
                  <w:r>
                    <w:rPr>
                      <w:bCs/>
                      <w:szCs w:val="21"/>
                    </w:rPr>
                    <w:t>投资(万元)</w:t>
                  </w:r>
                </w:p>
              </w:tc>
            </w:tr>
            <w:tr w14:paraId="5FB3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6"/>
                  <w:tcBorders>
                    <w:tl2br w:val="nil"/>
                    <w:tr2bl w:val="nil"/>
                  </w:tcBorders>
                  <w:vAlign w:val="center"/>
                </w:tcPr>
                <w:p w14:paraId="1031C084">
                  <w:pPr>
                    <w:pStyle w:val="69"/>
                    <w:rPr>
                      <w:b/>
                      <w:bCs/>
                      <w:szCs w:val="21"/>
                    </w:rPr>
                  </w:pPr>
                  <w:r>
                    <w:rPr>
                      <w:b/>
                      <w:bCs/>
                      <w:szCs w:val="21"/>
                    </w:rPr>
                    <w:t>一、环境污染治理投资</w:t>
                  </w:r>
                </w:p>
              </w:tc>
            </w:tr>
            <w:tr w14:paraId="6925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6"/>
                  <w:tcBorders>
                    <w:tl2br w:val="nil"/>
                    <w:tr2bl w:val="nil"/>
                  </w:tcBorders>
                  <w:vAlign w:val="center"/>
                </w:tcPr>
                <w:p w14:paraId="79270633">
                  <w:pPr>
                    <w:pStyle w:val="69"/>
                    <w:rPr>
                      <w:b/>
                      <w:bCs/>
                      <w:szCs w:val="21"/>
                    </w:rPr>
                  </w:pPr>
                  <w:r>
                    <w:rPr>
                      <w:b/>
                      <w:bCs/>
                      <w:szCs w:val="21"/>
                    </w:rPr>
                    <w:t>施工期</w:t>
                  </w:r>
                </w:p>
              </w:tc>
            </w:tr>
            <w:tr w14:paraId="0FB1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459" w:type="pct"/>
                  <w:tcBorders>
                    <w:tl2br w:val="nil"/>
                    <w:tr2bl w:val="nil"/>
                  </w:tcBorders>
                  <w:vAlign w:val="center"/>
                </w:tcPr>
                <w:p w14:paraId="6AB625D1">
                  <w:pPr>
                    <w:pStyle w:val="69"/>
                    <w:rPr>
                      <w:szCs w:val="21"/>
                    </w:rPr>
                  </w:pPr>
                  <w:r>
                    <w:rPr>
                      <w:szCs w:val="21"/>
                    </w:rPr>
                    <w:t>1</w:t>
                  </w:r>
                </w:p>
              </w:tc>
              <w:tc>
                <w:tcPr>
                  <w:tcW w:w="776" w:type="pct"/>
                  <w:tcBorders>
                    <w:tl2br w:val="nil"/>
                    <w:tr2bl w:val="nil"/>
                  </w:tcBorders>
                  <w:vAlign w:val="center"/>
                </w:tcPr>
                <w:p w14:paraId="68D5B411">
                  <w:pPr>
                    <w:pStyle w:val="69"/>
                    <w:rPr>
                      <w:szCs w:val="21"/>
                    </w:rPr>
                  </w:pPr>
                  <w:r>
                    <w:rPr>
                      <w:szCs w:val="21"/>
                    </w:rPr>
                    <w:t>施工期水污染治理</w:t>
                  </w:r>
                </w:p>
              </w:tc>
              <w:tc>
                <w:tcPr>
                  <w:tcW w:w="1815" w:type="pct"/>
                  <w:tcBorders>
                    <w:tl2br w:val="nil"/>
                    <w:tr2bl w:val="nil"/>
                  </w:tcBorders>
                  <w:vAlign w:val="center"/>
                </w:tcPr>
                <w:p w14:paraId="6969D4A7">
                  <w:pPr>
                    <w:pStyle w:val="69"/>
                    <w:rPr>
                      <w:szCs w:val="21"/>
                    </w:rPr>
                  </w:pPr>
                  <w:r>
                    <w:rPr>
                      <w:szCs w:val="21"/>
                    </w:rPr>
                    <w:t>生产废水：沉淀池</w:t>
                  </w:r>
                </w:p>
              </w:tc>
              <w:tc>
                <w:tcPr>
                  <w:tcW w:w="426" w:type="pct"/>
                  <w:tcBorders>
                    <w:tl2br w:val="nil"/>
                    <w:tr2bl w:val="nil"/>
                  </w:tcBorders>
                  <w:vAlign w:val="center"/>
                </w:tcPr>
                <w:p w14:paraId="1C0FFAC3">
                  <w:pPr>
                    <w:pStyle w:val="69"/>
                    <w:rPr>
                      <w:szCs w:val="21"/>
                    </w:rPr>
                  </w:pPr>
                  <w:r>
                    <w:rPr>
                      <w:rFonts w:hint="eastAsia"/>
                      <w:szCs w:val="21"/>
                    </w:rPr>
                    <w:t>座</w:t>
                  </w:r>
                </w:p>
              </w:tc>
              <w:tc>
                <w:tcPr>
                  <w:tcW w:w="556" w:type="pct"/>
                  <w:tcBorders>
                    <w:tl2br w:val="nil"/>
                    <w:tr2bl w:val="nil"/>
                  </w:tcBorders>
                  <w:vAlign w:val="center"/>
                </w:tcPr>
                <w:p w14:paraId="2C13DA7D">
                  <w:pPr>
                    <w:pStyle w:val="69"/>
                    <w:rPr>
                      <w:szCs w:val="21"/>
                    </w:rPr>
                  </w:pPr>
                  <w:r>
                    <w:rPr>
                      <w:rFonts w:hint="eastAsia"/>
                      <w:szCs w:val="21"/>
                    </w:rPr>
                    <w:t>2</w:t>
                  </w:r>
                </w:p>
              </w:tc>
              <w:tc>
                <w:tcPr>
                  <w:tcW w:w="968" w:type="pct"/>
                  <w:tcBorders>
                    <w:tl2br w:val="nil"/>
                    <w:tr2bl w:val="nil"/>
                  </w:tcBorders>
                  <w:vAlign w:val="center"/>
                </w:tcPr>
                <w:p w14:paraId="10B1CA79">
                  <w:pPr>
                    <w:pStyle w:val="69"/>
                    <w:rPr>
                      <w:szCs w:val="21"/>
                    </w:rPr>
                  </w:pPr>
                  <w:r>
                    <w:rPr>
                      <w:szCs w:val="21"/>
                    </w:rPr>
                    <w:t>6</w:t>
                  </w:r>
                </w:p>
              </w:tc>
            </w:tr>
            <w:tr w14:paraId="7918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2018076D">
                  <w:pPr>
                    <w:pStyle w:val="69"/>
                    <w:rPr>
                      <w:szCs w:val="21"/>
                    </w:rPr>
                  </w:pPr>
                  <w:r>
                    <w:rPr>
                      <w:szCs w:val="21"/>
                    </w:rPr>
                    <w:t>2</w:t>
                  </w:r>
                </w:p>
              </w:tc>
              <w:tc>
                <w:tcPr>
                  <w:tcW w:w="776" w:type="pct"/>
                  <w:tcBorders>
                    <w:tl2br w:val="nil"/>
                    <w:tr2bl w:val="nil"/>
                  </w:tcBorders>
                  <w:vAlign w:val="center"/>
                </w:tcPr>
                <w:p w14:paraId="54E19891">
                  <w:pPr>
                    <w:pStyle w:val="69"/>
                    <w:rPr>
                      <w:szCs w:val="21"/>
                    </w:rPr>
                  </w:pPr>
                  <w:r>
                    <w:rPr>
                      <w:szCs w:val="21"/>
                    </w:rPr>
                    <w:t>施工期噪声污染治理</w:t>
                  </w:r>
                </w:p>
              </w:tc>
              <w:tc>
                <w:tcPr>
                  <w:tcW w:w="1815" w:type="pct"/>
                  <w:tcBorders>
                    <w:tl2br w:val="nil"/>
                    <w:tr2bl w:val="nil"/>
                  </w:tcBorders>
                  <w:vAlign w:val="center"/>
                </w:tcPr>
                <w:p w14:paraId="6DA6E6D0">
                  <w:pPr>
                    <w:pStyle w:val="69"/>
                    <w:rPr>
                      <w:szCs w:val="21"/>
                    </w:rPr>
                  </w:pPr>
                  <w:r>
                    <w:rPr>
                      <w:rFonts w:hint="eastAsia"/>
                      <w:szCs w:val="21"/>
                    </w:rPr>
                    <w:t>禁鸣、减速标志</w:t>
                  </w:r>
                </w:p>
              </w:tc>
              <w:tc>
                <w:tcPr>
                  <w:tcW w:w="426" w:type="pct"/>
                  <w:tcBorders>
                    <w:tl2br w:val="nil"/>
                    <w:tr2bl w:val="nil"/>
                  </w:tcBorders>
                  <w:vAlign w:val="center"/>
                </w:tcPr>
                <w:p w14:paraId="36F1A83C">
                  <w:pPr>
                    <w:pStyle w:val="69"/>
                    <w:rPr>
                      <w:szCs w:val="21"/>
                    </w:rPr>
                  </w:pPr>
                  <w:r>
                    <w:rPr>
                      <w:rFonts w:hint="eastAsia"/>
                      <w:szCs w:val="21"/>
                    </w:rPr>
                    <w:t>/</w:t>
                  </w:r>
                </w:p>
              </w:tc>
              <w:tc>
                <w:tcPr>
                  <w:tcW w:w="556" w:type="pct"/>
                  <w:tcBorders>
                    <w:tl2br w:val="nil"/>
                    <w:tr2bl w:val="nil"/>
                  </w:tcBorders>
                  <w:vAlign w:val="center"/>
                </w:tcPr>
                <w:p w14:paraId="6FCFC436">
                  <w:pPr>
                    <w:pStyle w:val="69"/>
                    <w:rPr>
                      <w:szCs w:val="21"/>
                    </w:rPr>
                  </w:pPr>
                  <w:r>
                    <w:rPr>
                      <w:rFonts w:hint="eastAsia"/>
                      <w:szCs w:val="21"/>
                    </w:rPr>
                    <w:t>/</w:t>
                  </w:r>
                </w:p>
              </w:tc>
              <w:tc>
                <w:tcPr>
                  <w:tcW w:w="968" w:type="pct"/>
                  <w:tcBorders>
                    <w:tl2br w:val="nil"/>
                    <w:tr2bl w:val="nil"/>
                  </w:tcBorders>
                  <w:vAlign w:val="center"/>
                </w:tcPr>
                <w:p w14:paraId="10A73139">
                  <w:pPr>
                    <w:pStyle w:val="69"/>
                    <w:rPr>
                      <w:szCs w:val="21"/>
                    </w:rPr>
                  </w:pPr>
                  <w:r>
                    <w:rPr>
                      <w:rFonts w:hint="eastAsia"/>
                      <w:szCs w:val="21"/>
                    </w:rPr>
                    <w:t>0.5</w:t>
                  </w:r>
                </w:p>
              </w:tc>
            </w:tr>
            <w:tr w14:paraId="21367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2C324793">
                  <w:pPr>
                    <w:pStyle w:val="69"/>
                    <w:rPr>
                      <w:szCs w:val="21"/>
                    </w:rPr>
                  </w:pPr>
                  <w:r>
                    <w:rPr>
                      <w:szCs w:val="21"/>
                    </w:rPr>
                    <w:t>3</w:t>
                  </w:r>
                </w:p>
              </w:tc>
              <w:tc>
                <w:tcPr>
                  <w:tcW w:w="776" w:type="pct"/>
                  <w:tcBorders>
                    <w:tl2br w:val="nil"/>
                    <w:tr2bl w:val="nil"/>
                  </w:tcBorders>
                  <w:vAlign w:val="center"/>
                </w:tcPr>
                <w:p w14:paraId="1FF08EDF">
                  <w:pPr>
                    <w:pStyle w:val="69"/>
                    <w:rPr>
                      <w:szCs w:val="21"/>
                    </w:rPr>
                  </w:pPr>
                  <w:r>
                    <w:rPr>
                      <w:szCs w:val="21"/>
                    </w:rPr>
                    <w:t>施工期大气环境污染治理</w:t>
                  </w:r>
                </w:p>
              </w:tc>
              <w:tc>
                <w:tcPr>
                  <w:tcW w:w="1815" w:type="pct"/>
                  <w:tcBorders>
                    <w:tl2br w:val="nil"/>
                    <w:tr2bl w:val="nil"/>
                  </w:tcBorders>
                  <w:vAlign w:val="center"/>
                </w:tcPr>
                <w:p w14:paraId="6AA5CAE4">
                  <w:pPr>
                    <w:pStyle w:val="69"/>
                    <w:rPr>
                      <w:szCs w:val="21"/>
                    </w:rPr>
                  </w:pPr>
                  <w:r>
                    <w:rPr>
                      <w:szCs w:val="21"/>
                    </w:rPr>
                    <w:t>施工期洒水降尘、材料堆放遮盖、围挡等</w:t>
                  </w:r>
                </w:p>
              </w:tc>
              <w:tc>
                <w:tcPr>
                  <w:tcW w:w="426" w:type="pct"/>
                  <w:tcBorders>
                    <w:tl2br w:val="nil"/>
                    <w:tr2bl w:val="nil"/>
                  </w:tcBorders>
                  <w:vAlign w:val="center"/>
                </w:tcPr>
                <w:p w14:paraId="75656A69">
                  <w:pPr>
                    <w:pStyle w:val="69"/>
                    <w:rPr>
                      <w:szCs w:val="21"/>
                    </w:rPr>
                  </w:pPr>
                  <w:r>
                    <w:rPr>
                      <w:rFonts w:hint="eastAsia"/>
                      <w:szCs w:val="21"/>
                    </w:rPr>
                    <w:t>/</w:t>
                  </w:r>
                </w:p>
              </w:tc>
              <w:tc>
                <w:tcPr>
                  <w:tcW w:w="556" w:type="pct"/>
                  <w:tcBorders>
                    <w:tl2br w:val="nil"/>
                    <w:tr2bl w:val="nil"/>
                  </w:tcBorders>
                  <w:vAlign w:val="center"/>
                </w:tcPr>
                <w:p w14:paraId="4EB03953">
                  <w:pPr>
                    <w:pStyle w:val="69"/>
                    <w:rPr>
                      <w:szCs w:val="21"/>
                    </w:rPr>
                  </w:pPr>
                  <w:r>
                    <w:rPr>
                      <w:rFonts w:hint="eastAsia"/>
                      <w:szCs w:val="21"/>
                    </w:rPr>
                    <w:t>/</w:t>
                  </w:r>
                </w:p>
              </w:tc>
              <w:tc>
                <w:tcPr>
                  <w:tcW w:w="968" w:type="pct"/>
                  <w:tcBorders>
                    <w:tl2br w:val="nil"/>
                    <w:tr2bl w:val="nil"/>
                  </w:tcBorders>
                  <w:vAlign w:val="center"/>
                </w:tcPr>
                <w:p w14:paraId="599416AB">
                  <w:pPr>
                    <w:pStyle w:val="69"/>
                    <w:rPr>
                      <w:szCs w:val="21"/>
                    </w:rPr>
                  </w:pPr>
                  <w:r>
                    <w:rPr>
                      <w:szCs w:val="21"/>
                    </w:rPr>
                    <w:t>10.0</w:t>
                  </w:r>
                </w:p>
              </w:tc>
            </w:tr>
            <w:tr w14:paraId="1E3E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42B5FDC1">
                  <w:pPr>
                    <w:pStyle w:val="69"/>
                    <w:rPr>
                      <w:szCs w:val="21"/>
                    </w:rPr>
                  </w:pPr>
                  <w:r>
                    <w:rPr>
                      <w:szCs w:val="21"/>
                    </w:rPr>
                    <w:t>4</w:t>
                  </w:r>
                </w:p>
              </w:tc>
              <w:tc>
                <w:tcPr>
                  <w:tcW w:w="776" w:type="pct"/>
                  <w:tcBorders>
                    <w:tl2br w:val="nil"/>
                    <w:tr2bl w:val="nil"/>
                  </w:tcBorders>
                  <w:vAlign w:val="center"/>
                </w:tcPr>
                <w:p w14:paraId="5AD4A6A2">
                  <w:pPr>
                    <w:pStyle w:val="69"/>
                    <w:rPr>
                      <w:szCs w:val="21"/>
                    </w:rPr>
                  </w:pPr>
                  <w:r>
                    <w:rPr>
                      <w:szCs w:val="21"/>
                    </w:rPr>
                    <w:t>施工期固体废物治理</w:t>
                  </w:r>
                </w:p>
              </w:tc>
              <w:tc>
                <w:tcPr>
                  <w:tcW w:w="1815" w:type="pct"/>
                  <w:tcBorders>
                    <w:tl2br w:val="nil"/>
                    <w:tr2bl w:val="nil"/>
                  </w:tcBorders>
                  <w:vAlign w:val="center"/>
                </w:tcPr>
                <w:p w14:paraId="2B0986AB">
                  <w:pPr>
                    <w:pStyle w:val="69"/>
                    <w:rPr>
                      <w:szCs w:val="21"/>
                    </w:rPr>
                  </w:pPr>
                  <w:r>
                    <w:rPr>
                      <w:rFonts w:hint="eastAsia"/>
                      <w:szCs w:val="21"/>
                    </w:rPr>
                    <w:t>垃圾</w:t>
                  </w:r>
                  <w:r>
                    <w:rPr>
                      <w:szCs w:val="21"/>
                    </w:rPr>
                    <w:t>收集设施</w:t>
                  </w:r>
                </w:p>
              </w:tc>
              <w:tc>
                <w:tcPr>
                  <w:tcW w:w="426" w:type="pct"/>
                  <w:tcBorders>
                    <w:tl2br w:val="nil"/>
                    <w:tr2bl w:val="nil"/>
                  </w:tcBorders>
                  <w:vAlign w:val="center"/>
                </w:tcPr>
                <w:p w14:paraId="27802497">
                  <w:pPr>
                    <w:pStyle w:val="69"/>
                    <w:rPr>
                      <w:szCs w:val="21"/>
                    </w:rPr>
                  </w:pPr>
                  <w:r>
                    <w:rPr>
                      <w:szCs w:val="21"/>
                    </w:rPr>
                    <w:t>/</w:t>
                  </w:r>
                </w:p>
              </w:tc>
              <w:tc>
                <w:tcPr>
                  <w:tcW w:w="556" w:type="pct"/>
                  <w:tcBorders>
                    <w:tl2br w:val="nil"/>
                    <w:tr2bl w:val="nil"/>
                  </w:tcBorders>
                  <w:vAlign w:val="center"/>
                </w:tcPr>
                <w:p w14:paraId="7A087FDB">
                  <w:pPr>
                    <w:pStyle w:val="69"/>
                    <w:rPr>
                      <w:szCs w:val="21"/>
                    </w:rPr>
                  </w:pPr>
                  <w:r>
                    <w:rPr>
                      <w:rFonts w:hint="eastAsia"/>
                      <w:szCs w:val="21"/>
                    </w:rPr>
                    <w:t>/</w:t>
                  </w:r>
                </w:p>
              </w:tc>
              <w:tc>
                <w:tcPr>
                  <w:tcW w:w="968" w:type="pct"/>
                  <w:tcBorders>
                    <w:tl2br w:val="nil"/>
                    <w:tr2bl w:val="nil"/>
                  </w:tcBorders>
                  <w:vAlign w:val="center"/>
                </w:tcPr>
                <w:p w14:paraId="331DEDF2">
                  <w:pPr>
                    <w:pStyle w:val="69"/>
                    <w:rPr>
                      <w:szCs w:val="21"/>
                    </w:rPr>
                  </w:pPr>
                  <w:r>
                    <w:rPr>
                      <w:rFonts w:hint="eastAsia"/>
                      <w:szCs w:val="21"/>
                    </w:rPr>
                    <w:t>0.5</w:t>
                  </w:r>
                </w:p>
              </w:tc>
            </w:tr>
            <w:tr w14:paraId="095E5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6"/>
                  <w:tcBorders>
                    <w:tl2br w:val="nil"/>
                    <w:tr2bl w:val="nil"/>
                  </w:tcBorders>
                  <w:vAlign w:val="center"/>
                </w:tcPr>
                <w:p w14:paraId="52079EA7">
                  <w:pPr>
                    <w:pStyle w:val="69"/>
                    <w:rPr>
                      <w:szCs w:val="21"/>
                    </w:rPr>
                  </w:pPr>
                  <w:r>
                    <w:rPr>
                      <w:b/>
                      <w:bCs/>
                      <w:szCs w:val="21"/>
                    </w:rPr>
                    <w:t>二、生态环境保护投资</w:t>
                  </w:r>
                </w:p>
              </w:tc>
            </w:tr>
            <w:tr w14:paraId="4F88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0302A10A">
                  <w:pPr>
                    <w:pStyle w:val="69"/>
                    <w:rPr>
                      <w:szCs w:val="21"/>
                    </w:rPr>
                  </w:pPr>
                  <w:r>
                    <w:rPr>
                      <w:szCs w:val="21"/>
                    </w:rPr>
                    <w:t>1</w:t>
                  </w:r>
                </w:p>
              </w:tc>
              <w:tc>
                <w:tcPr>
                  <w:tcW w:w="2591" w:type="pct"/>
                  <w:gridSpan w:val="2"/>
                  <w:tcBorders>
                    <w:tl2br w:val="nil"/>
                    <w:tr2bl w:val="nil"/>
                  </w:tcBorders>
                  <w:vAlign w:val="center"/>
                </w:tcPr>
                <w:p w14:paraId="16E89D14">
                  <w:pPr>
                    <w:pStyle w:val="69"/>
                    <w:rPr>
                      <w:szCs w:val="21"/>
                    </w:rPr>
                  </w:pPr>
                  <w:r>
                    <w:rPr>
                      <w:szCs w:val="21"/>
                    </w:rPr>
                    <w:t>水土保持及绿化景观，包括植物措施、临时工程防护（</w:t>
                  </w:r>
                  <w:r>
                    <w:rPr>
                      <w:rFonts w:hint="eastAsia"/>
                      <w:szCs w:val="21"/>
                    </w:rPr>
                    <w:t>包含在</w:t>
                  </w:r>
                  <w:r>
                    <w:rPr>
                      <w:szCs w:val="21"/>
                    </w:rPr>
                    <w:t>主体投资）</w:t>
                  </w:r>
                </w:p>
              </w:tc>
              <w:tc>
                <w:tcPr>
                  <w:tcW w:w="426" w:type="pct"/>
                  <w:tcBorders>
                    <w:tl2br w:val="nil"/>
                    <w:tr2bl w:val="nil"/>
                  </w:tcBorders>
                  <w:vAlign w:val="center"/>
                </w:tcPr>
                <w:p w14:paraId="74DED4B1">
                  <w:pPr>
                    <w:pStyle w:val="69"/>
                    <w:rPr>
                      <w:szCs w:val="21"/>
                    </w:rPr>
                  </w:pPr>
                  <w:r>
                    <w:rPr>
                      <w:szCs w:val="21"/>
                    </w:rPr>
                    <w:t>/</w:t>
                  </w:r>
                </w:p>
              </w:tc>
              <w:tc>
                <w:tcPr>
                  <w:tcW w:w="556" w:type="pct"/>
                  <w:tcBorders>
                    <w:tl2br w:val="nil"/>
                    <w:tr2bl w:val="nil"/>
                  </w:tcBorders>
                  <w:vAlign w:val="center"/>
                </w:tcPr>
                <w:p w14:paraId="239285A3">
                  <w:pPr>
                    <w:pStyle w:val="69"/>
                    <w:rPr>
                      <w:szCs w:val="21"/>
                    </w:rPr>
                  </w:pPr>
                  <w:r>
                    <w:rPr>
                      <w:rFonts w:hint="eastAsia"/>
                      <w:szCs w:val="21"/>
                    </w:rPr>
                    <w:t>/</w:t>
                  </w:r>
                </w:p>
              </w:tc>
              <w:tc>
                <w:tcPr>
                  <w:tcW w:w="968" w:type="pct"/>
                  <w:tcBorders>
                    <w:tl2br w:val="nil"/>
                    <w:tr2bl w:val="nil"/>
                  </w:tcBorders>
                  <w:vAlign w:val="center"/>
                </w:tcPr>
                <w:p w14:paraId="471D7117">
                  <w:pPr>
                    <w:pStyle w:val="69"/>
                    <w:rPr>
                      <w:szCs w:val="21"/>
                    </w:rPr>
                  </w:pPr>
                  <w:r>
                    <w:rPr>
                      <w:szCs w:val="21"/>
                    </w:rPr>
                    <w:t>/</w:t>
                  </w:r>
                </w:p>
              </w:tc>
            </w:tr>
            <w:tr w14:paraId="2113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000" w:type="pct"/>
                  <w:gridSpan w:val="6"/>
                  <w:tcBorders>
                    <w:tl2br w:val="nil"/>
                    <w:tr2bl w:val="nil"/>
                  </w:tcBorders>
                  <w:vAlign w:val="center"/>
                </w:tcPr>
                <w:p w14:paraId="3EBE2EB9">
                  <w:pPr>
                    <w:pStyle w:val="69"/>
                    <w:rPr>
                      <w:szCs w:val="21"/>
                    </w:rPr>
                  </w:pPr>
                  <w:r>
                    <w:rPr>
                      <w:b/>
                      <w:bCs/>
                      <w:szCs w:val="21"/>
                    </w:rPr>
                    <w:t>三、环境管理投资</w:t>
                  </w:r>
                </w:p>
              </w:tc>
            </w:tr>
            <w:tr w14:paraId="5B15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79B59C3F">
                  <w:pPr>
                    <w:pStyle w:val="69"/>
                    <w:rPr>
                      <w:szCs w:val="21"/>
                    </w:rPr>
                  </w:pPr>
                  <w:r>
                    <w:rPr>
                      <w:szCs w:val="21"/>
                    </w:rPr>
                    <w:t>1</w:t>
                  </w:r>
                </w:p>
              </w:tc>
              <w:tc>
                <w:tcPr>
                  <w:tcW w:w="2591" w:type="pct"/>
                  <w:gridSpan w:val="2"/>
                  <w:tcBorders>
                    <w:tl2br w:val="nil"/>
                    <w:tr2bl w:val="nil"/>
                  </w:tcBorders>
                  <w:vAlign w:val="center"/>
                </w:tcPr>
                <w:p w14:paraId="47381A9E">
                  <w:pPr>
                    <w:pStyle w:val="69"/>
                    <w:rPr>
                      <w:szCs w:val="21"/>
                    </w:rPr>
                  </w:pPr>
                  <w:r>
                    <w:rPr>
                      <w:szCs w:val="21"/>
                    </w:rPr>
                    <w:t>人员培训费用</w:t>
                  </w:r>
                </w:p>
              </w:tc>
              <w:tc>
                <w:tcPr>
                  <w:tcW w:w="426" w:type="pct"/>
                  <w:tcBorders>
                    <w:tl2br w:val="nil"/>
                    <w:tr2bl w:val="nil"/>
                  </w:tcBorders>
                  <w:vAlign w:val="center"/>
                </w:tcPr>
                <w:p w14:paraId="4E61F172">
                  <w:pPr>
                    <w:pStyle w:val="69"/>
                    <w:rPr>
                      <w:szCs w:val="21"/>
                    </w:rPr>
                  </w:pPr>
                  <w:r>
                    <w:rPr>
                      <w:szCs w:val="21"/>
                    </w:rPr>
                    <w:t>/</w:t>
                  </w:r>
                </w:p>
              </w:tc>
              <w:tc>
                <w:tcPr>
                  <w:tcW w:w="556" w:type="pct"/>
                  <w:tcBorders>
                    <w:tl2br w:val="nil"/>
                    <w:tr2bl w:val="nil"/>
                  </w:tcBorders>
                  <w:vAlign w:val="center"/>
                </w:tcPr>
                <w:p w14:paraId="1E787849">
                  <w:pPr>
                    <w:pStyle w:val="69"/>
                    <w:rPr>
                      <w:szCs w:val="21"/>
                    </w:rPr>
                  </w:pPr>
                  <w:r>
                    <w:rPr>
                      <w:rFonts w:hint="eastAsia"/>
                      <w:szCs w:val="21"/>
                    </w:rPr>
                    <w:t>/</w:t>
                  </w:r>
                </w:p>
              </w:tc>
              <w:tc>
                <w:tcPr>
                  <w:tcW w:w="968" w:type="pct"/>
                  <w:tcBorders>
                    <w:tl2br w:val="nil"/>
                    <w:tr2bl w:val="nil"/>
                  </w:tcBorders>
                  <w:vAlign w:val="center"/>
                </w:tcPr>
                <w:p w14:paraId="0EAB4225">
                  <w:pPr>
                    <w:pStyle w:val="69"/>
                    <w:rPr>
                      <w:szCs w:val="21"/>
                    </w:rPr>
                  </w:pPr>
                  <w:r>
                    <w:rPr>
                      <w:rFonts w:hint="eastAsia"/>
                      <w:szCs w:val="21"/>
                    </w:rPr>
                    <w:t>2</w:t>
                  </w:r>
                  <w:r>
                    <w:rPr>
                      <w:szCs w:val="21"/>
                    </w:rPr>
                    <w:t>.0</w:t>
                  </w:r>
                </w:p>
              </w:tc>
            </w:tr>
            <w:tr w14:paraId="4705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59" w:type="pct"/>
                  <w:tcBorders>
                    <w:tl2br w:val="nil"/>
                    <w:tr2bl w:val="nil"/>
                  </w:tcBorders>
                  <w:vAlign w:val="center"/>
                </w:tcPr>
                <w:p w14:paraId="5660D61F">
                  <w:pPr>
                    <w:pStyle w:val="69"/>
                    <w:rPr>
                      <w:szCs w:val="21"/>
                    </w:rPr>
                  </w:pPr>
                  <w:r>
                    <w:rPr>
                      <w:szCs w:val="21"/>
                    </w:rPr>
                    <w:t>2</w:t>
                  </w:r>
                </w:p>
              </w:tc>
              <w:tc>
                <w:tcPr>
                  <w:tcW w:w="2591" w:type="pct"/>
                  <w:gridSpan w:val="2"/>
                  <w:tcBorders>
                    <w:tl2br w:val="nil"/>
                    <w:tr2bl w:val="nil"/>
                  </w:tcBorders>
                  <w:vAlign w:val="center"/>
                </w:tcPr>
                <w:p w14:paraId="5C035035">
                  <w:pPr>
                    <w:pStyle w:val="69"/>
                    <w:rPr>
                      <w:szCs w:val="21"/>
                    </w:rPr>
                  </w:pPr>
                  <w:r>
                    <w:rPr>
                      <w:szCs w:val="21"/>
                    </w:rPr>
                    <w:t>宣传教育</w:t>
                  </w:r>
                </w:p>
              </w:tc>
              <w:tc>
                <w:tcPr>
                  <w:tcW w:w="426" w:type="pct"/>
                  <w:tcBorders>
                    <w:tl2br w:val="nil"/>
                    <w:tr2bl w:val="nil"/>
                  </w:tcBorders>
                  <w:vAlign w:val="center"/>
                </w:tcPr>
                <w:p w14:paraId="0628DF25">
                  <w:pPr>
                    <w:pStyle w:val="69"/>
                    <w:rPr>
                      <w:szCs w:val="21"/>
                    </w:rPr>
                  </w:pPr>
                  <w:r>
                    <w:rPr>
                      <w:szCs w:val="21"/>
                    </w:rPr>
                    <w:t>/</w:t>
                  </w:r>
                </w:p>
              </w:tc>
              <w:tc>
                <w:tcPr>
                  <w:tcW w:w="556" w:type="pct"/>
                  <w:tcBorders>
                    <w:tl2br w:val="nil"/>
                    <w:tr2bl w:val="nil"/>
                  </w:tcBorders>
                  <w:vAlign w:val="center"/>
                </w:tcPr>
                <w:p w14:paraId="69053268">
                  <w:pPr>
                    <w:pStyle w:val="69"/>
                    <w:rPr>
                      <w:szCs w:val="21"/>
                    </w:rPr>
                  </w:pPr>
                  <w:r>
                    <w:rPr>
                      <w:rFonts w:hint="eastAsia"/>
                      <w:szCs w:val="21"/>
                    </w:rPr>
                    <w:t>/</w:t>
                  </w:r>
                </w:p>
              </w:tc>
              <w:tc>
                <w:tcPr>
                  <w:tcW w:w="968" w:type="pct"/>
                  <w:tcBorders>
                    <w:tl2br w:val="nil"/>
                    <w:tr2bl w:val="nil"/>
                  </w:tcBorders>
                  <w:vAlign w:val="center"/>
                </w:tcPr>
                <w:p w14:paraId="076BA0D1">
                  <w:pPr>
                    <w:pStyle w:val="69"/>
                    <w:rPr>
                      <w:szCs w:val="21"/>
                    </w:rPr>
                  </w:pPr>
                  <w:r>
                    <w:rPr>
                      <w:rFonts w:hint="eastAsia"/>
                      <w:szCs w:val="21"/>
                    </w:rPr>
                    <w:t>1</w:t>
                  </w:r>
                  <w:r>
                    <w:rPr>
                      <w:szCs w:val="21"/>
                    </w:rPr>
                    <w:t>.0</w:t>
                  </w:r>
                </w:p>
              </w:tc>
            </w:tr>
            <w:tr w14:paraId="61AC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032" w:type="pct"/>
                  <w:gridSpan w:val="5"/>
                  <w:tcBorders>
                    <w:tl2br w:val="nil"/>
                    <w:tr2bl w:val="nil"/>
                  </w:tcBorders>
                  <w:vAlign w:val="center"/>
                </w:tcPr>
                <w:p w14:paraId="2CC34338">
                  <w:pPr>
                    <w:pStyle w:val="69"/>
                    <w:rPr>
                      <w:b/>
                      <w:bCs/>
                      <w:szCs w:val="21"/>
                    </w:rPr>
                  </w:pPr>
                  <w:r>
                    <w:rPr>
                      <w:b/>
                      <w:bCs/>
                      <w:szCs w:val="21"/>
                    </w:rPr>
                    <w:t>总计</w:t>
                  </w:r>
                </w:p>
              </w:tc>
              <w:tc>
                <w:tcPr>
                  <w:tcW w:w="968" w:type="pct"/>
                  <w:tcBorders>
                    <w:tl2br w:val="nil"/>
                    <w:tr2bl w:val="nil"/>
                  </w:tcBorders>
                  <w:vAlign w:val="center"/>
                </w:tcPr>
                <w:p w14:paraId="59F6872C">
                  <w:pPr>
                    <w:pStyle w:val="69"/>
                    <w:rPr>
                      <w:szCs w:val="21"/>
                    </w:rPr>
                  </w:pPr>
                  <w:r>
                    <w:rPr>
                      <w:szCs w:val="21"/>
                    </w:rPr>
                    <w:t>20.0</w:t>
                  </w:r>
                </w:p>
              </w:tc>
            </w:tr>
          </w:tbl>
          <w:p w14:paraId="30350839">
            <w:pPr>
              <w:ind w:firstLine="480"/>
            </w:pPr>
          </w:p>
        </w:tc>
      </w:tr>
    </w:tbl>
    <w:p w14:paraId="3CF97137">
      <w:pPr>
        <w:pStyle w:val="22"/>
        <w:jc w:val="center"/>
        <w:outlineLvl w:val="0"/>
        <w:rPr>
          <w:rFonts w:ascii="Times New Roman" w:hAnsi="Times New Roman" w:eastAsia="黑体"/>
          <w:snapToGrid w:val="0"/>
          <w:sz w:val="30"/>
          <w:szCs w:val="30"/>
        </w:rPr>
        <w:sectPr>
          <w:pgSz w:w="11906" w:h="16838"/>
          <w:pgMar w:top="1417" w:right="1417" w:bottom="1417" w:left="1417" w:header="851" w:footer="992" w:gutter="0"/>
          <w:cols w:space="720" w:num="1"/>
          <w:docGrid w:type="lines" w:linePitch="312" w:charSpace="0"/>
        </w:sectPr>
      </w:pPr>
    </w:p>
    <w:p w14:paraId="2E71B603">
      <w:pPr>
        <w:pStyle w:val="22"/>
        <w:snapToGrid w:val="0"/>
        <w:spacing w:before="0" w:beforeAutospacing="0" w:after="0" w:afterAutospacing="0" w:line="360" w:lineRule="auto"/>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六、生态环境保护措施监督检查清单</w:t>
      </w:r>
      <w:bookmarkEnd w:id="5"/>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09"/>
        <w:gridCol w:w="1559"/>
        <w:gridCol w:w="2129"/>
        <w:gridCol w:w="1664"/>
      </w:tblGrid>
      <w:tr w14:paraId="02B2C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22" w:type="pct"/>
            <w:vMerge w:val="restart"/>
            <w:tcBorders>
              <w:tl2br w:val="single" w:color="auto" w:sz="4" w:space="0"/>
            </w:tcBorders>
          </w:tcPr>
          <w:p w14:paraId="5B606CF3">
            <w:pPr>
              <w:pStyle w:val="69"/>
            </w:pPr>
            <w:r>
              <w:t xml:space="preserve">   内容</w:t>
            </w:r>
          </w:p>
          <w:p w14:paraId="1D409AA5">
            <w:pPr>
              <w:pStyle w:val="69"/>
            </w:pPr>
          </w:p>
          <w:p w14:paraId="527962CA">
            <w:pPr>
              <w:pStyle w:val="69"/>
            </w:pPr>
            <w:r>
              <w:t>要素</w:t>
            </w:r>
          </w:p>
        </w:tc>
        <w:tc>
          <w:tcPr>
            <w:tcW w:w="2136" w:type="pct"/>
            <w:gridSpan w:val="2"/>
            <w:vAlign w:val="center"/>
          </w:tcPr>
          <w:p w14:paraId="15CFB7BA">
            <w:pPr>
              <w:pStyle w:val="69"/>
            </w:pPr>
            <w:r>
              <w:t>施工期</w:t>
            </w:r>
          </w:p>
        </w:tc>
        <w:tc>
          <w:tcPr>
            <w:tcW w:w="2042" w:type="pct"/>
            <w:gridSpan w:val="2"/>
            <w:vAlign w:val="center"/>
          </w:tcPr>
          <w:p w14:paraId="5CC813F7">
            <w:pPr>
              <w:pStyle w:val="69"/>
            </w:pPr>
            <w:r>
              <w:t>运营期</w:t>
            </w:r>
          </w:p>
        </w:tc>
      </w:tr>
      <w:tr w14:paraId="43099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22" w:type="pct"/>
            <w:vMerge w:val="continue"/>
          </w:tcPr>
          <w:p w14:paraId="1FF51DA9">
            <w:pPr>
              <w:pStyle w:val="69"/>
            </w:pPr>
          </w:p>
        </w:tc>
        <w:tc>
          <w:tcPr>
            <w:tcW w:w="1297" w:type="pct"/>
            <w:vAlign w:val="center"/>
          </w:tcPr>
          <w:p w14:paraId="197FA1DC">
            <w:pPr>
              <w:pStyle w:val="69"/>
            </w:pPr>
            <w:r>
              <w:t>环境保护措施</w:t>
            </w:r>
          </w:p>
        </w:tc>
        <w:tc>
          <w:tcPr>
            <w:tcW w:w="839" w:type="pct"/>
            <w:vAlign w:val="center"/>
          </w:tcPr>
          <w:p w14:paraId="507127A6">
            <w:pPr>
              <w:pStyle w:val="69"/>
            </w:pPr>
            <w:r>
              <w:t>验收要求</w:t>
            </w:r>
          </w:p>
        </w:tc>
        <w:tc>
          <w:tcPr>
            <w:tcW w:w="1146" w:type="pct"/>
            <w:vAlign w:val="center"/>
          </w:tcPr>
          <w:p w14:paraId="200AE406">
            <w:pPr>
              <w:pStyle w:val="69"/>
            </w:pPr>
            <w:r>
              <w:t>环境保护措施</w:t>
            </w:r>
          </w:p>
        </w:tc>
        <w:tc>
          <w:tcPr>
            <w:tcW w:w="896" w:type="pct"/>
            <w:vAlign w:val="center"/>
          </w:tcPr>
          <w:p w14:paraId="5CDA700D">
            <w:pPr>
              <w:pStyle w:val="69"/>
            </w:pPr>
            <w:r>
              <w:t>验收要求</w:t>
            </w:r>
          </w:p>
        </w:tc>
      </w:tr>
      <w:tr w14:paraId="6BF0E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616EEA48">
            <w:pPr>
              <w:pStyle w:val="69"/>
            </w:pPr>
            <w:r>
              <w:t>陆生生态</w:t>
            </w:r>
          </w:p>
        </w:tc>
        <w:tc>
          <w:tcPr>
            <w:tcW w:w="1297" w:type="pct"/>
            <w:vAlign w:val="center"/>
          </w:tcPr>
          <w:p w14:paraId="771EA65E">
            <w:r>
              <w:t>加强施工管理，严格按划定的道路红线施工并采取防护措施；分段施工、及时回填，施工裸露地表随时密目网覆盖，防止水土流失</w:t>
            </w:r>
            <w:r>
              <w:rPr>
                <w:rFonts w:hint="eastAsia"/>
              </w:rPr>
              <w:t>。</w:t>
            </w:r>
          </w:p>
        </w:tc>
        <w:tc>
          <w:tcPr>
            <w:tcW w:w="839" w:type="pct"/>
            <w:vAlign w:val="center"/>
          </w:tcPr>
          <w:p w14:paraId="6DE158A9">
            <w:r>
              <w:rPr>
                <w:rFonts w:hint="eastAsia"/>
              </w:rPr>
              <w:t>落实各项环保措施，以减轻生态破坏、水土流失程度。</w:t>
            </w:r>
          </w:p>
        </w:tc>
        <w:tc>
          <w:tcPr>
            <w:tcW w:w="1146" w:type="pct"/>
            <w:vAlign w:val="center"/>
          </w:tcPr>
          <w:p w14:paraId="7913369D">
            <w:r>
              <w:rPr>
                <w:rFonts w:hint="eastAsia"/>
              </w:rPr>
              <w:t>加强管理，注意沿线绿化的日常维护（包括浇水、修剪等），对道路沿线进行景观提升。</w:t>
            </w:r>
          </w:p>
        </w:tc>
        <w:tc>
          <w:tcPr>
            <w:tcW w:w="896" w:type="pct"/>
            <w:vAlign w:val="center"/>
          </w:tcPr>
          <w:p w14:paraId="7123228A">
            <w:r>
              <w:t>做好施工临时占地的生态恢复</w:t>
            </w:r>
            <w:r>
              <w:rPr>
                <w:rFonts w:hint="eastAsia"/>
              </w:rPr>
              <w:t>。</w:t>
            </w:r>
          </w:p>
        </w:tc>
      </w:tr>
      <w:tr w14:paraId="19B79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489CEA7">
            <w:pPr>
              <w:pStyle w:val="69"/>
            </w:pPr>
            <w:r>
              <w:t>水生生态</w:t>
            </w:r>
          </w:p>
        </w:tc>
        <w:tc>
          <w:tcPr>
            <w:tcW w:w="1297" w:type="pct"/>
            <w:vAlign w:val="center"/>
          </w:tcPr>
          <w:p w14:paraId="05C9A055">
            <w:pPr>
              <w:pStyle w:val="69"/>
            </w:pPr>
            <w:r>
              <w:rPr>
                <w:rFonts w:hint="eastAsia"/>
              </w:rPr>
              <w:t>/</w:t>
            </w:r>
          </w:p>
        </w:tc>
        <w:tc>
          <w:tcPr>
            <w:tcW w:w="839" w:type="pct"/>
            <w:vAlign w:val="center"/>
          </w:tcPr>
          <w:p w14:paraId="2318912E">
            <w:pPr>
              <w:pStyle w:val="69"/>
            </w:pPr>
            <w:r>
              <w:rPr>
                <w:rFonts w:hint="eastAsia"/>
              </w:rPr>
              <w:t>/</w:t>
            </w:r>
          </w:p>
        </w:tc>
        <w:tc>
          <w:tcPr>
            <w:tcW w:w="1146" w:type="pct"/>
            <w:vAlign w:val="center"/>
          </w:tcPr>
          <w:p w14:paraId="00866350">
            <w:pPr>
              <w:pStyle w:val="69"/>
            </w:pPr>
            <w:r>
              <w:rPr>
                <w:rFonts w:hint="eastAsia"/>
              </w:rPr>
              <w:t>/</w:t>
            </w:r>
            <w:r>
              <w:t>。</w:t>
            </w:r>
          </w:p>
        </w:tc>
        <w:tc>
          <w:tcPr>
            <w:tcW w:w="896" w:type="pct"/>
            <w:vAlign w:val="center"/>
          </w:tcPr>
          <w:p w14:paraId="3E9CA01F">
            <w:pPr>
              <w:pStyle w:val="69"/>
            </w:pPr>
            <w:r>
              <w:rPr>
                <w:rFonts w:hint="eastAsia"/>
              </w:rPr>
              <w:t>/</w:t>
            </w:r>
          </w:p>
        </w:tc>
      </w:tr>
      <w:tr w14:paraId="718B9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33401284">
            <w:pPr>
              <w:pStyle w:val="69"/>
            </w:pPr>
            <w:r>
              <w:t>地表水环境</w:t>
            </w:r>
          </w:p>
        </w:tc>
        <w:tc>
          <w:tcPr>
            <w:tcW w:w="1297" w:type="pct"/>
            <w:vAlign w:val="center"/>
          </w:tcPr>
          <w:p w14:paraId="3C13196F">
            <w:pPr>
              <w:pStyle w:val="69"/>
            </w:pPr>
            <w:r>
              <w:rPr>
                <w:rFonts w:hint="eastAsia"/>
              </w:rPr>
              <w:t>施工人员均租用当地民房，生活污水依托租用民房的化粪池处理，清掏回用农田，不外排</w:t>
            </w:r>
          </w:p>
        </w:tc>
        <w:tc>
          <w:tcPr>
            <w:tcW w:w="839" w:type="pct"/>
            <w:vAlign w:val="center"/>
          </w:tcPr>
          <w:p w14:paraId="43C39C1A">
            <w:pPr>
              <w:pStyle w:val="69"/>
            </w:pPr>
            <w:r>
              <w:rPr>
                <w:rFonts w:hint="eastAsia"/>
              </w:rPr>
              <w:t>减轻对</w:t>
            </w:r>
            <w:r>
              <w:t>地表水的影响</w:t>
            </w:r>
          </w:p>
        </w:tc>
        <w:tc>
          <w:tcPr>
            <w:tcW w:w="1146" w:type="pct"/>
            <w:vAlign w:val="center"/>
          </w:tcPr>
          <w:p w14:paraId="4248770C">
            <w:pPr>
              <w:pStyle w:val="69"/>
            </w:pPr>
            <w:r>
              <w:rPr>
                <w:rFonts w:hint="eastAsia"/>
              </w:rPr>
              <w:t>/</w:t>
            </w:r>
          </w:p>
        </w:tc>
        <w:tc>
          <w:tcPr>
            <w:tcW w:w="896" w:type="pct"/>
            <w:vAlign w:val="center"/>
          </w:tcPr>
          <w:p w14:paraId="710BECE2">
            <w:pPr>
              <w:pStyle w:val="69"/>
            </w:pPr>
            <w:r>
              <w:rPr>
                <w:rFonts w:hint="eastAsia"/>
              </w:rPr>
              <w:t>/</w:t>
            </w:r>
          </w:p>
        </w:tc>
      </w:tr>
      <w:tr w14:paraId="63E32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4608C03">
            <w:pPr>
              <w:pStyle w:val="69"/>
            </w:pPr>
            <w:r>
              <w:t>地下水及土壤环境</w:t>
            </w:r>
          </w:p>
        </w:tc>
        <w:tc>
          <w:tcPr>
            <w:tcW w:w="1297" w:type="pct"/>
            <w:vAlign w:val="center"/>
          </w:tcPr>
          <w:p w14:paraId="56E8190B">
            <w:pPr>
              <w:pStyle w:val="69"/>
            </w:pPr>
            <w:r>
              <w:t>/</w:t>
            </w:r>
          </w:p>
        </w:tc>
        <w:tc>
          <w:tcPr>
            <w:tcW w:w="839" w:type="pct"/>
            <w:vAlign w:val="center"/>
          </w:tcPr>
          <w:p w14:paraId="21159F8D">
            <w:pPr>
              <w:pStyle w:val="69"/>
            </w:pPr>
            <w:r>
              <w:t>/</w:t>
            </w:r>
          </w:p>
        </w:tc>
        <w:tc>
          <w:tcPr>
            <w:tcW w:w="1146" w:type="pct"/>
            <w:vAlign w:val="center"/>
          </w:tcPr>
          <w:p w14:paraId="5596B4EB">
            <w:pPr>
              <w:pStyle w:val="69"/>
            </w:pPr>
            <w:r>
              <w:t>/</w:t>
            </w:r>
          </w:p>
        </w:tc>
        <w:tc>
          <w:tcPr>
            <w:tcW w:w="896" w:type="pct"/>
            <w:vAlign w:val="center"/>
          </w:tcPr>
          <w:p w14:paraId="11A78D44">
            <w:pPr>
              <w:pStyle w:val="69"/>
            </w:pPr>
            <w:r>
              <w:t>/</w:t>
            </w:r>
          </w:p>
        </w:tc>
      </w:tr>
      <w:tr w14:paraId="59804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B6D392D">
            <w:pPr>
              <w:pStyle w:val="69"/>
            </w:pPr>
            <w:r>
              <w:t>声环境</w:t>
            </w:r>
          </w:p>
        </w:tc>
        <w:tc>
          <w:tcPr>
            <w:tcW w:w="1297" w:type="pct"/>
            <w:vAlign w:val="center"/>
          </w:tcPr>
          <w:p w14:paraId="483746BE">
            <w:pPr>
              <w:pStyle w:val="69"/>
            </w:pPr>
            <w:r>
              <w:t>合理布局施工现场，</w:t>
            </w:r>
            <w:r>
              <w:rPr>
                <w:rFonts w:hint="eastAsia"/>
              </w:rPr>
              <w:t>禁止夜间施工</w:t>
            </w:r>
            <w:r>
              <w:t>，选用低噪声设备；加强进出车辆管理</w:t>
            </w:r>
          </w:p>
        </w:tc>
        <w:tc>
          <w:tcPr>
            <w:tcW w:w="839" w:type="pct"/>
            <w:vAlign w:val="center"/>
          </w:tcPr>
          <w:p w14:paraId="0BA1C73C">
            <w:pPr>
              <w:pStyle w:val="69"/>
            </w:pPr>
            <w:r>
              <w:t>满足《建筑施工场界</w:t>
            </w:r>
            <w:r>
              <w:rPr>
                <w:rFonts w:hint="eastAsia"/>
              </w:rPr>
              <w:t>环境噪声排放标准</w:t>
            </w:r>
            <w:r>
              <w:t>》(GB12523-2011）的标准限值。</w:t>
            </w:r>
          </w:p>
        </w:tc>
        <w:tc>
          <w:tcPr>
            <w:tcW w:w="1146" w:type="pct"/>
            <w:vAlign w:val="center"/>
          </w:tcPr>
          <w:p w14:paraId="586504F7">
            <w:r>
              <w:rPr>
                <w:rFonts w:hint="eastAsia"/>
              </w:rPr>
              <w:t>设置绿化带、减速带、限速禁鸣、控制行车噪声及车速、加强路面保养维持路面平整</w:t>
            </w:r>
          </w:p>
        </w:tc>
        <w:tc>
          <w:tcPr>
            <w:tcW w:w="896" w:type="pct"/>
            <w:vAlign w:val="center"/>
          </w:tcPr>
          <w:p w14:paraId="367C4C1A">
            <w:r>
              <w:rPr>
                <w:rFonts w:hint="eastAsia"/>
              </w:rPr>
              <w:t>落实各项环保措施</w:t>
            </w:r>
          </w:p>
        </w:tc>
      </w:tr>
      <w:tr w14:paraId="72D69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2983307D">
            <w:pPr>
              <w:pStyle w:val="69"/>
            </w:pPr>
            <w:r>
              <w:t>振动</w:t>
            </w:r>
          </w:p>
        </w:tc>
        <w:tc>
          <w:tcPr>
            <w:tcW w:w="1297" w:type="pct"/>
            <w:vAlign w:val="center"/>
          </w:tcPr>
          <w:p w14:paraId="28E804A7">
            <w:pPr>
              <w:pStyle w:val="69"/>
            </w:pPr>
            <w:r>
              <w:rPr>
                <w:rFonts w:hint="eastAsia"/>
              </w:rPr>
              <w:t>/</w:t>
            </w:r>
          </w:p>
        </w:tc>
        <w:tc>
          <w:tcPr>
            <w:tcW w:w="839" w:type="pct"/>
            <w:vAlign w:val="center"/>
          </w:tcPr>
          <w:p w14:paraId="68073AF4">
            <w:pPr>
              <w:pStyle w:val="69"/>
            </w:pPr>
            <w:r>
              <w:t>/</w:t>
            </w:r>
          </w:p>
        </w:tc>
        <w:tc>
          <w:tcPr>
            <w:tcW w:w="1146" w:type="pct"/>
            <w:vAlign w:val="center"/>
          </w:tcPr>
          <w:p w14:paraId="786D9CFF">
            <w:pPr>
              <w:pStyle w:val="69"/>
            </w:pPr>
            <w:r>
              <w:t>/</w:t>
            </w:r>
          </w:p>
        </w:tc>
        <w:tc>
          <w:tcPr>
            <w:tcW w:w="896" w:type="pct"/>
            <w:vAlign w:val="center"/>
          </w:tcPr>
          <w:p w14:paraId="202CD43B">
            <w:pPr>
              <w:pStyle w:val="69"/>
            </w:pPr>
            <w:r>
              <w:t>/</w:t>
            </w:r>
          </w:p>
        </w:tc>
      </w:tr>
      <w:tr w14:paraId="12701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2E51BA01">
            <w:pPr>
              <w:pStyle w:val="69"/>
            </w:pPr>
            <w:r>
              <w:t>大气环境</w:t>
            </w:r>
          </w:p>
        </w:tc>
        <w:tc>
          <w:tcPr>
            <w:tcW w:w="1297" w:type="pct"/>
            <w:vAlign w:val="center"/>
          </w:tcPr>
          <w:p w14:paraId="10598A6A">
            <w:r>
              <w:rPr>
                <w:rFonts w:hint="eastAsia"/>
              </w:rPr>
              <w:t>密闭围挡；洒水抑尘；车辆冲洗设施等；缩短沥青铺设工期；加强施工车辆运行管理及维护保养</w:t>
            </w:r>
          </w:p>
        </w:tc>
        <w:tc>
          <w:tcPr>
            <w:tcW w:w="839" w:type="pct"/>
            <w:vAlign w:val="center"/>
          </w:tcPr>
          <w:p w14:paraId="561FB403">
            <w:r>
              <w:rPr>
                <w:rFonts w:hint="eastAsia"/>
              </w:rPr>
              <w:t>落实各项环保措施，施工期应采集和留存落实各项环保措施的照片、影像资料等</w:t>
            </w:r>
          </w:p>
        </w:tc>
        <w:tc>
          <w:tcPr>
            <w:tcW w:w="1146" w:type="pct"/>
            <w:vAlign w:val="center"/>
          </w:tcPr>
          <w:p w14:paraId="1949B713">
            <w:r>
              <w:rPr>
                <w:rFonts w:hint="eastAsia"/>
              </w:rPr>
              <w:t>道路两旁绿化、加强道路清扫、定期洒水等措施</w:t>
            </w:r>
          </w:p>
        </w:tc>
        <w:tc>
          <w:tcPr>
            <w:tcW w:w="896" w:type="pct"/>
            <w:vAlign w:val="center"/>
          </w:tcPr>
          <w:p w14:paraId="3C012187">
            <w:r>
              <w:rPr>
                <w:rFonts w:hint="eastAsia"/>
              </w:rPr>
              <w:t>落实各项环保措施</w:t>
            </w:r>
          </w:p>
        </w:tc>
      </w:tr>
      <w:tr w14:paraId="16BE2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717350DF">
            <w:pPr>
              <w:pStyle w:val="69"/>
            </w:pPr>
            <w:r>
              <w:t>固体废物</w:t>
            </w:r>
          </w:p>
        </w:tc>
        <w:tc>
          <w:tcPr>
            <w:tcW w:w="1297" w:type="pct"/>
            <w:vAlign w:val="center"/>
          </w:tcPr>
          <w:p w14:paraId="6FF27F42">
            <w:pPr>
              <w:pStyle w:val="69"/>
            </w:pPr>
            <w:r>
              <w:t>生活垃圾集中收集后</w:t>
            </w:r>
            <w:r>
              <w:rPr>
                <w:rFonts w:hint="eastAsia"/>
              </w:rPr>
              <w:t>统一</w:t>
            </w:r>
            <w:r>
              <w:t>处置。</w:t>
            </w:r>
          </w:p>
        </w:tc>
        <w:tc>
          <w:tcPr>
            <w:tcW w:w="839" w:type="pct"/>
            <w:vAlign w:val="center"/>
          </w:tcPr>
          <w:p w14:paraId="4508F7BE">
            <w:pPr>
              <w:pStyle w:val="69"/>
            </w:pPr>
            <w:r>
              <w:t>合理处置</w:t>
            </w:r>
          </w:p>
        </w:tc>
        <w:tc>
          <w:tcPr>
            <w:tcW w:w="1146" w:type="pct"/>
            <w:vAlign w:val="center"/>
          </w:tcPr>
          <w:p w14:paraId="04151C1A">
            <w:r>
              <w:rPr>
                <w:rFonts w:hint="eastAsia"/>
              </w:rPr>
              <w:t>加强文明宣传，加强管理，全线养护，道路沿线设置生活垃圾收集设施</w:t>
            </w:r>
          </w:p>
        </w:tc>
        <w:tc>
          <w:tcPr>
            <w:tcW w:w="896" w:type="pct"/>
            <w:vAlign w:val="center"/>
          </w:tcPr>
          <w:p w14:paraId="38E3D063">
            <w:r>
              <w:rPr>
                <w:rFonts w:hint="eastAsia"/>
              </w:rPr>
              <w:t>落实各项环保措施，确保道路沿线生活垃圾合理处置</w:t>
            </w:r>
          </w:p>
        </w:tc>
      </w:tr>
      <w:tr w14:paraId="6CC281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935AF72">
            <w:pPr>
              <w:pStyle w:val="69"/>
            </w:pPr>
            <w:r>
              <w:t>电磁环境</w:t>
            </w:r>
          </w:p>
        </w:tc>
        <w:tc>
          <w:tcPr>
            <w:tcW w:w="1297" w:type="pct"/>
            <w:vAlign w:val="center"/>
          </w:tcPr>
          <w:p w14:paraId="3B98633C">
            <w:pPr>
              <w:pStyle w:val="69"/>
            </w:pPr>
            <w:r>
              <w:t>/</w:t>
            </w:r>
          </w:p>
        </w:tc>
        <w:tc>
          <w:tcPr>
            <w:tcW w:w="839" w:type="pct"/>
            <w:vAlign w:val="center"/>
          </w:tcPr>
          <w:p w14:paraId="6023BED3">
            <w:pPr>
              <w:pStyle w:val="69"/>
            </w:pPr>
            <w:r>
              <w:t>/</w:t>
            </w:r>
          </w:p>
        </w:tc>
        <w:tc>
          <w:tcPr>
            <w:tcW w:w="1146" w:type="pct"/>
            <w:vAlign w:val="center"/>
          </w:tcPr>
          <w:p w14:paraId="565C902C">
            <w:pPr>
              <w:pStyle w:val="69"/>
            </w:pPr>
            <w:r>
              <w:t>/</w:t>
            </w:r>
          </w:p>
        </w:tc>
        <w:tc>
          <w:tcPr>
            <w:tcW w:w="896" w:type="pct"/>
            <w:vAlign w:val="center"/>
          </w:tcPr>
          <w:p w14:paraId="3813DAED">
            <w:pPr>
              <w:pStyle w:val="69"/>
            </w:pPr>
            <w:r>
              <w:t>/</w:t>
            </w:r>
          </w:p>
        </w:tc>
      </w:tr>
      <w:tr w14:paraId="7DB48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7D0213E9">
            <w:pPr>
              <w:pStyle w:val="69"/>
            </w:pPr>
            <w:r>
              <w:t>环境风险</w:t>
            </w:r>
          </w:p>
        </w:tc>
        <w:tc>
          <w:tcPr>
            <w:tcW w:w="1297" w:type="pct"/>
            <w:vAlign w:val="center"/>
          </w:tcPr>
          <w:p w14:paraId="53C2D0A6">
            <w:pPr>
              <w:pStyle w:val="69"/>
            </w:pPr>
            <w:r>
              <w:rPr>
                <w:rFonts w:hint="eastAsia"/>
              </w:rPr>
              <w:t>/</w:t>
            </w:r>
          </w:p>
        </w:tc>
        <w:tc>
          <w:tcPr>
            <w:tcW w:w="839" w:type="pct"/>
            <w:vAlign w:val="center"/>
          </w:tcPr>
          <w:p w14:paraId="73CB45A5">
            <w:pPr>
              <w:pStyle w:val="69"/>
            </w:pPr>
            <w:r>
              <w:rPr>
                <w:rFonts w:hint="eastAsia"/>
              </w:rPr>
              <w:t>/</w:t>
            </w:r>
          </w:p>
        </w:tc>
        <w:tc>
          <w:tcPr>
            <w:tcW w:w="1146" w:type="pct"/>
            <w:vAlign w:val="center"/>
          </w:tcPr>
          <w:p w14:paraId="583BC6DF">
            <w:pPr>
              <w:pStyle w:val="69"/>
            </w:pPr>
            <w:r>
              <w:rPr>
                <w:rFonts w:hint="eastAsia"/>
              </w:rPr>
              <w:t>/</w:t>
            </w:r>
          </w:p>
        </w:tc>
        <w:tc>
          <w:tcPr>
            <w:tcW w:w="896" w:type="pct"/>
            <w:vAlign w:val="center"/>
          </w:tcPr>
          <w:p w14:paraId="084943A3">
            <w:pPr>
              <w:pStyle w:val="69"/>
            </w:pPr>
            <w:r>
              <w:rPr>
                <w:rFonts w:hint="eastAsia"/>
              </w:rPr>
              <w:t>/</w:t>
            </w:r>
          </w:p>
        </w:tc>
      </w:tr>
      <w:tr w14:paraId="29FAC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21B138D">
            <w:pPr>
              <w:pStyle w:val="69"/>
            </w:pPr>
            <w:r>
              <w:t>环境监测</w:t>
            </w:r>
          </w:p>
        </w:tc>
        <w:tc>
          <w:tcPr>
            <w:tcW w:w="1297" w:type="pct"/>
            <w:vAlign w:val="center"/>
          </w:tcPr>
          <w:p w14:paraId="33C9B75B">
            <w:pPr>
              <w:pStyle w:val="83"/>
            </w:pPr>
            <w:r>
              <w:t>对项目沿线环境敏感点进行大气现状监测</w:t>
            </w:r>
          </w:p>
        </w:tc>
        <w:tc>
          <w:tcPr>
            <w:tcW w:w="839" w:type="pct"/>
            <w:vAlign w:val="center"/>
          </w:tcPr>
          <w:p w14:paraId="5C8BDB33">
            <w:pPr>
              <w:pStyle w:val="83"/>
            </w:pPr>
            <w:r>
              <w:t>满足《环境空气质量标准》二类区的标准限值。</w:t>
            </w:r>
          </w:p>
        </w:tc>
        <w:tc>
          <w:tcPr>
            <w:tcW w:w="1146" w:type="pct"/>
            <w:vAlign w:val="center"/>
          </w:tcPr>
          <w:p w14:paraId="7C6515C1">
            <w:pPr>
              <w:pStyle w:val="83"/>
            </w:pPr>
            <w:r>
              <w:rPr>
                <w:rFonts w:hint="eastAsia"/>
              </w:rPr>
              <w:t>/</w:t>
            </w:r>
          </w:p>
        </w:tc>
        <w:tc>
          <w:tcPr>
            <w:tcW w:w="896" w:type="pct"/>
            <w:vAlign w:val="center"/>
          </w:tcPr>
          <w:p w14:paraId="4D009256">
            <w:pPr>
              <w:pStyle w:val="83"/>
            </w:pPr>
            <w:r>
              <w:rPr>
                <w:rFonts w:hint="eastAsia"/>
              </w:rPr>
              <w:t>/</w:t>
            </w:r>
          </w:p>
        </w:tc>
      </w:tr>
      <w:tr w14:paraId="135B8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22" w:type="pct"/>
            <w:vAlign w:val="center"/>
          </w:tcPr>
          <w:p w14:paraId="147AC4E4">
            <w:pPr>
              <w:pStyle w:val="69"/>
            </w:pPr>
            <w:r>
              <w:t>其他</w:t>
            </w:r>
          </w:p>
        </w:tc>
        <w:tc>
          <w:tcPr>
            <w:tcW w:w="1297" w:type="pct"/>
            <w:vAlign w:val="center"/>
          </w:tcPr>
          <w:p w14:paraId="44E0178D">
            <w:pPr>
              <w:pStyle w:val="69"/>
            </w:pPr>
            <w:r>
              <w:t>/</w:t>
            </w:r>
          </w:p>
        </w:tc>
        <w:tc>
          <w:tcPr>
            <w:tcW w:w="839" w:type="pct"/>
            <w:vAlign w:val="center"/>
          </w:tcPr>
          <w:p w14:paraId="63F442F4">
            <w:pPr>
              <w:pStyle w:val="69"/>
            </w:pPr>
            <w:r>
              <w:t>/</w:t>
            </w:r>
          </w:p>
        </w:tc>
        <w:tc>
          <w:tcPr>
            <w:tcW w:w="1146" w:type="pct"/>
            <w:vAlign w:val="center"/>
          </w:tcPr>
          <w:p w14:paraId="2CB97677">
            <w:pPr>
              <w:pStyle w:val="69"/>
            </w:pPr>
            <w:r>
              <w:t>/</w:t>
            </w:r>
          </w:p>
        </w:tc>
        <w:tc>
          <w:tcPr>
            <w:tcW w:w="896" w:type="pct"/>
            <w:vAlign w:val="center"/>
          </w:tcPr>
          <w:p w14:paraId="62027551">
            <w:pPr>
              <w:pStyle w:val="69"/>
            </w:pPr>
            <w:r>
              <w:t>/</w:t>
            </w:r>
          </w:p>
        </w:tc>
      </w:tr>
    </w:tbl>
    <w:p w14:paraId="24688C1A">
      <w:pPr>
        <w:ind w:firstLine="480"/>
        <w:rPr>
          <w:snapToGrid w:val="0"/>
        </w:rPr>
        <w:sectPr>
          <w:pgSz w:w="11906" w:h="16838"/>
          <w:pgMar w:top="1417" w:right="1417" w:bottom="1417" w:left="1417" w:header="851" w:footer="992" w:gutter="0"/>
          <w:cols w:space="720" w:num="1"/>
          <w:docGrid w:type="lines" w:linePitch="312" w:charSpace="0"/>
        </w:sectPr>
      </w:pPr>
    </w:p>
    <w:p w14:paraId="46C6BCAD">
      <w:pPr>
        <w:pStyle w:val="22"/>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6ECE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0" w:hRule="atLeast"/>
          <w:jc w:val="center"/>
        </w:trPr>
        <w:tc>
          <w:tcPr>
            <w:tcW w:w="8865" w:type="dxa"/>
            <w:vAlign w:val="center"/>
          </w:tcPr>
          <w:p w14:paraId="5141086C">
            <w:pPr>
              <w:spacing w:line="360" w:lineRule="auto"/>
              <w:ind w:firstLine="480" w:firstLineChars="200"/>
              <w:rPr>
                <w:rFonts w:ascii="宋体" w:cs="宋体"/>
                <w:sz w:val="24"/>
              </w:rPr>
            </w:pPr>
            <w:r>
              <w:rPr>
                <w:rFonts w:hint="eastAsia" w:ascii="宋体" w:cs="宋体"/>
                <w:sz w:val="24"/>
              </w:rPr>
              <w:t>安康西站站前路（高铁一路-匝道桥-高铁二路）市政工程建设符合国家产业政策、相关规划及环境管理政策要求，项目推荐的路线方案合理，在施工期和营运期采取相应的环境保护措施后，可以使项目建设对环境的不利影响可得到有效控制，并能为环境所接受。从满足环境质量目标要求分析，项目建设可行。</w:t>
            </w:r>
          </w:p>
        </w:tc>
      </w:tr>
    </w:tbl>
    <w:p w14:paraId="0A597E0B">
      <w:pPr>
        <w:pStyle w:val="49"/>
        <w:spacing w:before="192" w:beforeLines="80" w:after="24"/>
        <w:jc w:val="left"/>
        <w:rPr>
          <w:sz w:val="10"/>
          <w:szCs w:val="10"/>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B858A">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41F88">
    <w:pPr>
      <w:pStyle w:val="12"/>
      <w:framePr w:wrap="around" w:vAnchor="text" w:hAnchor="margin" w:xAlign="center" w:y="1"/>
      <w:rPr>
        <w:rStyle w:val="30"/>
      </w:rPr>
    </w:pPr>
    <w:r>
      <w:fldChar w:fldCharType="begin"/>
    </w:r>
    <w:r>
      <w:rPr>
        <w:rStyle w:val="30"/>
      </w:rPr>
      <w:instrText xml:space="preserve">PAGE  </w:instrText>
    </w:r>
    <w:r>
      <w:fldChar w:fldCharType="end"/>
    </w:r>
  </w:p>
  <w:p w14:paraId="5E1A6152">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9281809"/>
      <w:docPartObj>
        <w:docPartGallery w:val="AutoText"/>
      </w:docPartObj>
    </w:sdtPr>
    <w:sdtContent>
      <w:p w14:paraId="6D9BFCD9">
        <w:pPr>
          <w:pStyle w:val="12"/>
          <w:jc w:val="center"/>
        </w:pPr>
        <w:r>
          <w:fldChar w:fldCharType="begin"/>
        </w:r>
        <w:r>
          <w:instrText xml:space="preserve">PAGE   \* MERGEFORMAT</w:instrText>
        </w:r>
        <w:r>
          <w:fldChar w:fldCharType="separate"/>
        </w:r>
        <w:r>
          <w:rPr>
            <w:lang w:val="zh-CN"/>
          </w:rPr>
          <w:t>2</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5F2E1A"/>
    <w:multiLevelType w:val="singleLevel"/>
    <w:tmpl w:val="125F2E1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NjU5OWI0MGYxM2RmMmMxN2VjODVmNDUxODM3MGEifQ=="/>
  </w:docVars>
  <w:rsids>
    <w:rsidRoot w:val="00A14947"/>
    <w:rsid w:val="00000332"/>
    <w:rsid w:val="00000E61"/>
    <w:rsid w:val="00001F8F"/>
    <w:rsid w:val="00002746"/>
    <w:rsid w:val="00003392"/>
    <w:rsid w:val="000060B3"/>
    <w:rsid w:val="000063F6"/>
    <w:rsid w:val="0000647C"/>
    <w:rsid w:val="00007242"/>
    <w:rsid w:val="0000731A"/>
    <w:rsid w:val="0001152B"/>
    <w:rsid w:val="00014D6B"/>
    <w:rsid w:val="00015FE1"/>
    <w:rsid w:val="00016AD9"/>
    <w:rsid w:val="0001726E"/>
    <w:rsid w:val="0001768A"/>
    <w:rsid w:val="00017BBE"/>
    <w:rsid w:val="00017E8E"/>
    <w:rsid w:val="0002137E"/>
    <w:rsid w:val="000214F6"/>
    <w:rsid w:val="00023D87"/>
    <w:rsid w:val="00027619"/>
    <w:rsid w:val="000321BB"/>
    <w:rsid w:val="00032BB1"/>
    <w:rsid w:val="0003390C"/>
    <w:rsid w:val="00034FBD"/>
    <w:rsid w:val="0004084B"/>
    <w:rsid w:val="0004364B"/>
    <w:rsid w:val="00043663"/>
    <w:rsid w:val="00044875"/>
    <w:rsid w:val="00045679"/>
    <w:rsid w:val="000470B3"/>
    <w:rsid w:val="00047BF4"/>
    <w:rsid w:val="00047C39"/>
    <w:rsid w:val="000503A4"/>
    <w:rsid w:val="00050639"/>
    <w:rsid w:val="00051A67"/>
    <w:rsid w:val="0005203A"/>
    <w:rsid w:val="00052C7F"/>
    <w:rsid w:val="00054008"/>
    <w:rsid w:val="00055932"/>
    <w:rsid w:val="0005687B"/>
    <w:rsid w:val="0006007F"/>
    <w:rsid w:val="000607A3"/>
    <w:rsid w:val="000608B5"/>
    <w:rsid w:val="00061B1F"/>
    <w:rsid w:val="00061FCA"/>
    <w:rsid w:val="00064616"/>
    <w:rsid w:val="00065CA1"/>
    <w:rsid w:val="00065CBC"/>
    <w:rsid w:val="000664AD"/>
    <w:rsid w:val="0006671C"/>
    <w:rsid w:val="00067860"/>
    <w:rsid w:val="00070BCA"/>
    <w:rsid w:val="000733C4"/>
    <w:rsid w:val="00074173"/>
    <w:rsid w:val="00074783"/>
    <w:rsid w:val="0007554C"/>
    <w:rsid w:val="000765A0"/>
    <w:rsid w:val="0008070B"/>
    <w:rsid w:val="00080A72"/>
    <w:rsid w:val="0008104F"/>
    <w:rsid w:val="000810AC"/>
    <w:rsid w:val="00081A02"/>
    <w:rsid w:val="00082231"/>
    <w:rsid w:val="00082B48"/>
    <w:rsid w:val="0008415C"/>
    <w:rsid w:val="00085E8B"/>
    <w:rsid w:val="00086059"/>
    <w:rsid w:val="0008754B"/>
    <w:rsid w:val="00087DD4"/>
    <w:rsid w:val="00090ABE"/>
    <w:rsid w:val="00090EB6"/>
    <w:rsid w:val="00091113"/>
    <w:rsid w:val="00091E29"/>
    <w:rsid w:val="00092D38"/>
    <w:rsid w:val="0009377B"/>
    <w:rsid w:val="0009545D"/>
    <w:rsid w:val="00096A61"/>
    <w:rsid w:val="00096E43"/>
    <w:rsid w:val="000A0A08"/>
    <w:rsid w:val="000A20C9"/>
    <w:rsid w:val="000A241D"/>
    <w:rsid w:val="000A288F"/>
    <w:rsid w:val="000A3FDC"/>
    <w:rsid w:val="000A429F"/>
    <w:rsid w:val="000A5CAF"/>
    <w:rsid w:val="000A7376"/>
    <w:rsid w:val="000A776A"/>
    <w:rsid w:val="000A7798"/>
    <w:rsid w:val="000B058F"/>
    <w:rsid w:val="000B074E"/>
    <w:rsid w:val="000B0900"/>
    <w:rsid w:val="000B0A8F"/>
    <w:rsid w:val="000B0DD9"/>
    <w:rsid w:val="000B2BBC"/>
    <w:rsid w:val="000B4467"/>
    <w:rsid w:val="000B4DB9"/>
    <w:rsid w:val="000B663B"/>
    <w:rsid w:val="000C0930"/>
    <w:rsid w:val="000C09AC"/>
    <w:rsid w:val="000C1E92"/>
    <w:rsid w:val="000C3126"/>
    <w:rsid w:val="000C543B"/>
    <w:rsid w:val="000C60B4"/>
    <w:rsid w:val="000C6DA8"/>
    <w:rsid w:val="000C6F83"/>
    <w:rsid w:val="000C767F"/>
    <w:rsid w:val="000D1062"/>
    <w:rsid w:val="000D1CAC"/>
    <w:rsid w:val="000D5A44"/>
    <w:rsid w:val="000D62BF"/>
    <w:rsid w:val="000D657C"/>
    <w:rsid w:val="000D7542"/>
    <w:rsid w:val="000E0C86"/>
    <w:rsid w:val="000E17CB"/>
    <w:rsid w:val="000E1E8C"/>
    <w:rsid w:val="000E3A6A"/>
    <w:rsid w:val="000E3ED2"/>
    <w:rsid w:val="000E626A"/>
    <w:rsid w:val="000E6C36"/>
    <w:rsid w:val="000E6F59"/>
    <w:rsid w:val="000E7F21"/>
    <w:rsid w:val="000F0E10"/>
    <w:rsid w:val="000F205F"/>
    <w:rsid w:val="000F21C5"/>
    <w:rsid w:val="000F4530"/>
    <w:rsid w:val="000F6460"/>
    <w:rsid w:val="000F7962"/>
    <w:rsid w:val="00101ABB"/>
    <w:rsid w:val="00102263"/>
    <w:rsid w:val="001022D2"/>
    <w:rsid w:val="00104518"/>
    <w:rsid w:val="0010473E"/>
    <w:rsid w:val="001056C6"/>
    <w:rsid w:val="001077FA"/>
    <w:rsid w:val="00110893"/>
    <w:rsid w:val="00114057"/>
    <w:rsid w:val="00114A99"/>
    <w:rsid w:val="00121A9C"/>
    <w:rsid w:val="0012349C"/>
    <w:rsid w:val="0012371D"/>
    <w:rsid w:val="00124858"/>
    <w:rsid w:val="00124BFD"/>
    <w:rsid w:val="00125331"/>
    <w:rsid w:val="00126CBB"/>
    <w:rsid w:val="00126ECF"/>
    <w:rsid w:val="00127EF3"/>
    <w:rsid w:val="00131315"/>
    <w:rsid w:val="00131F42"/>
    <w:rsid w:val="001345A2"/>
    <w:rsid w:val="0013480A"/>
    <w:rsid w:val="00135252"/>
    <w:rsid w:val="001357F1"/>
    <w:rsid w:val="00135B39"/>
    <w:rsid w:val="00136671"/>
    <w:rsid w:val="001373DF"/>
    <w:rsid w:val="00137CF0"/>
    <w:rsid w:val="00140188"/>
    <w:rsid w:val="00140FA8"/>
    <w:rsid w:val="00140FC3"/>
    <w:rsid w:val="00142381"/>
    <w:rsid w:val="0014290D"/>
    <w:rsid w:val="00142FEB"/>
    <w:rsid w:val="001432D5"/>
    <w:rsid w:val="00143A2D"/>
    <w:rsid w:val="00144947"/>
    <w:rsid w:val="00144C48"/>
    <w:rsid w:val="001454AD"/>
    <w:rsid w:val="00145A41"/>
    <w:rsid w:val="00146CC6"/>
    <w:rsid w:val="0014759F"/>
    <w:rsid w:val="001505C8"/>
    <w:rsid w:val="00150CF5"/>
    <w:rsid w:val="00150F0E"/>
    <w:rsid w:val="00151183"/>
    <w:rsid w:val="00151490"/>
    <w:rsid w:val="00151675"/>
    <w:rsid w:val="00152862"/>
    <w:rsid w:val="00152BB6"/>
    <w:rsid w:val="00152BBC"/>
    <w:rsid w:val="0015312A"/>
    <w:rsid w:val="00153294"/>
    <w:rsid w:val="00153D45"/>
    <w:rsid w:val="001547ED"/>
    <w:rsid w:val="00154A33"/>
    <w:rsid w:val="00154B22"/>
    <w:rsid w:val="00156336"/>
    <w:rsid w:val="00157435"/>
    <w:rsid w:val="001575E4"/>
    <w:rsid w:val="00157E85"/>
    <w:rsid w:val="001612A7"/>
    <w:rsid w:val="001613AE"/>
    <w:rsid w:val="00161578"/>
    <w:rsid w:val="00161D85"/>
    <w:rsid w:val="001628A0"/>
    <w:rsid w:val="001629F8"/>
    <w:rsid w:val="00162BD2"/>
    <w:rsid w:val="00162DED"/>
    <w:rsid w:val="0017152C"/>
    <w:rsid w:val="00171E8E"/>
    <w:rsid w:val="00172EEE"/>
    <w:rsid w:val="00173256"/>
    <w:rsid w:val="00174CE6"/>
    <w:rsid w:val="00174DA6"/>
    <w:rsid w:val="0017504D"/>
    <w:rsid w:val="0017671A"/>
    <w:rsid w:val="0017675B"/>
    <w:rsid w:val="00176DC3"/>
    <w:rsid w:val="00177422"/>
    <w:rsid w:val="00177FA0"/>
    <w:rsid w:val="00180370"/>
    <w:rsid w:val="0018172B"/>
    <w:rsid w:val="001818AD"/>
    <w:rsid w:val="001821BF"/>
    <w:rsid w:val="001821D1"/>
    <w:rsid w:val="00182820"/>
    <w:rsid w:val="00182E09"/>
    <w:rsid w:val="0018349B"/>
    <w:rsid w:val="0018413B"/>
    <w:rsid w:val="00184590"/>
    <w:rsid w:val="00185B4D"/>
    <w:rsid w:val="001870D1"/>
    <w:rsid w:val="0018781E"/>
    <w:rsid w:val="0018788A"/>
    <w:rsid w:val="00187A90"/>
    <w:rsid w:val="00187DDD"/>
    <w:rsid w:val="00190953"/>
    <w:rsid w:val="0019262D"/>
    <w:rsid w:val="00192CF5"/>
    <w:rsid w:val="00193EBB"/>
    <w:rsid w:val="0019443E"/>
    <w:rsid w:val="00195927"/>
    <w:rsid w:val="00195D60"/>
    <w:rsid w:val="001978E6"/>
    <w:rsid w:val="001A1B35"/>
    <w:rsid w:val="001A369C"/>
    <w:rsid w:val="001A3D26"/>
    <w:rsid w:val="001A4336"/>
    <w:rsid w:val="001A48A2"/>
    <w:rsid w:val="001A59AA"/>
    <w:rsid w:val="001A59D2"/>
    <w:rsid w:val="001A6F61"/>
    <w:rsid w:val="001B0053"/>
    <w:rsid w:val="001B1A13"/>
    <w:rsid w:val="001B2417"/>
    <w:rsid w:val="001B249F"/>
    <w:rsid w:val="001B2BC8"/>
    <w:rsid w:val="001B2DDB"/>
    <w:rsid w:val="001B3B93"/>
    <w:rsid w:val="001B48BC"/>
    <w:rsid w:val="001B4A67"/>
    <w:rsid w:val="001B6096"/>
    <w:rsid w:val="001B65AF"/>
    <w:rsid w:val="001B6771"/>
    <w:rsid w:val="001B72B8"/>
    <w:rsid w:val="001B7DCD"/>
    <w:rsid w:val="001C0095"/>
    <w:rsid w:val="001C0E2C"/>
    <w:rsid w:val="001C0EFD"/>
    <w:rsid w:val="001C1B02"/>
    <w:rsid w:val="001C2594"/>
    <w:rsid w:val="001C406C"/>
    <w:rsid w:val="001C474A"/>
    <w:rsid w:val="001C552D"/>
    <w:rsid w:val="001C5A7F"/>
    <w:rsid w:val="001C6818"/>
    <w:rsid w:val="001C68BA"/>
    <w:rsid w:val="001C69B3"/>
    <w:rsid w:val="001C729F"/>
    <w:rsid w:val="001D09BA"/>
    <w:rsid w:val="001D0FD3"/>
    <w:rsid w:val="001D1005"/>
    <w:rsid w:val="001D21BE"/>
    <w:rsid w:val="001D244A"/>
    <w:rsid w:val="001D3A9C"/>
    <w:rsid w:val="001D495C"/>
    <w:rsid w:val="001D5595"/>
    <w:rsid w:val="001D5BE5"/>
    <w:rsid w:val="001D6260"/>
    <w:rsid w:val="001D68DC"/>
    <w:rsid w:val="001D73C2"/>
    <w:rsid w:val="001D7874"/>
    <w:rsid w:val="001D7F22"/>
    <w:rsid w:val="001E21E8"/>
    <w:rsid w:val="001E28A9"/>
    <w:rsid w:val="001E4511"/>
    <w:rsid w:val="001E6851"/>
    <w:rsid w:val="001E695B"/>
    <w:rsid w:val="001E7016"/>
    <w:rsid w:val="001E7567"/>
    <w:rsid w:val="001F0F17"/>
    <w:rsid w:val="001F105B"/>
    <w:rsid w:val="001F1C98"/>
    <w:rsid w:val="001F241E"/>
    <w:rsid w:val="001F2AD8"/>
    <w:rsid w:val="001F2BEE"/>
    <w:rsid w:val="001F3347"/>
    <w:rsid w:val="001F5D55"/>
    <w:rsid w:val="001F636D"/>
    <w:rsid w:val="001F69E4"/>
    <w:rsid w:val="001F6ECC"/>
    <w:rsid w:val="00201816"/>
    <w:rsid w:val="00202072"/>
    <w:rsid w:val="0020323C"/>
    <w:rsid w:val="00204985"/>
    <w:rsid w:val="00204C32"/>
    <w:rsid w:val="002056E2"/>
    <w:rsid w:val="0020654B"/>
    <w:rsid w:val="00210562"/>
    <w:rsid w:val="00210D41"/>
    <w:rsid w:val="00211F62"/>
    <w:rsid w:val="002125B4"/>
    <w:rsid w:val="00214229"/>
    <w:rsid w:val="00214853"/>
    <w:rsid w:val="002155B8"/>
    <w:rsid w:val="002165A8"/>
    <w:rsid w:val="002166A7"/>
    <w:rsid w:val="00217B54"/>
    <w:rsid w:val="00220B91"/>
    <w:rsid w:val="002211E5"/>
    <w:rsid w:val="0022143E"/>
    <w:rsid w:val="00221664"/>
    <w:rsid w:val="00221847"/>
    <w:rsid w:val="00223096"/>
    <w:rsid w:val="00224839"/>
    <w:rsid w:val="002249B2"/>
    <w:rsid w:val="00226574"/>
    <w:rsid w:val="00226636"/>
    <w:rsid w:val="002270E2"/>
    <w:rsid w:val="002278EC"/>
    <w:rsid w:val="00227B72"/>
    <w:rsid w:val="00230C06"/>
    <w:rsid w:val="002316F5"/>
    <w:rsid w:val="0023280E"/>
    <w:rsid w:val="00232DA9"/>
    <w:rsid w:val="00233607"/>
    <w:rsid w:val="002347E0"/>
    <w:rsid w:val="00235BE5"/>
    <w:rsid w:val="00236334"/>
    <w:rsid w:val="00236E33"/>
    <w:rsid w:val="00236E68"/>
    <w:rsid w:val="002376F2"/>
    <w:rsid w:val="002377D1"/>
    <w:rsid w:val="00240143"/>
    <w:rsid w:val="00240764"/>
    <w:rsid w:val="00241A5C"/>
    <w:rsid w:val="00241C93"/>
    <w:rsid w:val="0024287C"/>
    <w:rsid w:val="002441EE"/>
    <w:rsid w:val="00244614"/>
    <w:rsid w:val="00244997"/>
    <w:rsid w:val="00244FCA"/>
    <w:rsid w:val="002472B8"/>
    <w:rsid w:val="002472FA"/>
    <w:rsid w:val="0024743A"/>
    <w:rsid w:val="00247D22"/>
    <w:rsid w:val="002506BC"/>
    <w:rsid w:val="00251B4F"/>
    <w:rsid w:val="00254345"/>
    <w:rsid w:val="00254752"/>
    <w:rsid w:val="00254C7F"/>
    <w:rsid w:val="002568F6"/>
    <w:rsid w:val="002569FC"/>
    <w:rsid w:val="00256A2C"/>
    <w:rsid w:val="00256BA3"/>
    <w:rsid w:val="00256CD5"/>
    <w:rsid w:val="0025732E"/>
    <w:rsid w:val="002575C5"/>
    <w:rsid w:val="00257B2A"/>
    <w:rsid w:val="00261AD5"/>
    <w:rsid w:val="00261EBB"/>
    <w:rsid w:val="00264557"/>
    <w:rsid w:val="0026495F"/>
    <w:rsid w:val="00264B78"/>
    <w:rsid w:val="00267195"/>
    <w:rsid w:val="00267ECE"/>
    <w:rsid w:val="00270F76"/>
    <w:rsid w:val="00271573"/>
    <w:rsid w:val="00271AA5"/>
    <w:rsid w:val="002721C6"/>
    <w:rsid w:val="002723F0"/>
    <w:rsid w:val="0027261F"/>
    <w:rsid w:val="00273BF4"/>
    <w:rsid w:val="002744D9"/>
    <w:rsid w:val="00276EC9"/>
    <w:rsid w:val="00277606"/>
    <w:rsid w:val="00277702"/>
    <w:rsid w:val="00277782"/>
    <w:rsid w:val="00277F11"/>
    <w:rsid w:val="002805AB"/>
    <w:rsid w:val="00281A38"/>
    <w:rsid w:val="00284204"/>
    <w:rsid w:val="00284B89"/>
    <w:rsid w:val="00286D6D"/>
    <w:rsid w:val="00287408"/>
    <w:rsid w:val="00287B18"/>
    <w:rsid w:val="00287CC1"/>
    <w:rsid w:val="0029056E"/>
    <w:rsid w:val="002915FB"/>
    <w:rsid w:val="00291773"/>
    <w:rsid w:val="00291AA9"/>
    <w:rsid w:val="002920F1"/>
    <w:rsid w:val="0029235E"/>
    <w:rsid w:val="002923ED"/>
    <w:rsid w:val="002937F1"/>
    <w:rsid w:val="00294828"/>
    <w:rsid w:val="0029569F"/>
    <w:rsid w:val="00295D23"/>
    <w:rsid w:val="00297396"/>
    <w:rsid w:val="002973C8"/>
    <w:rsid w:val="002A0B7C"/>
    <w:rsid w:val="002A168C"/>
    <w:rsid w:val="002A1D1F"/>
    <w:rsid w:val="002A37B6"/>
    <w:rsid w:val="002A3A5F"/>
    <w:rsid w:val="002A3DC7"/>
    <w:rsid w:val="002A3F70"/>
    <w:rsid w:val="002A4005"/>
    <w:rsid w:val="002A6BBE"/>
    <w:rsid w:val="002A7442"/>
    <w:rsid w:val="002B02A8"/>
    <w:rsid w:val="002B11A6"/>
    <w:rsid w:val="002B1332"/>
    <w:rsid w:val="002B22B2"/>
    <w:rsid w:val="002B2F9A"/>
    <w:rsid w:val="002B3759"/>
    <w:rsid w:val="002B4469"/>
    <w:rsid w:val="002B49E2"/>
    <w:rsid w:val="002B6491"/>
    <w:rsid w:val="002B7B00"/>
    <w:rsid w:val="002B7C44"/>
    <w:rsid w:val="002C1FA2"/>
    <w:rsid w:val="002C26FF"/>
    <w:rsid w:val="002C2B17"/>
    <w:rsid w:val="002C3145"/>
    <w:rsid w:val="002C367C"/>
    <w:rsid w:val="002C39B4"/>
    <w:rsid w:val="002C4CA7"/>
    <w:rsid w:val="002C52C1"/>
    <w:rsid w:val="002C55D1"/>
    <w:rsid w:val="002C5DD5"/>
    <w:rsid w:val="002C5E50"/>
    <w:rsid w:val="002C7FE2"/>
    <w:rsid w:val="002D07E3"/>
    <w:rsid w:val="002D0DAA"/>
    <w:rsid w:val="002D21BC"/>
    <w:rsid w:val="002D3567"/>
    <w:rsid w:val="002D3D6E"/>
    <w:rsid w:val="002D3DD0"/>
    <w:rsid w:val="002D70DF"/>
    <w:rsid w:val="002E0692"/>
    <w:rsid w:val="002E1F3A"/>
    <w:rsid w:val="002E298A"/>
    <w:rsid w:val="002E31A9"/>
    <w:rsid w:val="002E31D5"/>
    <w:rsid w:val="002E4C34"/>
    <w:rsid w:val="002E5CD4"/>
    <w:rsid w:val="002E7357"/>
    <w:rsid w:val="002E785A"/>
    <w:rsid w:val="002E7E95"/>
    <w:rsid w:val="002F0030"/>
    <w:rsid w:val="002F118F"/>
    <w:rsid w:val="002F22AB"/>
    <w:rsid w:val="002F30A7"/>
    <w:rsid w:val="002F3F8F"/>
    <w:rsid w:val="002F788A"/>
    <w:rsid w:val="002F7C2D"/>
    <w:rsid w:val="002F7FEF"/>
    <w:rsid w:val="0030107F"/>
    <w:rsid w:val="0030173B"/>
    <w:rsid w:val="00301978"/>
    <w:rsid w:val="00301BAE"/>
    <w:rsid w:val="00302BB6"/>
    <w:rsid w:val="0030332C"/>
    <w:rsid w:val="0030478E"/>
    <w:rsid w:val="00304D91"/>
    <w:rsid w:val="00304EDE"/>
    <w:rsid w:val="003051C2"/>
    <w:rsid w:val="00305C5D"/>
    <w:rsid w:val="00306F21"/>
    <w:rsid w:val="0030787C"/>
    <w:rsid w:val="00311BE7"/>
    <w:rsid w:val="00312296"/>
    <w:rsid w:val="003126A0"/>
    <w:rsid w:val="003128F4"/>
    <w:rsid w:val="003128F6"/>
    <w:rsid w:val="0031435E"/>
    <w:rsid w:val="00314F0E"/>
    <w:rsid w:val="00315519"/>
    <w:rsid w:val="00316D1C"/>
    <w:rsid w:val="00316E7D"/>
    <w:rsid w:val="00317DE2"/>
    <w:rsid w:val="00320AEC"/>
    <w:rsid w:val="00321412"/>
    <w:rsid w:val="00321D8E"/>
    <w:rsid w:val="003226ED"/>
    <w:rsid w:val="003234FD"/>
    <w:rsid w:val="00323D4D"/>
    <w:rsid w:val="003242B1"/>
    <w:rsid w:val="00324C67"/>
    <w:rsid w:val="00325928"/>
    <w:rsid w:val="00325F0B"/>
    <w:rsid w:val="003267EC"/>
    <w:rsid w:val="00327539"/>
    <w:rsid w:val="00327ABB"/>
    <w:rsid w:val="00332081"/>
    <w:rsid w:val="00332863"/>
    <w:rsid w:val="00333E4A"/>
    <w:rsid w:val="00335681"/>
    <w:rsid w:val="0033684D"/>
    <w:rsid w:val="0033780B"/>
    <w:rsid w:val="00337B42"/>
    <w:rsid w:val="00337BA3"/>
    <w:rsid w:val="00341B42"/>
    <w:rsid w:val="00341C28"/>
    <w:rsid w:val="003422C0"/>
    <w:rsid w:val="00342972"/>
    <w:rsid w:val="00342C82"/>
    <w:rsid w:val="0034348F"/>
    <w:rsid w:val="00343645"/>
    <w:rsid w:val="003446EB"/>
    <w:rsid w:val="00344AC0"/>
    <w:rsid w:val="003454E5"/>
    <w:rsid w:val="003463D3"/>
    <w:rsid w:val="00350D3F"/>
    <w:rsid w:val="00353BC4"/>
    <w:rsid w:val="0035400E"/>
    <w:rsid w:val="0035438A"/>
    <w:rsid w:val="00354D3E"/>
    <w:rsid w:val="00355846"/>
    <w:rsid w:val="00356048"/>
    <w:rsid w:val="003565D4"/>
    <w:rsid w:val="00356653"/>
    <w:rsid w:val="0035743F"/>
    <w:rsid w:val="00357BE2"/>
    <w:rsid w:val="003604A3"/>
    <w:rsid w:val="0036170C"/>
    <w:rsid w:val="003636F4"/>
    <w:rsid w:val="00364014"/>
    <w:rsid w:val="003648D8"/>
    <w:rsid w:val="00365CB4"/>
    <w:rsid w:val="0036638C"/>
    <w:rsid w:val="00366510"/>
    <w:rsid w:val="00366A7B"/>
    <w:rsid w:val="00366E0F"/>
    <w:rsid w:val="003670E0"/>
    <w:rsid w:val="00367360"/>
    <w:rsid w:val="00371D3E"/>
    <w:rsid w:val="00371EC9"/>
    <w:rsid w:val="00372A12"/>
    <w:rsid w:val="003730F7"/>
    <w:rsid w:val="00373308"/>
    <w:rsid w:val="00373F00"/>
    <w:rsid w:val="00375FD6"/>
    <w:rsid w:val="00376CD3"/>
    <w:rsid w:val="00377842"/>
    <w:rsid w:val="00380B0A"/>
    <w:rsid w:val="003817A7"/>
    <w:rsid w:val="00381A72"/>
    <w:rsid w:val="003826D9"/>
    <w:rsid w:val="00382EA5"/>
    <w:rsid w:val="00382F43"/>
    <w:rsid w:val="00384676"/>
    <w:rsid w:val="003853D3"/>
    <w:rsid w:val="00385683"/>
    <w:rsid w:val="00386397"/>
    <w:rsid w:val="00386D5E"/>
    <w:rsid w:val="003904D9"/>
    <w:rsid w:val="00390857"/>
    <w:rsid w:val="00390F86"/>
    <w:rsid w:val="003917D5"/>
    <w:rsid w:val="00391B4D"/>
    <w:rsid w:val="0039229D"/>
    <w:rsid w:val="00393616"/>
    <w:rsid w:val="00393F4F"/>
    <w:rsid w:val="0039482F"/>
    <w:rsid w:val="0039533D"/>
    <w:rsid w:val="00395521"/>
    <w:rsid w:val="00395D30"/>
    <w:rsid w:val="00396F8B"/>
    <w:rsid w:val="00397D1F"/>
    <w:rsid w:val="003A05CF"/>
    <w:rsid w:val="003A07EE"/>
    <w:rsid w:val="003A10D9"/>
    <w:rsid w:val="003A1950"/>
    <w:rsid w:val="003A33EA"/>
    <w:rsid w:val="003A4BF3"/>
    <w:rsid w:val="003A4E5C"/>
    <w:rsid w:val="003A4E7B"/>
    <w:rsid w:val="003B3765"/>
    <w:rsid w:val="003B4167"/>
    <w:rsid w:val="003B420D"/>
    <w:rsid w:val="003B45CF"/>
    <w:rsid w:val="003B4967"/>
    <w:rsid w:val="003B7B43"/>
    <w:rsid w:val="003C165D"/>
    <w:rsid w:val="003C1E9F"/>
    <w:rsid w:val="003C2917"/>
    <w:rsid w:val="003C6C16"/>
    <w:rsid w:val="003C78FE"/>
    <w:rsid w:val="003C7B8F"/>
    <w:rsid w:val="003D02B4"/>
    <w:rsid w:val="003D02F9"/>
    <w:rsid w:val="003D1996"/>
    <w:rsid w:val="003D2F81"/>
    <w:rsid w:val="003D4EAF"/>
    <w:rsid w:val="003D5A24"/>
    <w:rsid w:val="003D7576"/>
    <w:rsid w:val="003D794D"/>
    <w:rsid w:val="003D7B13"/>
    <w:rsid w:val="003D7D2E"/>
    <w:rsid w:val="003D7D9B"/>
    <w:rsid w:val="003E065E"/>
    <w:rsid w:val="003E22EF"/>
    <w:rsid w:val="003E25B5"/>
    <w:rsid w:val="003E2728"/>
    <w:rsid w:val="003E3058"/>
    <w:rsid w:val="003E5A8F"/>
    <w:rsid w:val="003E6931"/>
    <w:rsid w:val="003E6BD2"/>
    <w:rsid w:val="003E6CBE"/>
    <w:rsid w:val="003E72A0"/>
    <w:rsid w:val="003E76A9"/>
    <w:rsid w:val="003F0809"/>
    <w:rsid w:val="003F25CA"/>
    <w:rsid w:val="003F35E8"/>
    <w:rsid w:val="003F6025"/>
    <w:rsid w:val="003F6A8C"/>
    <w:rsid w:val="003F755C"/>
    <w:rsid w:val="00400FD6"/>
    <w:rsid w:val="00401454"/>
    <w:rsid w:val="004020BE"/>
    <w:rsid w:val="00402B79"/>
    <w:rsid w:val="004032DF"/>
    <w:rsid w:val="00403BF5"/>
    <w:rsid w:val="00404433"/>
    <w:rsid w:val="00405170"/>
    <w:rsid w:val="00405B39"/>
    <w:rsid w:val="00405F34"/>
    <w:rsid w:val="00405FB6"/>
    <w:rsid w:val="004065C1"/>
    <w:rsid w:val="00406F01"/>
    <w:rsid w:val="0041029C"/>
    <w:rsid w:val="004103E8"/>
    <w:rsid w:val="00410AD6"/>
    <w:rsid w:val="00410DC6"/>
    <w:rsid w:val="004118F8"/>
    <w:rsid w:val="004134C8"/>
    <w:rsid w:val="004145E3"/>
    <w:rsid w:val="00414C77"/>
    <w:rsid w:val="00416AD1"/>
    <w:rsid w:val="00416D50"/>
    <w:rsid w:val="00416FD5"/>
    <w:rsid w:val="00417772"/>
    <w:rsid w:val="00420DB1"/>
    <w:rsid w:val="00420E6A"/>
    <w:rsid w:val="00421A5E"/>
    <w:rsid w:val="00423625"/>
    <w:rsid w:val="0042373E"/>
    <w:rsid w:val="00425A9E"/>
    <w:rsid w:val="00426D6B"/>
    <w:rsid w:val="00426F53"/>
    <w:rsid w:val="004275A2"/>
    <w:rsid w:val="004302FF"/>
    <w:rsid w:val="00431E6C"/>
    <w:rsid w:val="0043267F"/>
    <w:rsid w:val="00433077"/>
    <w:rsid w:val="0043374E"/>
    <w:rsid w:val="00433CE7"/>
    <w:rsid w:val="00434351"/>
    <w:rsid w:val="00435437"/>
    <w:rsid w:val="0043776A"/>
    <w:rsid w:val="0044290B"/>
    <w:rsid w:val="004435A0"/>
    <w:rsid w:val="004438E9"/>
    <w:rsid w:val="00444291"/>
    <w:rsid w:val="00445017"/>
    <w:rsid w:val="00450AFE"/>
    <w:rsid w:val="00452523"/>
    <w:rsid w:val="00452738"/>
    <w:rsid w:val="00452C7C"/>
    <w:rsid w:val="00452E31"/>
    <w:rsid w:val="00453B0F"/>
    <w:rsid w:val="00454ADE"/>
    <w:rsid w:val="00455037"/>
    <w:rsid w:val="00455DAF"/>
    <w:rsid w:val="00456091"/>
    <w:rsid w:val="00460951"/>
    <w:rsid w:val="00461010"/>
    <w:rsid w:val="0046104E"/>
    <w:rsid w:val="00462972"/>
    <w:rsid w:val="0046453D"/>
    <w:rsid w:val="004653F4"/>
    <w:rsid w:val="00466321"/>
    <w:rsid w:val="004667E5"/>
    <w:rsid w:val="00466BC4"/>
    <w:rsid w:val="00471174"/>
    <w:rsid w:val="00473E6C"/>
    <w:rsid w:val="004754C3"/>
    <w:rsid w:val="00476A23"/>
    <w:rsid w:val="00477868"/>
    <w:rsid w:val="00480CD5"/>
    <w:rsid w:val="00481679"/>
    <w:rsid w:val="004821D3"/>
    <w:rsid w:val="00482B32"/>
    <w:rsid w:val="00483B1F"/>
    <w:rsid w:val="00484B9B"/>
    <w:rsid w:val="00484CA2"/>
    <w:rsid w:val="004855F6"/>
    <w:rsid w:val="0048661E"/>
    <w:rsid w:val="004900E9"/>
    <w:rsid w:val="004908ED"/>
    <w:rsid w:val="004913C0"/>
    <w:rsid w:val="0049276A"/>
    <w:rsid w:val="00492894"/>
    <w:rsid w:val="00493A01"/>
    <w:rsid w:val="00493BF2"/>
    <w:rsid w:val="00493E5B"/>
    <w:rsid w:val="00494476"/>
    <w:rsid w:val="00494670"/>
    <w:rsid w:val="00494DAE"/>
    <w:rsid w:val="004952DA"/>
    <w:rsid w:val="00495E05"/>
    <w:rsid w:val="004967B1"/>
    <w:rsid w:val="004A3823"/>
    <w:rsid w:val="004A40DB"/>
    <w:rsid w:val="004A43EB"/>
    <w:rsid w:val="004A5D92"/>
    <w:rsid w:val="004A6BAB"/>
    <w:rsid w:val="004B0A1A"/>
    <w:rsid w:val="004B18A2"/>
    <w:rsid w:val="004B1925"/>
    <w:rsid w:val="004B1C76"/>
    <w:rsid w:val="004B1FDF"/>
    <w:rsid w:val="004B21E1"/>
    <w:rsid w:val="004B2A97"/>
    <w:rsid w:val="004B33AB"/>
    <w:rsid w:val="004B3DFD"/>
    <w:rsid w:val="004B427A"/>
    <w:rsid w:val="004B4AB9"/>
    <w:rsid w:val="004B5014"/>
    <w:rsid w:val="004B5361"/>
    <w:rsid w:val="004B69E6"/>
    <w:rsid w:val="004C1AD9"/>
    <w:rsid w:val="004C1C4B"/>
    <w:rsid w:val="004C20E9"/>
    <w:rsid w:val="004C2889"/>
    <w:rsid w:val="004C307F"/>
    <w:rsid w:val="004C39F2"/>
    <w:rsid w:val="004C4370"/>
    <w:rsid w:val="004C5890"/>
    <w:rsid w:val="004D0987"/>
    <w:rsid w:val="004D098F"/>
    <w:rsid w:val="004D0D34"/>
    <w:rsid w:val="004D0FBE"/>
    <w:rsid w:val="004D10EC"/>
    <w:rsid w:val="004D1DB4"/>
    <w:rsid w:val="004D1F5D"/>
    <w:rsid w:val="004D2ED5"/>
    <w:rsid w:val="004D3AAA"/>
    <w:rsid w:val="004D5405"/>
    <w:rsid w:val="004D57BC"/>
    <w:rsid w:val="004E0006"/>
    <w:rsid w:val="004E0F38"/>
    <w:rsid w:val="004E13EC"/>
    <w:rsid w:val="004E1CDF"/>
    <w:rsid w:val="004E321E"/>
    <w:rsid w:val="004E390E"/>
    <w:rsid w:val="004E3982"/>
    <w:rsid w:val="004E39A9"/>
    <w:rsid w:val="004E427F"/>
    <w:rsid w:val="004E4A53"/>
    <w:rsid w:val="004E5018"/>
    <w:rsid w:val="004E5F17"/>
    <w:rsid w:val="004E683C"/>
    <w:rsid w:val="004E6946"/>
    <w:rsid w:val="004E6C42"/>
    <w:rsid w:val="004E6E74"/>
    <w:rsid w:val="004E77F5"/>
    <w:rsid w:val="004E79FD"/>
    <w:rsid w:val="004F0D64"/>
    <w:rsid w:val="004F0EF2"/>
    <w:rsid w:val="004F1AC6"/>
    <w:rsid w:val="004F1AD8"/>
    <w:rsid w:val="00500178"/>
    <w:rsid w:val="00500DFF"/>
    <w:rsid w:val="005019F5"/>
    <w:rsid w:val="00502E73"/>
    <w:rsid w:val="005039CB"/>
    <w:rsid w:val="00504CBE"/>
    <w:rsid w:val="0050558F"/>
    <w:rsid w:val="00506286"/>
    <w:rsid w:val="00507246"/>
    <w:rsid w:val="00507A92"/>
    <w:rsid w:val="00510813"/>
    <w:rsid w:val="00511990"/>
    <w:rsid w:val="00511DE0"/>
    <w:rsid w:val="00511EA8"/>
    <w:rsid w:val="005133C8"/>
    <w:rsid w:val="005134EB"/>
    <w:rsid w:val="0051397E"/>
    <w:rsid w:val="00514870"/>
    <w:rsid w:val="00514B9B"/>
    <w:rsid w:val="00516E98"/>
    <w:rsid w:val="00517918"/>
    <w:rsid w:val="00517ADD"/>
    <w:rsid w:val="00517F02"/>
    <w:rsid w:val="00520556"/>
    <w:rsid w:val="0052088C"/>
    <w:rsid w:val="005213AB"/>
    <w:rsid w:val="005218BA"/>
    <w:rsid w:val="00522056"/>
    <w:rsid w:val="005229D3"/>
    <w:rsid w:val="00523757"/>
    <w:rsid w:val="00524303"/>
    <w:rsid w:val="005258A2"/>
    <w:rsid w:val="00525B74"/>
    <w:rsid w:val="00527633"/>
    <w:rsid w:val="00531297"/>
    <w:rsid w:val="0053205B"/>
    <w:rsid w:val="005325DD"/>
    <w:rsid w:val="00533723"/>
    <w:rsid w:val="005341B8"/>
    <w:rsid w:val="005342A5"/>
    <w:rsid w:val="00534B15"/>
    <w:rsid w:val="00535778"/>
    <w:rsid w:val="0053603F"/>
    <w:rsid w:val="005360DD"/>
    <w:rsid w:val="00536A51"/>
    <w:rsid w:val="005401AE"/>
    <w:rsid w:val="00541417"/>
    <w:rsid w:val="00541502"/>
    <w:rsid w:val="00541DAF"/>
    <w:rsid w:val="00542358"/>
    <w:rsid w:val="00542409"/>
    <w:rsid w:val="00542464"/>
    <w:rsid w:val="00542D03"/>
    <w:rsid w:val="00542E07"/>
    <w:rsid w:val="005432CB"/>
    <w:rsid w:val="005439E3"/>
    <w:rsid w:val="00545424"/>
    <w:rsid w:val="005455E9"/>
    <w:rsid w:val="00551C2E"/>
    <w:rsid w:val="00553B4B"/>
    <w:rsid w:val="00553C71"/>
    <w:rsid w:val="00554A7B"/>
    <w:rsid w:val="00554FF1"/>
    <w:rsid w:val="0055572C"/>
    <w:rsid w:val="00555DA6"/>
    <w:rsid w:val="00556850"/>
    <w:rsid w:val="00556C47"/>
    <w:rsid w:val="00556D40"/>
    <w:rsid w:val="005572BB"/>
    <w:rsid w:val="0056106A"/>
    <w:rsid w:val="00562786"/>
    <w:rsid w:val="005630F2"/>
    <w:rsid w:val="00563A5C"/>
    <w:rsid w:val="00564775"/>
    <w:rsid w:val="00565B42"/>
    <w:rsid w:val="00565C19"/>
    <w:rsid w:val="00565DCD"/>
    <w:rsid w:val="005667DE"/>
    <w:rsid w:val="00567749"/>
    <w:rsid w:val="005720AE"/>
    <w:rsid w:val="005734BD"/>
    <w:rsid w:val="0057463E"/>
    <w:rsid w:val="00574EDF"/>
    <w:rsid w:val="005758D9"/>
    <w:rsid w:val="00577821"/>
    <w:rsid w:val="00577AFF"/>
    <w:rsid w:val="00577FA4"/>
    <w:rsid w:val="0058002B"/>
    <w:rsid w:val="0058052A"/>
    <w:rsid w:val="00581049"/>
    <w:rsid w:val="005852EA"/>
    <w:rsid w:val="00585861"/>
    <w:rsid w:val="00587D09"/>
    <w:rsid w:val="00590621"/>
    <w:rsid w:val="005919E0"/>
    <w:rsid w:val="00591D8D"/>
    <w:rsid w:val="00592198"/>
    <w:rsid w:val="005928B4"/>
    <w:rsid w:val="00592A2A"/>
    <w:rsid w:val="00592FD1"/>
    <w:rsid w:val="0059398B"/>
    <w:rsid w:val="005939AF"/>
    <w:rsid w:val="00593EC1"/>
    <w:rsid w:val="00594195"/>
    <w:rsid w:val="005942D1"/>
    <w:rsid w:val="00594532"/>
    <w:rsid w:val="00594D77"/>
    <w:rsid w:val="00595954"/>
    <w:rsid w:val="005969E4"/>
    <w:rsid w:val="00596EC5"/>
    <w:rsid w:val="00597EC5"/>
    <w:rsid w:val="005A042C"/>
    <w:rsid w:val="005A06B7"/>
    <w:rsid w:val="005A1759"/>
    <w:rsid w:val="005A3277"/>
    <w:rsid w:val="005A42C2"/>
    <w:rsid w:val="005A4B09"/>
    <w:rsid w:val="005A68A7"/>
    <w:rsid w:val="005A7664"/>
    <w:rsid w:val="005A795C"/>
    <w:rsid w:val="005B0165"/>
    <w:rsid w:val="005B0373"/>
    <w:rsid w:val="005B0E75"/>
    <w:rsid w:val="005B141C"/>
    <w:rsid w:val="005B1EA3"/>
    <w:rsid w:val="005B29AC"/>
    <w:rsid w:val="005B2AF5"/>
    <w:rsid w:val="005B2C50"/>
    <w:rsid w:val="005B30A0"/>
    <w:rsid w:val="005B3335"/>
    <w:rsid w:val="005B34B8"/>
    <w:rsid w:val="005B6620"/>
    <w:rsid w:val="005B6A71"/>
    <w:rsid w:val="005B76C3"/>
    <w:rsid w:val="005C0551"/>
    <w:rsid w:val="005C0BFC"/>
    <w:rsid w:val="005C174C"/>
    <w:rsid w:val="005C339A"/>
    <w:rsid w:val="005C4C92"/>
    <w:rsid w:val="005C4F52"/>
    <w:rsid w:val="005C55BD"/>
    <w:rsid w:val="005C5899"/>
    <w:rsid w:val="005C5E58"/>
    <w:rsid w:val="005C6396"/>
    <w:rsid w:val="005C6FCE"/>
    <w:rsid w:val="005C7B8F"/>
    <w:rsid w:val="005D1819"/>
    <w:rsid w:val="005D2861"/>
    <w:rsid w:val="005D2EFF"/>
    <w:rsid w:val="005D36AB"/>
    <w:rsid w:val="005D4B7C"/>
    <w:rsid w:val="005D6F7E"/>
    <w:rsid w:val="005E44AC"/>
    <w:rsid w:val="005E51DB"/>
    <w:rsid w:val="005E52EA"/>
    <w:rsid w:val="005E5609"/>
    <w:rsid w:val="005F04B9"/>
    <w:rsid w:val="005F109D"/>
    <w:rsid w:val="005F1414"/>
    <w:rsid w:val="005F4EBD"/>
    <w:rsid w:val="005F56DF"/>
    <w:rsid w:val="00600713"/>
    <w:rsid w:val="00603D0A"/>
    <w:rsid w:val="00604020"/>
    <w:rsid w:val="00604042"/>
    <w:rsid w:val="00605D46"/>
    <w:rsid w:val="00607891"/>
    <w:rsid w:val="00610AA4"/>
    <w:rsid w:val="006113E1"/>
    <w:rsid w:val="00612ECD"/>
    <w:rsid w:val="00612F32"/>
    <w:rsid w:val="006150E5"/>
    <w:rsid w:val="00615D20"/>
    <w:rsid w:val="006165E8"/>
    <w:rsid w:val="00617CC3"/>
    <w:rsid w:val="006200EB"/>
    <w:rsid w:val="006215D2"/>
    <w:rsid w:val="00622140"/>
    <w:rsid w:val="006231BC"/>
    <w:rsid w:val="006234E1"/>
    <w:rsid w:val="00625A33"/>
    <w:rsid w:val="006263FC"/>
    <w:rsid w:val="00626F72"/>
    <w:rsid w:val="00631199"/>
    <w:rsid w:val="00632514"/>
    <w:rsid w:val="00635423"/>
    <w:rsid w:val="0063568F"/>
    <w:rsid w:val="00635ADC"/>
    <w:rsid w:val="006377A6"/>
    <w:rsid w:val="00637A3D"/>
    <w:rsid w:val="00641178"/>
    <w:rsid w:val="006411EF"/>
    <w:rsid w:val="00642066"/>
    <w:rsid w:val="006442C5"/>
    <w:rsid w:val="00646630"/>
    <w:rsid w:val="00646857"/>
    <w:rsid w:val="00646912"/>
    <w:rsid w:val="00646B5E"/>
    <w:rsid w:val="00646D2C"/>
    <w:rsid w:val="00650CB5"/>
    <w:rsid w:val="00653349"/>
    <w:rsid w:val="00653BC5"/>
    <w:rsid w:val="00653CFA"/>
    <w:rsid w:val="00656ECD"/>
    <w:rsid w:val="00661209"/>
    <w:rsid w:val="0066182A"/>
    <w:rsid w:val="00662707"/>
    <w:rsid w:val="00663A5C"/>
    <w:rsid w:val="00663B83"/>
    <w:rsid w:val="006645C6"/>
    <w:rsid w:val="00665B77"/>
    <w:rsid w:val="00665BBF"/>
    <w:rsid w:val="00666140"/>
    <w:rsid w:val="006666FB"/>
    <w:rsid w:val="00666B2B"/>
    <w:rsid w:val="006670E6"/>
    <w:rsid w:val="00667F3C"/>
    <w:rsid w:val="00670A35"/>
    <w:rsid w:val="00670DB8"/>
    <w:rsid w:val="00671779"/>
    <w:rsid w:val="00672A8A"/>
    <w:rsid w:val="00672D15"/>
    <w:rsid w:val="006748B8"/>
    <w:rsid w:val="00674E9E"/>
    <w:rsid w:val="00675108"/>
    <w:rsid w:val="0067551D"/>
    <w:rsid w:val="00675CEF"/>
    <w:rsid w:val="00677242"/>
    <w:rsid w:val="00677344"/>
    <w:rsid w:val="006775C3"/>
    <w:rsid w:val="0068014C"/>
    <w:rsid w:val="00680606"/>
    <w:rsid w:val="00682FA5"/>
    <w:rsid w:val="00683E6E"/>
    <w:rsid w:val="00684020"/>
    <w:rsid w:val="00685929"/>
    <w:rsid w:val="00686428"/>
    <w:rsid w:val="00690102"/>
    <w:rsid w:val="00692430"/>
    <w:rsid w:val="006927A8"/>
    <w:rsid w:val="00692804"/>
    <w:rsid w:val="0069290A"/>
    <w:rsid w:val="006932B0"/>
    <w:rsid w:val="00695D89"/>
    <w:rsid w:val="00696633"/>
    <w:rsid w:val="00697207"/>
    <w:rsid w:val="00697696"/>
    <w:rsid w:val="0069775A"/>
    <w:rsid w:val="0069775C"/>
    <w:rsid w:val="00697813"/>
    <w:rsid w:val="006A0C62"/>
    <w:rsid w:val="006A18A3"/>
    <w:rsid w:val="006A2886"/>
    <w:rsid w:val="006A2E96"/>
    <w:rsid w:val="006A3EE8"/>
    <w:rsid w:val="006A4D11"/>
    <w:rsid w:val="006A566E"/>
    <w:rsid w:val="006A57AA"/>
    <w:rsid w:val="006A586E"/>
    <w:rsid w:val="006A5A41"/>
    <w:rsid w:val="006A6331"/>
    <w:rsid w:val="006A63AB"/>
    <w:rsid w:val="006A68F2"/>
    <w:rsid w:val="006A69BA"/>
    <w:rsid w:val="006A71EA"/>
    <w:rsid w:val="006A72BF"/>
    <w:rsid w:val="006A72FD"/>
    <w:rsid w:val="006A7913"/>
    <w:rsid w:val="006B03F2"/>
    <w:rsid w:val="006B0430"/>
    <w:rsid w:val="006B0D4F"/>
    <w:rsid w:val="006B0EFA"/>
    <w:rsid w:val="006B1A76"/>
    <w:rsid w:val="006B1FB1"/>
    <w:rsid w:val="006B304A"/>
    <w:rsid w:val="006B37DC"/>
    <w:rsid w:val="006B4F68"/>
    <w:rsid w:val="006B5439"/>
    <w:rsid w:val="006B61C9"/>
    <w:rsid w:val="006B68A6"/>
    <w:rsid w:val="006B7C50"/>
    <w:rsid w:val="006C0592"/>
    <w:rsid w:val="006C272E"/>
    <w:rsid w:val="006C4798"/>
    <w:rsid w:val="006C49A7"/>
    <w:rsid w:val="006C4A8F"/>
    <w:rsid w:val="006C5479"/>
    <w:rsid w:val="006C7285"/>
    <w:rsid w:val="006D13B5"/>
    <w:rsid w:val="006D3023"/>
    <w:rsid w:val="006D373D"/>
    <w:rsid w:val="006D45DB"/>
    <w:rsid w:val="006D6A9E"/>
    <w:rsid w:val="006D766E"/>
    <w:rsid w:val="006E012D"/>
    <w:rsid w:val="006E12FF"/>
    <w:rsid w:val="006E1953"/>
    <w:rsid w:val="006E1D7E"/>
    <w:rsid w:val="006E4FDE"/>
    <w:rsid w:val="006E579F"/>
    <w:rsid w:val="006E607E"/>
    <w:rsid w:val="006E6689"/>
    <w:rsid w:val="006F0566"/>
    <w:rsid w:val="006F08DB"/>
    <w:rsid w:val="006F0D09"/>
    <w:rsid w:val="006F3E05"/>
    <w:rsid w:val="006F503D"/>
    <w:rsid w:val="006F6491"/>
    <w:rsid w:val="006F7058"/>
    <w:rsid w:val="0070053C"/>
    <w:rsid w:val="00704AA3"/>
    <w:rsid w:val="0070564D"/>
    <w:rsid w:val="0070612A"/>
    <w:rsid w:val="0070688B"/>
    <w:rsid w:val="00706C5D"/>
    <w:rsid w:val="007075D8"/>
    <w:rsid w:val="0071054E"/>
    <w:rsid w:val="00713DD9"/>
    <w:rsid w:val="0071429B"/>
    <w:rsid w:val="00714B38"/>
    <w:rsid w:val="007177FF"/>
    <w:rsid w:val="00717ABC"/>
    <w:rsid w:val="007202ED"/>
    <w:rsid w:val="007208CD"/>
    <w:rsid w:val="00720FAD"/>
    <w:rsid w:val="00723C68"/>
    <w:rsid w:val="00725681"/>
    <w:rsid w:val="00726453"/>
    <w:rsid w:val="0072684A"/>
    <w:rsid w:val="00726CD4"/>
    <w:rsid w:val="00727021"/>
    <w:rsid w:val="00730421"/>
    <w:rsid w:val="007312EB"/>
    <w:rsid w:val="00731386"/>
    <w:rsid w:val="00731A6D"/>
    <w:rsid w:val="00731C1F"/>
    <w:rsid w:val="00731DE5"/>
    <w:rsid w:val="0073201B"/>
    <w:rsid w:val="0073250C"/>
    <w:rsid w:val="007326D7"/>
    <w:rsid w:val="00732897"/>
    <w:rsid w:val="00732922"/>
    <w:rsid w:val="00732B48"/>
    <w:rsid w:val="00733732"/>
    <w:rsid w:val="007342FB"/>
    <w:rsid w:val="007347B3"/>
    <w:rsid w:val="00734CF0"/>
    <w:rsid w:val="007402C9"/>
    <w:rsid w:val="00740CDF"/>
    <w:rsid w:val="00742E79"/>
    <w:rsid w:val="00743F44"/>
    <w:rsid w:val="00744EB1"/>
    <w:rsid w:val="00746640"/>
    <w:rsid w:val="0074790B"/>
    <w:rsid w:val="007506D9"/>
    <w:rsid w:val="00751101"/>
    <w:rsid w:val="0075162E"/>
    <w:rsid w:val="00751C8E"/>
    <w:rsid w:val="0075337C"/>
    <w:rsid w:val="00753AC8"/>
    <w:rsid w:val="00754034"/>
    <w:rsid w:val="00754E20"/>
    <w:rsid w:val="00755957"/>
    <w:rsid w:val="0075604B"/>
    <w:rsid w:val="00756556"/>
    <w:rsid w:val="0075713D"/>
    <w:rsid w:val="00757195"/>
    <w:rsid w:val="00760382"/>
    <w:rsid w:val="00760A9D"/>
    <w:rsid w:val="00760E5D"/>
    <w:rsid w:val="0076103A"/>
    <w:rsid w:val="00761311"/>
    <w:rsid w:val="007618C4"/>
    <w:rsid w:val="00761A52"/>
    <w:rsid w:val="00761C9C"/>
    <w:rsid w:val="00762C3B"/>
    <w:rsid w:val="00762DE8"/>
    <w:rsid w:val="00762F6E"/>
    <w:rsid w:val="00764027"/>
    <w:rsid w:val="00764544"/>
    <w:rsid w:val="007662D4"/>
    <w:rsid w:val="0076643B"/>
    <w:rsid w:val="007668B9"/>
    <w:rsid w:val="00767980"/>
    <w:rsid w:val="00770680"/>
    <w:rsid w:val="0077080A"/>
    <w:rsid w:val="00770B19"/>
    <w:rsid w:val="007715EA"/>
    <w:rsid w:val="0077194A"/>
    <w:rsid w:val="00771AA7"/>
    <w:rsid w:val="00773351"/>
    <w:rsid w:val="0077463F"/>
    <w:rsid w:val="00774669"/>
    <w:rsid w:val="00775AE0"/>
    <w:rsid w:val="00775D53"/>
    <w:rsid w:val="007761FB"/>
    <w:rsid w:val="00776335"/>
    <w:rsid w:val="007771C8"/>
    <w:rsid w:val="00777E06"/>
    <w:rsid w:val="0078191F"/>
    <w:rsid w:val="00782AD4"/>
    <w:rsid w:val="007836EA"/>
    <w:rsid w:val="00783723"/>
    <w:rsid w:val="007849C5"/>
    <w:rsid w:val="00784CDA"/>
    <w:rsid w:val="00784FDF"/>
    <w:rsid w:val="00785F26"/>
    <w:rsid w:val="00786AE4"/>
    <w:rsid w:val="007900EB"/>
    <w:rsid w:val="007906C4"/>
    <w:rsid w:val="00790ACF"/>
    <w:rsid w:val="00791BBB"/>
    <w:rsid w:val="007930BE"/>
    <w:rsid w:val="007940EA"/>
    <w:rsid w:val="007944C8"/>
    <w:rsid w:val="007950CA"/>
    <w:rsid w:val="00795312"/>
    <w:rsid w:val="007967E8"/>
    <w:rsid w:val="00796900"/>
    <w:rsid w:val="00797559"/>
    <w:rsid w:val="00797653"/>
    <w:rsid w:val="007A13CC"/>
    <w:rsid w:val="007A2170"/>
    <w:rsid w:val="007A22BF"/>
    <w:rsid w:val="007A253E"/>
    <w:rsid w:val="007A2E8F"/>
    <w:rsid w:val="007A3323"/>
    <w:rsid w:val="007A367B"/>
    <w:rsid w:val="007A54C9"/>
    <w:rsid w:val="007A6736"/>
    <w:rsid w:val="007A6D89"/>
    <w:rsid w:val="007A7896"/>
    <w:rsid w:val="007B025F"/>
    <w:rsid w:val="007B067E"/>
    <w:rsid w:val="007B15A3"/>
    <w:rsid w:val="007B1B38"/>
    <w:rsid w:val="007B2520"/>
    <w:rsid w:val="007B2F59"/>
    <w:rsid w:val="007B4730"/>
    <w:rsid w:val="007B4CC8"/>
    <w:rsid w:val="007B4EB1"/>
    <w:rsid w:val="007B6C43"/>
    <w:rsid w:val="007B72B8"/>
    <w:rsid w:val="007B7429"/>
    <w:rsid w:val="007B76DD"/>
    <w:rsid w:val="007B7A58"/>
    <w:rsid w:val="007C14EB"/>
    <w:rsid w:val="007C1F0B"/>
    <w:rsid w:val="007C21B5"/>
    <w:rsid w:val="007C3551"/>
    <w:rsid w:val="007C5B01"/>
    <w:rsid w:val="007C632A"/>
    <w:rsid w:val="007C7A2F"/>
    <w:rsid w:val="007D05EB"/>
    <w:rsid w:val="007D1FA2"/>
    <w:rsid w:val="007D258F"/>
    <w:rsid w:val="007D3393"/>
    <w:rsid w:val="007D526C"/>
    <w:rsid w:val="007D5ED0"/>
    <w:rsid w:val="007D5F5B"/>
    <w:rsid w:val="007D6563"/>
    <w:rsid w:val="007D69E4"/>
    <w:rsid w:val="007D70C4"/>
    <w:rsid w:val="007D7F38"/>
    <w:rsid w:val="007E08DA"/>
    <w:rsid w:val="007E0948"/>
    <w:rsid w:val="007E0CA8"/>
    <w:rsid w:val="007E17E3"/>
    <w:rsid w:val="007E2C98"/>
    <w:rsid w:val="007E31B3"/>
    <w:rsid w:val="007E3688"/>
    <w:rsid w:val="007E3FF8"/>
    <w:rsid w:val="007E4BD2"/>
    <w:rsid w:val="007E740F"/>
    <w:rsid w:val="007E7718"/>
    <w:rsid w:val="007F08F0"/>
    <w:rsid w:val="007F0B7D"/>
    <w:rsid w:val="007F127A"/>
    <w:rsid w:val="007F17C2"/>
    <w:rsid w:val="007F1EAA"/>
    <w:rsid w:val="007F216C"/>
    <w:rsid w:val="007F2D36"/>
    <w:rsid w:val="007F329A"/>
    <w:rsid w:val="007F39E6"/>
    <w:rsid w:val="007F4128"/>
    <w:rsid w:val="007F4ABB"/>
    <w:rsid w:val="007F600B"/>
    <w:rsid w:val="007F640A"/>
    <w:rsid w:val="007F7959"/>
    <w:rsid w:val="007F7D3E"/>
    <w:rsid w:val="007F7F3C"/>
    <w:rsid w:val="00800E23"/>
    <w:rsid w:val="00801230"/>
    <w:rsid w:val="00801393"/>
    <w:rsid w:val="00801992"/>
    <w:rsid w:val="00801BF4"/>
    <w:rsid w:val="00801D7C"/>
    <w:rsid w:val="008028F1"/>
    <w:rsid w:val="00802F88"/>
    <w:rsid w:val="00803018"/>
    <w:rsid w:val="00804C55"/>
    <w:rsid w:val="008059A1"/>
    <w:rsid w:val="00806747"/>
    <w:rsid w:val="0081293E"/>
    <w:rsid w:val="00813AD3"/>
    <w:rsid w:val="00813F8D"/>
    <w:rsid w:val="0081441D"/>
    <w:rsid w:val="00814B9E"/>
    <w:rsid w:val="00814FF0"/>
    <w:rsid w:val="00815465"/>
    <w:rsid w:val="008158E3"/>
    <w:rsid w:val="00817998"/>
    <w:rsid w:val="00817E9A"/>
    <w:rsid w:val="008213B7"/>
    <w:rsid w:val="00822017"/>
    <w:rsid w:val="008232DB"/>
    <w:rsid w:val="008233D2"/>
    <w:rsid w:val="008305EB"/>
    <w:rsid w:val="008306BD"/>
    <w:rsid w:val="00830928"/>
    <w:rsid w:val="00831646"/>
    <w:rsid w:val="00831A05"/>
    <w:rsid w:val="00831A80"/>
    <w:rsid w:val="00832726"/>
    <w:rsid w:val="008329B9"/>
    <w:rsid w:val="00833743"/>
    <w:rsid w:val="0083409C"/>
    <w:rsid w:val="008340A4"/>
    <w:rsid w:val="00834902"/>
    <w:rsid w:val="008358B7"/>
    <w:rsid w:val="00836C62"/>
    <w:rsid w:val="00837AE7"/>
    <w:rsid w:val="00841C31"/>
    <w:rsid w:val="00842357"/>
    <w:rsid w:val="00842F3B"/>
    <w:rsid w:val="00843310"/>
    <w:rsid w:val="008438ED"/>
    <w:rsid w:val="00845509"/>
    <w:rsid w:val="00846350"/>
    <w:rsid w:val="008463D9"/>
    <w:rsid w:val="00847D14"/>
    <w:rsid w:val="00850427"/>
    <w:rsid w:val="008508AE"/>
    <w:rsid w:val="00851838"/>
    <w:rsid w:val="00851E76"/>
    <w:rsid w:val="00853D8C"/>
    <w:rsid w:val="00854CB4"/>
    <w:rsid w:val="00856A36"/>
    <w:rsid w:val="00857215"/>
    <w:rsid w:val="00860AE1"/>
    <w:rsid w:val="008633AE"/>
    <w:rsid w:val="00863D9F"/>
    <w:rsid w:val="0086435C"/>
    <w:rsid w:val="008650BA"/>
    <w:rsid w:val="0086516E"/>
    <w:rsid w:val="00866D30"/>
    <w:rsid w:val="008671BA"/>
    <w:rsid w:val="00867464"/>
    <w:rsid w:val="00867EAB"/>
    <w:rsid w:val="00867FD2"/>
    <w:rsid w:val="00871123"/>
    <w:rsid w:val="0087135F"/>
    <w:rsid w:val="00872CF7"/>
    <w:rsid w:val="00872D94"/>
    <w:rsid w:val="00874BEA"/>
    <w:rsid w:val="00875178"/>
    <w:rsid w:val="00876293"/>
    <w:rsid w:val="00877418"/>
    <w:rsid w:val="00880364"/>
    <w:rsid w:val="00882785"/>
    <w:rsid w:val="008832DD"/>
    <w:rsid w:val="008833C4"/>
    <w:rsid w:val="008848CC"/>
    <w:rsid w:val="00886D0E"/>
    <w:rsid w:val="008906C7"/>
    <w:rsid w:val="00890880"/>
    <w:rsid w:val="00891592"/>
    <w:rsid w:val="00891A97"/>
    <w:rsid w:val="00891E9E"/>
    <w:rsid w:val="00892506"/>
    <w:rsid w:val="008937B4"/>
    <w:rsid w:val="00895514"/>
    <w:rsid w:val="0089556B"/>
    <w:rsid w:val="00895A97"/>
    <w:rsid w:val="00896F58"/>
    <w:rsid w:val="00897FDD"/>
    <w:rsid w:val="008A203B"/>
    <w:rsid w:val="008A2F68"/>
    <w:rsid w:val="008A3F02"/>
    <w:rsid w:val="008A4A12"/>
    <w:rsid w:val="008A5371"/>
    <w:rsid w:val="008A6131"/>
    <w:rsid w:val="008A6630"/>
    <w:rsid w:val="008B03FC"/>
    <w:rsid w:val="008B0847"/>
    <w:rsid w:val="008B2421"/>
    <w:rsid w:val="008B3168"/>
    <w:rsid w:val="008B4404"/>
    <w:rsid w:val="008B4729"/>
    <w:rsid w:val="008B4C3C"/>
    <w:rsid w:val="008B4FA6"/>
    <w:rsid w:val="008B5282"/>
    <w:rsid w:val="008B55A9"/>
    <w:rsid w:val="008B7354"/>
    <w:rsid w:val="008B7C17"/>
    <w:rsid w:val="008C0049"/>
    <w:rsid w:val="008C0CA6"/>
    <w:rsid w:val="008C2248"/>
    <w:rsid w:val="008C2D01"/>
    <w:rsid w:val="008C40D9"/>
    <w:rsid w:val="008C40E6"/>
    <w:rsid w:val="008C4107"/>
    <w:rsid w:val="008C4232"/>
    <w:rsid w:val="008C42C4"/>
    <w:rsid w:val="008C63B0"/>
    <w:rsid w:val="008C6AFA"/>
    <w:rsid w:val="008C6E34"/>
    <w:rsid w:val="008D0F7A"/>
    <w:rsid w:val="008D2918"/>
    <w:rsid w:val="008D36F6"/>
    <w:rsid w:val="008D3865"/>
    <w:rsid w:val="008D3FCC"/>
    <w:rsid w:val="008D4246"/>
    <w:rsid w:val="008D4D24"/>
    <w:rsid w:val="008D5A2B"/>
    <w:rsid w:val="008D627C"/>
    <w:rsid w:val="008D68E4"/>
    <w:rsid w:val="008E0506"/>
    <w:rsid w:val="008E0CFF"/>
    <w:rsid w:val="008E1BF9"/>
    <w:rsid w:val="008E5D6B"/>
    <w:rsid w:val="008E76F0"/>
    <w:rsid w:val="008E7C7C"/>
    <w:rsid w:val="008E7FD8"/>
    <w:rsid w:val="008F13B9"/>
    <w:rsid w:val="008F15FE"/>
    <w:rsid w:val="008F17FE"/>
    <w:rsid w:val="008F1826"/>
    <w:rsid w:val="008F1B5E"/>
    <w:rsid w:val="008F2C31"/>
    <w:rsid w:val="008F2D29"/>
    <w:rsid w:val="008F2EDC"/>
    <w:rsid w:val="008F342A"/>
    <w:rsid w:val="008F3575"/>
    <w:rsid w:val="008F3F95"/>
    <w:rsid w:val="008F4354"/>
    <w:rsid w:val="008F5187"/>
    <w:rsid w:val="008F60D8"/>
    <w:rsid w:val="008F692C"/>
    <w:rsid w:val="008F7D22"/>
    <w:rsid w:val="008F7F6E"/>
    <w:rsid w:val="00901F3F"/>
    <w:rsid w:val="00902334"/>
    <w:rsid w:val="00902727"/>
    <w:rsid w:val="0090312B"/>
    <w:rsid w:val="00903B2B"/>
    <w:rsid w:val="00903B3D"/>
    <w:rsid w:val="009068E3"/>
    <w:rsid w:val="00910928"/>
    <w:rsid w:val="00910A05"/>
    <w:rsid w:val="00910F71"/>
    <w:rsid w:val="00911616"/>
    <w:rsid w:val="0091182C"/>
    <w:rsid w:val="009159D1"/>
    <w:rsid w:val="0091736D"/>
    <w:rsid w:val="00917A78"/>
    <w:rsid w:val="009209BB"/>
    <w:rsid w:val="009233FB"/>
    <w:rsid w:val="00923BF2"/>
    <w:rsid w:val="009244B4"/>
    <w:rsid w:val="009257A6"/>
    <w:rsid w:val="0092620C"/>
    <w:rsid w:val="00926E01"/>
    <w:rsid w:val="00927E36"/>
    <w:rsid w:val="00927E7F"/>
    <w:rsid w:val="0093037A"/>
    <w:rsid w:val="00930D3A"/>
    <w:rsid w:val="009311B4"/>
    <w:rsid w:val="00934294"/>
    <w:rsid w:val="00934BD0"/>
    <w:rsid w:val="00935001"/>
    <w:rsid w:val="00937022"/>
    <w:rsid w:val="00937F38"/>
    <w:rsid w:val="0094154D"/>
    <w:rsid w:val="009417FB"/>
    <w:rsid w:val="00942598"/>
    <w:rsid w:val="009441C8"/>
    <w:rsid w:val="00944585"/>
    <w:rsid w:val="00945F87"/>
    <w:rsid w:val="00946D50"/>
    <w:rsid w:val="00947D88"/>
    <w:rsid w:val="00947FED"/>
    <w:rsid w:val="0095155F"/>
    <w:rsid w:val="00952186"/>
    <w:rsid w:val="009524DF"/>
    <w:rsid w:val="009531AB"/>
    <w:rsid w:val="00953334"/>
    <w:rsid w:val="00953C54"/>
    <w:rsid w:val="00953CCB"/>
    <w:rsid w:val="00954429"/>
    <w:rsid w:val="00954DEE"/>
    <w:rsid w:val="009555C7"/>
    <w:rsid w:val="009563CE"/>
    <w:rsid w:val="00956A09"/>
    <w:rsid w:val="00956BDE"/>
    <w:rsid w:val="00960FC9"/>
    <w:rsid w:val="009619D2"/>
    <w:rsid w:val="00961E47"/>
    <w:rsid w:val="00961FF2"/>
    <w:rsid w:val="0096455A"/>
    <w:rsid w:val="0096483F"/>
    <w:rsid w:val="0096530C"/>
    <w:rsid w:val="00965C5A"/>
    <w:rsid w:val="009674BA"/>
    <w:rsid w:val="00970339"/>
    <w:rsid w:val="009704BF"/>
    <w:rsid w:val="00972A65"/>
    <w:rsid w:val="00973B3C"/>
    <w:rsid w:val="009740F8"/>
    <w:rsid w:val="00975ED6"/>
    <w:rsid w:val="00976328"/>
    <w:rsid w:val="0097680D"/>
    <w:rsid w:val="00977218"/>
    <w:rsid w:val="00977959"/>
    <w:rsid w:val="00980761"/>
    <w:rsid w:val="00980DD5"/>
    <w:rsid w:val="00982438"/>
    <w:rsid w:val="00982936"/>
    <w:rsid w:val="00982FFF"/>
    <w:rsid w:val="009831CF"/>
    <w:rsid w:val="0098404C"/>
    <w:rsid w:val="009844DB"/>
    <w:rsid w:val="00984B43"/>
    <w:rsid w:val="00985283"/>
    <w:rsid w:val="009853FC"/>
    <w:rsid w:val="00985B25"/>
    <w:rsid w:val="00985FBC"/>
    <w:rsid w:val="0098708C"/>
    <w:rsid w:val="00990272"/>
    <w:rsid w:val="00991408"/>
    <w:rsid w:val="00991E0C"/>
    <w:rsid w:val="009920E4"/>
    <w:rsid w:val="00992164"/>
    <w:rsid w:val="00993CEE"/>
    <w:rsid w:val="00994E6A"/>
    <w:rsid w:val="0099578B"/>
    <w:rsid w:val="00995992"/>
    <w:rsid w:val="00996954"/>
    <w:rsid w:val="009969EE"/>
    <w:rsid w:val="00997477"/>
    <w:rsid w:val="00997A3F"/>
    <w:rsid w:val="009A03E5"/>
    <w:rsid w:val="009A0F3B"/>
    <w:rsid w:val="009A0FB7"/>
    <w:rsid w:val="009A1BB4"/>
    <w:rsid w:val="009A2235"/>
    <w:rsid w:val="009A2628"/>
    <w:rsid w:val="009A3200"/>
    <w:rsid w:val="009A4001"/>
    <w:rsid w:val="009A49FD"/>
    <w:rsid w:val="009A564C"/>
    <w:rsid w:val="009A58DF"/>
    <w:rsid w:val="009B04FD"/>
    <w:rsid w:val="009B0578"/>
    <w:rsid w:val="009B0897"/>
    <w:rsid w:val="009B40B5"/>
    <w:rsid w:val="009B4F85"/>
    <w:rsid w:val="009B6401"/>
    <w:rsid w:val="009B76EA"/>
    <w:rsid w:val="009B7BD9"/>
    <w:rsid w:val="009C0229"/>
    <w:rsid w:val="009C18A2"/>
    <w:rsid w:val="009C2ADE"/>
    <w:rsid w:val="009C3E23"/>
    <w:rsid w:val="009C3E73"/>
    <w:rsid w:val="009C3E8B"/>
    <w:rsid w:val="009C4F02"/>
    <w:rsid w:val="009C53C2"/>
    <w:rsid w:val="009C5DE8"/>
    <w:rsid w:val="009C7DD5"/>
    <w:rsid w:val="009D0A23"/>
    <w:rsid w:val="009D0C2B"/>
    <w:rsid w:val="009D0D4B"/>
    <w:rsid w:val="009D0F98"/>
    <w:rsid w:val="009D2417"/>
    <w:rsid w:val="009D283A"/>
    <w:rsid w:val="009D2BA1"/>
    <w:rsid w:val="009D3AFD"/>
    <w:rsid w:val="009D45AE"/>
    <w:rsid w:val="009D4D49"/>
    <w:rsid w:val="009D4E50"/>
    <w:rsid w:val="009D5921"/>
    <w:rsid w:val="009D7041"/>
    <w:rsid w:val="009D710E"/>
    <w:rsid w:val="009D730C"/>
    <w:rsid w:val="009E1AF1"/>
    <w:rsid w:val="009E227D"/>
    <w:rsid w:val="009E2610"/>
    <w:rsid w:val="009E416B"/>
    <w:rsid w:val="009E4DB7"/>
    <w:rsid w:val="009E5019"/>
    <w:rsid w:val="009E7D03"/>
    <w:rsid w:val="009F1BC2"/>
    <w:rsid w:val="009F2DC9"/>
    <w:rsid w:val="009F31EF"/>
    <w:rsid w:val="009F3BBE"/>
    <w:rsid w:val="009F3EEC"/>
    <w:rsid w:val="009F3EFD"/>
    <w:rsid w:val="009F3F91"/>
    <w:rsid w:val="009F421F"/>
    <w:rsid w:val="009F4993"/>
    <w:rsid w:val="009F49CD"/>
    <w:rsid w:val="009F5103"/>
    <w:rsid w:val="009F681B"/>
    <w:rsid w:val="009F6B67"/>
    <w:rsid w:val="009F7ADD"/>
    <w:rsid w:val="00A02402"/>
    <w:rsid w:val="00A02741"/>
    <w:rsid w:val="00A03580"/>
    <w:rsid w:val="00A03634"/>
    <w:rsid w:val="00A04D30"/>
    <w:rsid w:val="00A04F1B"/>
    <w:rsid w:val="00A04F2B"/>
    <w:rsid w:val="00A0501B"/>
    <w:rsid w:val="00A05941"/>
    <w:rsid w:val="00A06FC2"/>
    <w:rsid w:val="00A07142"/>
    <w:rsid w:val="00A104CE"/>
    <w:rsid w:val="00A12181"/>
    <w:rsid w:val="00A122F6"/>
    <w:rsid w:val="00A127D2"/>
    <w:rsid w:val="00A13282"/>
    <w:rsid w:val="00A13BCC"/>
    <w:rsid w:val="00A1409F"/>
    <w:rsid w:val="00A142FA"/>
    <w:rsid w:val="00A14947"/>
    <w:rsid w:val="00A14ECB"/>
    <w:rsid w:val="00A1577B"/>
    <w:rsid w:val="00A16AA4"/>
    <w:rsid w:val="00A174D7"/>
    <w:rsid w:val="00A2021C"/>
    <w:rsid w:val="00A205AD"/>
    <w:rsid w:val="00A2092F"/>
    <w:rsid w:val="00A23EFB"/>
    <w:rsid w:val="00A257F1"/>
    <w:rsid w:val="00A3030C"/>
    <w:rsid w:val="00A32A83"/>
    <w:rsid w:val="00A34B2D"/>
    <w:rsid w:val="00A368DB"/>
    <w:rsid w:val="00A36C77"/>
    <w:rsid w:val="00A405B1"/>
    <w:rsid w:val="00A4179B"/>
    <w:rsid w:val="00A41ABB"/>
    <w:rsid w:val="00A423AA"/>
    <w:rsid w:val="00A42A06"/>
    <w:rsid w:val="00A433AC"/>
    <w:rsid w:val="00A44605"/>
    <w:rsid w:val="00A44CA3"/>
    <w:rsid w:val="00A46CF2"/>
    <w:rsid w:val="00A47131"/>
    <w:rsid w:val="00A47EA3"/>
    <w:rsid w:val="00A50090"/>
    <w:rsid w:val="00A5313B"/>
    <w:rsid w:val="00A53490"/>
    <w:rsid w:val="00A534A4"/>
    <w:rsid w:val="00A53E9F"/>
    <w:rsid w:val="00A53EB2"/>
    <w:rsid w:val="00A53EC6"/>
    <w:rsid w:val="00A54F0C"/>
    <w:rsid w:val="00A55006"/>
    <w:rsid w:val="00A55122"/>
    <w:rsid w:val="00A55738"/>
    <w:rsid w:val="00A55C0F"/>
    <w:rsid w:val="00A56317"/>
    <w:rsid w:val="00A56A07"/>
    <w:rsid w:val="00A56FD3"/>
    <w:rsid w:val="00A57328"/>
    <w:rsid w:val="00A61E03"/>
    <w:rsid w:val="00A62E31"/>
    <w:rsid w:val="00A6306F"/>
    <w:rsid w:val="00A63846"/>
    <w:rsid w:val="00A660F6"/>
    <w:rsid w:val="00A70018"/>
    <w:rsid w:val="00A702D8"/>
    <w:rsid w:val="00A70CEF"/>
    <w:rsid w:val="00A7252F"/>
    <w:rsid w:val="00A72582"/>
    <w:rsid w:val="00A72994"/>
    <w:rsid w:val="00A73153"/>
    <w:rsid w:val="00A7365F"/>
    <w:rsid w:val="00A73BF3"/>
    <w:rsid w:val="00A7687E"/>
    <w:rsid w:val="00A77898"/>
    <w:rsid w:val="00A77D7C"/>
    <w:rsid w:val="00A80A0B"/>
    <w:rsid w:val="00A80BE1"/>
    <w:rsid w:val="00A81193"/>
    <w:rsid w:val="00A82E96"/>
    <w:rsid w:val="00A830A2"/>
    <w:rsid w:val="00A8321B"/>
    <w:rsid w:val="00A8657B"/>
    <w:rsid w:val="00A8713F"/>
    <w:rsid w:val="00A90BA1"/>
    <w:rsid w:val="00A90DAA"/>
    <w:rsid w:val="00A90DC4"/>
    <w:rsid w:val="00A91154"/>
    <w:rsid w:val="00A91E74"/>
    <w:rsid w:val="00A9236D"/>
    <w:rsid w:val="00A944AA"/>
    <w:rsid w:val="00A94695"/>
    <w:rsid w:val="00A94822"/>
    <w:rsid w:val="00A97A96"/>
    <w:rsid w:val="00A97A9A"/>
    <w:rsid w:val="00A97DB3"/>
    <w:rsid w:val="00AA0010"/>
    <w:rsid w:val="00AA0671"/>
    <w:rsid w:val="00AA0E06"/>
    <w:rsid w:val="00AA20FE"/>
    <w:rsid w:val="00AA2531"/>
    <w:rsid w:val="00AA36AE"/>
    <w:rsid w:val="00AA39A6"/>
    <w:rsid w:val="00AA4F8B"/>
    <w:rsid w:val="00AA4FD0"/>
    <w:rsid w:val="00AA628C"/>
    <w:rsid w:val="00AA640A"/>
    <w:rsid w:val="00AB1BBD"/>
    <w:rsid w:val="00AB1E09"/>
    <w:rsid w:val="00AB2ACA"/>
    <w:rsid w:val="00AB5330"/>
    <w:rsid w:val="00AB56D4"/>
    <w:rsid w:val="00AB6039"/>
    <w:rsid w:val="00AB672C"/>
    <w:rsid w:val="00AB6BE6"/>
    <w:rsid w:val="00AB7747"/>
    <w:rsid w:val="00AC14CE"/>
    <w:rsid w:val="00AC25B0"/>
    <w:rsid w:val="00AC2A56"/>
    <w:rsid w:val="00AC3388"/>
    <w:rsid w:val="00AC4A4D"/>
    <w:rsid w:val="00AC5232"/>
    <w:rsid w:val="00AC6402"/>
    <w:rsid w:val="00AC788E"/>
    <w:rsid w:val="00AD024A"/>
    <w:rsid w:val="00AD0535"/>
    <w:rsid w:val="00AD055E"/>
    <w:rsid w:val="00AD0C35"/>
    <w:rsid w:val="00AD0F52"/>
    <w:rsid w:val="00AD1DDC"/>
    <w:rsid w:val="00AD261D"/>
    <w:rsid w:val="00AD2651"/>
    <w:rsid w:val="00AD2A01"/>
    <w:rsid w:val="00AD2FD7"/>
    <w:rsid w:val="00AD3CF2"/>
    <w:rsid w:val="00AD3FE4"/>
    <w:rsid w:val="00AD47A7"/>
    <w:rsid w:val="00AD5064"/>
    <w:rsid w:val="00AD5552"/>
    <w:rsid w:val="00AE05F8"/>
    <w:rsid w:val="00AE1876"/>
    <w:rsid w:val="00AE2891"/>
    <w:rsid w:val="00AE2DA8"/>
    <w:rsid w:val="00AE32D5"/>
    <w:rsid w:val="00AE3448"/>
    <w:rsid w:val="00AE40B1"/>
    <w:rsid w:val="00AE55BC"/>
    <w:rsid w:val="00AE5C54"/>
    <w:rsid w:val="00AE6BC3"/>
    <w:rsid w:val="00AF0039"/>
    <w:rsid w:val="00AF0CBF"/>
    <w:rsid w:val="00AF1B3B"/>
    <w:rsid w:val="00AF234E"/>
    <w:rsid w:val="00AF257F"/>
    <w:rsid w:val="00AF2E61"/>
    <w:rsid w:val="00AF33CF"/>
    <w:rsid w:val="00AF3950"/>
    <w:rsid w:val="00AF39F6"/>
    <w:rsid w:val="00AF4D50"/>
    <w:rsid w:val="00AF584C"/>
    <w:rsid w:val="00AF6179"/>
    <w:rsid w:val="00AF6914"/>
    <w:rsid w:val="00AF70CF"/>
    <w:rsid w:val="00B0000A"/>
    <w:rsid w:val="00B0072D"/>
    <w:rsid w:val="00B01A4D"/>
    <w:rsid w:val="00B03D76"/>
    <w:rsid w:val="00B0568A"/>
    <w:rsid w:val="00B06219"/>
    <w:rsid w:val="00B1034E"/>
    <w:rsid w:val="00B1295A"/>
    <w:rsid w:val="00B130DA"/>
    <w:rsid w:val="00B13689"/>
    <w:rsid w:val="00B14D28"/>
    <w:rsid w:val="00B158F4"/>
    <w:rsid w:val="00B15DED"/>
    <w:rsid w:val="00B20A45"/>
    <w:rsid w:val="00B221D7"/>
    <w:rsid w:val="00B2231A"/>
    <w:rsid w:val="00B22881"/>
    <w:rsid w:val="00B22C5C"/>
    <w:rsid w:val="00B24F30"/>
    <w:rsid w:val="00B2554E"/>
    <w:rsid w:val="00B27E3D"/>
    <w:rsid w:val="00B305EE"/>
    <w:rsid w:val="00B31ABF"/>
    <w:rsid w:val="00B32B7E"/>
    <w:rsid w:val="00B32C5F"/>
    <w:rsid w:val="00B33BE3"/>
    <w:rsid w:val="00B33FA0"/>
    <w:rsid w:val="00B3462D"/>
    <w:rsid w:val="00B34BED"/>
    <w:rsid w:val="00B35454"/>
    <w:rsid w:val="00B358A0"/>
    <w:rsid w:val="00B35998"/>
    <w:rsid w:val="00B36633"/>
    <w:rsid w:val="00B37B28"/>
    <w:rsid w:val="00B37D02"/>
    <w:rsid w:val="00B37E74"/>
    <w:rsid w:val="00B40645"/>
    <w:rsid w:val="00B40995"/>
    <w:rsid w:val="00B40DDD"/>
    <w:rsid w:val="00B416A3"/>
    <w:rsid w:val="00B41CF4"/>
    <w:rsid w:val="00B430C1"/>
    <w:rsid w:val="00B442AC"/>
    <w:rsid w:val="00B44C4C"/>
    <w:rsid w:val="00B44D0B"/>
    <w:rsid w:val="00B457B5"/>
    <w:rsid w:val="00B45FF5"/>
    <w:rsid w:val="00B47E8E"/>
    <w:rsid w:val="00B47FC2"/>
    <w:rsid w:val="00B50429"/>
    <w:rsid w:val="00B5091D"/>
    <w:rsid w:val="00B50991"/>
    <w:rsid w:val="00B509D9"/>
    <w:rsid w:val="00B509DC"/>
    <w:rsid w:val="00B51348"/>
    <w:rsid w:val="00B51B1C"/>
    <w:rsid w:val="00B51C79"/>
    <w:rsid w:val="00B52297"/>
    <w:rsid w:val="00B522EC"/>
    <w:rsid w:val="00B53B5D"/>
    <w:rsid w:val="00B5564A"/>
    <w:rsid w:val="00B559BD"/>
    <w:rsid w:val="00B55EB7"/>
    <w:rsid w:val="00B56A19"/>
    <w:rsid w:val="00B56DDE"/>
    <w:rsid w:val="00B56E20"/>
    <w:rsid w:val="00B6055E"/>
    <w:rsid w:val="00B61A22"/>
    <w:rsid w:val="00B61D6A"/>
    <w:rsid w:val="00B6317D"/>
    <w:rsid w:val="00B63C0B"/>
    <w:rsid w:val="00B63DE6"/>
    <w:rsid w:val="00B65384"/>
    <w:rsid w:val="00B667B3"/>
    <w:rsid w:val="00B6708A"/>
    <w:rsid w:val="00B72C63"/>
    <w:rsid w:val="00B73CB2"/>
    <w:rsid w:val="00B73F1E"/>
    <w:rsid w:val="00B74821"/>
    <w:rsid w:val="00B74ED2"/>
    <w:rsid w:val="00B7705C"/>
    <w:rsid w:val="00B7723F"/>
    <w:rsid w:val="00B80534"/>
    <w:rsid w:val="00B8103B"/>
    <w:rsid w:val="00B822FF"/>
    <w:rsid w:val="00B83388"/>
    <w:rsid w:val="00B8388F"/>
    <w:rsid w:val="00B8433C"/>
    <w:rsid w:val="00B848FE"/>
    <w:rsid w:val="00B84A75"/>
    <w:rsid w:val="00B85466"/>
    <w:rsid w:val="00B8604A"/>
    <w:rsid w:val="00B86F29"/>
    <w:rsid w:val="00B8741F"/>
    <w:rsid w:val="00B87491"/>
    <w:rsid w:val="00B87D4E"/>
    <w:rsid w:val="00B921A1"/>
    <w:rsid w:val="00B929AC"/>
    <w:rsid w:val="00BA0F04"/>
    <w:rsid w:val="00BA1907"/>
    <w:rsid w:val="00BA1DE6"/>
    <w:rsid w:val="00BA29E9"/>
    <w:rsid w:val="00BA3DC1"/>
    <w:rsid w:val="00BA4635"/>
    <w:rsid w:val="00BA54BE"/>
    <w:rsid w:val="00BA6768"/>
    <w:rsid w:val="00BA7142"/>
    <w:rsid w:val="00BA74DE"/>
    <w:rsid w:val="00BB0263"/>
    <w:rsid w:val="00BB0BA4"/>
    <w:rsid w:val="00BB0DD3"/>
    <w:rsid w:val="00BB1101"/>
    <w:rsid w:val="00BB162B"/>
    <w:rsid w:val="00BB198E"/>
    <w:rsid w:val="00BB1B81"/>
    <w:rsid w:val="00BB237C"/>
    <w:rsid w:val="00BB2C8E"/>
    <w:rsid w:val="00BB41A3"/>
    <w:rsid w:val="00BB46D7"/>
    <w:rsid w:val="00BB4748"/>
    <w:rsid w:val="00BB4B7C"/>
    <w:rsid w:val="00BB4D2B"/>
    <w:rsid w:val="00BB5C44"/>
    <w:rsid w:val="00BB6E44"/>
    <w:rsid w:val="00BB7777"/>
    <w:rsid w:val="00BC086A"/>
    <w:rsid w:val="00BC0997"/>
    <w:rsid w:val="00BC15EF"/>
    <w:rsid w:val="00BC313C"/>
    <w:rsid w:val="00BC32DC"/>
    <w:rsid w:val="00BC35B6"/>
    <w:rsid w:val="00BC3A95"/>
    <w:rsid w:val="00BC3C34"/>
    <w:rsid w:val="00BC545C"/>
    <w:rsid w:val="00BC63CC"/>
    <w:rsid w:val="00BC7344"/>
    <w:rsid w:val="00BC76D2"/>
    <w:rsid w:val="00BD1333"/>
    <w:rsid w:val="00BD1827"/>
    <w:rsid w:val="00BD1B51"/>
    <w:rsid w:val="00BD3438"/>
    <w:rsid w:val="00BD3995"/>
    <w:rsid w:val="00BD4568"/>
    <w:rsid w:val="00BD4596"/>
    <w:rsid w:val="00BD5609"/>
    <w:rsid w:val="00BD6E45"/>
    <w:rsid w:val="00BD7172"/>
    <w:rsid w:val="00BE1405"/>
    <w:rsid w:val="00BE1FAF"/>
    <w:rsid w:val="00BE312D"/>
    <w:rsid w:val="00BE458C"/>
    <w:rsid w:val="00BE4747"/>
    <w:rsid w:val="00BE550B"/>
    <w:rsid w:val="00BE5BCF"/>
    <w:rsid w:val="00BE6699"/>
    <w:rsid w:val="00BE7463"/>
    <w:rsid w:val="00BE78EE"/>
    <w:rsid w:val="00BE79B2"/>
    <w:rsid w:val="00BF161F"/>
    <w:rsid w:val="00BF1C20"/>
    <w:rsid w:val="00BF263B"/>
    <w:rsid w:val="00BF2A62"/>
    <w:rsid w:val="00BF3F2F"/>
    <w:rsid w:val="00BF4A49"/>
    <w:rsid w:val="00BF4E8A"/>
    <w:rsid w:val="00BF507F"/>
    <w:rsid w:val="00BF5352"/>
    <w:rsid w:val="00BF66CC"/>
    <w:rsid w:val="00BF79EC"/>
    <w:rsid w:val="00C0094D"/>
    <w:rsid w:val="00C00A52"/>
    <w:rsid w:val="00C02353"/>
    <w:rsid w:val="00C02BDB"/>
    <w:rsid w:val="00C0346E"/>
    <w:rsid w:val="00C0369B"/>
    <w:rsid w:val="00C03D25"/>
    <w:rsid w:val="00C03E89"/>
    <w:rsid w:val="00C05555"/>
    <w:rsid w:val="00C05D8F"/>
    <w:rsid w:val="00C10578"/>
    <w:rsid w:val="00C11554"/>
    <w:rsid w:val="00C11AE4"/>
    <w:rsid w:val="00C11C8D"/>
    <w:rsid w:val="00C12845"/>
    <w:rsid w:val="00C135BC"/>
    <w:rsid w:val="00C14727"/>
    <w:rsid w:val="00C1517D"/>
    <w:rsid w:val="00C156CA"/>
    <w:rsid w:val="00C15A08"/>
    <w:rsid w:val="00C15C95"/>
    <w:rsid w:val="00C2157C"/>
    <w:rsid w:val="00C21AB8"/>
    <w:rsid w:val="00C21F0C"/>
    <w:rsid w:val="00C23600"/>
    <w:rsid w:val="00C24563"/>
    <w:rsid w:val="00C245B1"/>
    <w:rsid w:val="00C24922"/>
    <w:rsid w:val="00C25814"/>
    <w:rsid w:val="00C25846"/>
    <w:rsid w:val="00C2596A"/>
    <w:rsid w:val="00C264BA"/>
    <w:rsid w:val="00C27537"/>
    <w:rsid w:val="00C27D60"/>
    <w:rsid w:val="00C300AA"/>
    <w:rsid w:val="00C31120"/>
    <w:rsid w:val="00C31282"/>
    <w:rsid w:val="00C3153E"/>
    <w:rsid w:val="00C328FE"/>
    <w:rsid w:val="00C33507"/>
    <w:rsid w:val="00C337ED"/>
    <w:rsid w:val="00C33AAC"/>
    <w:rsid w:val="00C33ADE"/>
    <w:rsid w:val="00C341A8"/>
    <w:rsid w:val="00C3482C"/>
    <w:rsid w:val="00C35887"/>
    <w:rsid w:val="00C36CE5"/>
    <w:rsid w:val="00C37027"/>
    <w:rsid w:val="00C413B3"/>
    <w:rsid w:val="00C437B0"/>
    <w:rsid w:val="00C43991"/>
    <w:rsid w:val="00C43D14"/>
    <w:rsid w:val="00C4409D"/>
    <w:rsid w:val="00C444FD"/>
    <w:rsid w:val="00C44E72"/>
    <w:rsid w:val="00C451E5"/>
    <w:rsid w:val="00C45A06"/>
    <w:rsid w:val="00C464F0"/>
    <w:rsid w:val="00C47E2B"/>
    <w:rsid w:val="00C47E5B"/>
    <w:rsid w:val="00C50C6F"/>
    <w:rsid w:val="00C53405"/>
    <w:rsid w:val="00C53B39"/>
    <w:rsid w:val="00C54ECC"/>
    <w:rsid w:val="00C558EF"/>
    <w:rsid w:val="00C55BE8"/>
    <w:rsid w:val="00C57489"/>
    <w:rsid w:val="00C602B5"/>
    <w:rsid w:val="00C60A95"/>
    <w:rsid w:val="00C614AC"/>
    <w:rsid w:val="00C61E4B"/>
    <w:rsid w:val="00C62035"/>
    <w:rsid w:val="00C62B68"/>
    <w:rsid w:val="00C62B8F"/>
    <w:rsid w:val="00C64945"/>
    <w:rsid w:val="00C64BFF"/>
    <w:rsid w:val="00C64D7D"/>
    <w:rsid w:val="00C64E27"/>
    <w:rsid w:val="00C6530C"/>
    <w:rsid w:val="00C653B9"/>
    <w:rsid w:val="00C65852"/>
    <w:rsid w:val="00C665EF"/>
    <w:rsid w:val="00C6668D"/>
    <w:rsid w:val="00C66F60"/>
    <w:rsid w:val="00C671D0"/>
    <w:rsid w:val="00C67813"/>
    <w:rsid w:val="00C70310"/>
    <w:rsid w:val="00C704E9"/>
    <w:rsid w:val="00C715A1"/>
    <w:rsid w:val="00C72B08"/>
    <w:rsid w:val="00C736F4"/>
    <w:rsid w:val="00C73818"/>
    <w:rsid w:val="00C73D45"/>
    <w:rsid w:val="00C7459B"/>
    <w:rsid w:val="00C75671"/>
    <w:rsid w:val="00C763C9"/>
    <w:rsid w:val="00C76520"/>
    <w:rsid w:val="00C80057"/>
    <w:rsid w:val="00C80BBF"/>
    <w:rsid w:val="00C813D4"/>
    <w:rsid w:val="00C82188"/>
    <w:rsid w:val="00C82232"/>
    <w:rsid w:val="00C827F7"/>
    <w:rsid w:val="00C8283F"/>
    <w:rsid w:val="00C82913"/>
    <w:rsid w:val="00C83C8E"/>
    <w:rsid w:val="00C86D7A"/>
    <w:rsid w:val="00C8774E"/>
    <w:rsid w:val="00C90095"/>
    <w:rsid w:val="00C90732"/>
    <w:rsid w:val="00C9088F"/>
    <w:rsid w:val="00C90B18"/>
    <w:rsid w:val="00C92785"/>
    <w:rsid w:val="00C93228"/>
    <w:rsid w:val="00C942A2"/>
    <w:rsid w:val="00C94A57"/>
    <w:rsid w:val="00C95594"/>
    <w:rsid w:val="00C963B4"/>
    <w:rsid w:val="00C967F4"/>
    <w:rsid w:val="00C96D35"/>
    <w:rsid w:val="00C972B1"/>
    <w:rsid w:val="00CA03CE"/>
    <w:rsid w:val="00CA13E0"/>
    <w:rsid w:val="00CA141B"/>
    <w:rsid w:val="00CA1E4D"/>
    <w:rsid w:val="00CA2CCE"/>
    <w:rsid w:val="00CA43FD"/>
    <w:rsid w:val="00CA5AFD"/>
    <w:rsid w:val="00CA69A5"/>
    <w:rsid w:val="00CA7B18"/>
    <w:rsid w:val="00CA7EF8"/>
    <w:rsid w:val="00CB10DB"/>
    <w:rsid w:val="00CB244C"/>
    <w:rsid w:val="00CB2E74"/>
    <w:rsid w:val="00CB3B67"/>
    <w:rsid w:val="00CB52ED"/>
    <w:rsid w:val="00CB5D97"/>
    <w:rsid w:val="00CB6773"/>
    <w:rsid w:val="00CB6863"/>
    <w:rsid w:val="00CB75D6"/>
    <w:rsid w:val="00CC31C1"/>
    <w:rsid w:val="00CC3290"/>
    <w:rsid w:val="00CC489B"/>
    <w:rsid w:val="00CC4EB7"/>
    <w:rsid w:val="00CC6C2C"/>
    <w:rsid w:val="00CC7CFE"/>
    <w:rsid w:val="00CD03DD"/>
    <w:rsid w:val="00CD1DB8"/>
    <w:rsid w:val="00CD2BCD"/>
    <w:rsid w:val="00CD3A4C"/>
    <w:rsid w:val="00CD488C"/>
    <w:rsid w:val="00CD68AC"/>
    <w:rsid w:val="00CD704C"/>
    <w:rsid w:val="00CD79C0"/>
    <w:rsid w:val="00CE0905"/>
    <w:rsid w:val="00CE0E2E"/>
    <w:rsid w:val="00CE10E9"/>
    <w:rsid w:val="00CE2910"/>
    <w:rsid w:val="00CE353B"/>
    <w:rsid w:val="00CE3DD0"/>
    <w:rsid w:val="00CE4BA4"/>
    <w:rsid w:val="00CE5393"/>
    <w:rsid w:val="00CE5A26"/>
    <w:rsid w:val="00CE5A84"/>
    <w:rsid w:val="00CE5AFA"/>
    <w:rsid w:val="00CE61CB"/>
    <w:rsid w:val="00CE672D"/>
    <w:rsid w:val="00CE6AD8"/>
    <w:rsid w:val="00CE7DD8"/>
    <w:rsid w:val="00CF01C0"/>
    <w:rsid w:val="00CF0AE9"/>
    <w:rsid w:val="00CF1EC1"/>
    <w:rsid w:val="00CF2D34"/>
    <w:rsid w:val="00CF36BE"/>
    <w:rsid w:val="00CF6000"/>
    <w:rsid w:val="00CF7B16"/>
    <w:rsid w:val="00D00344"/>
    <w:rsid w:val="00D003F3"/>
    <w:rsid w:val="00D005E4"/>
    <w:rsid w:val="00D02005"/>
    <w:rsid w:val="00D023C5"/>
    <w:rsid w:val="00D02BDB"/>
    <w:rsid w:val="00D0364F"/>
    <w:rsid w:val="00D03DAF"/>
    <w:rsid w:val="00D06834"/>
    <w:rsid w:val="00D0683E"/>
    <w:rsid w:val="00D06EDC"/>
    <w:rsid w:val="00D07DC8"/>
    <w:rsid w:val="00D103FE"/>
    <w:rsid w:val="00D10909"/>
    <w:rsid w:val="00D111C3"/>
    <w:rsid w:val="00D115F2"/>
    <w:rsid w:val="00D127D7"/>
    <w:rsid w:val="00D13E19"/>
    <w:rsid w:val="00D15390"/>
    <w:rsid w:val="00D169A0"/>
    <w:rsid w:val="00D16DD3"/>
    <w:rsid w:val="00D1710F"/>
    <w:rsid w:val="00D202ED"/>
    <w:rsid w:val="00D20C9E"/>
    <w:rsid w:val="00D21684"/>
    <w:rsid w:val="00D21C7B"/>
    <w:rsid w:val="00D22737"/>
    <w:rsid w:val="00D26425"/>
    <w:rsid w:val="00D276EA"/>
    <w:rsid w:val="00D27B71"/>
    <w:rsid w:val="00D30882"/>
    <w:rsid w:val="00D308ED"/>
    <w:rsid w:val="00D31231"/>
    <w:rsid w:val="00D31417"/>
    <w:rsid w:val="00D317BD"/>
    <w:rsid w:val="00D32021"/>
    <w:rsid w:val="00D3378D"/>
    <w:rsid w:val="00D33BB1"/>
    <w:rsid w:val="00D33CC2"/>
    <w:rsid w:val="00D33DFB"/>
    <w:rsid w:val="00D359D3"/>
    <w:rsid w:val="00D35E57"/>
    <w:rsid w:val="00D36D86"/>
    <w:rsid w:val="00D374F6"/>
    <w:rsid w:val="00D41384"/>
    <w:rsid w:val="00D4283A"/>
    <w:rsid w:val="00D428AA"/>
    <w:rsid w:val="00D43757"/>
    <w:rsid w:val="00D46D86"/>
    <w:rsid w:val="00D470DC"/>
    <w:rsid w:val="00D50A34"/>
    <w:rsid w:val="00D51BD6"/>
    <w:rsid w:val="00D521DC"/>
    <w:rsid w:val="00D53602"/>
    <w:rsid w:val="00D53EFA"/>
    <w:rsid w:val="00D57210"/>
    <w:rsid w:val="00D61832"/>
    <w:rsid w:val="00D6184F"/>
    <w:rsid w:val="00D61E2F"/>
    <w:rsid w:val="00D62656"/>
    <w:rsid w:val="00D637F5"/>
    <w:rsid w:val="00D64654"/>
    <w:rsid w:val="00D6507F"/>
    <w:rsid w:val="00D650B5"/>
    <w:rsid w:val="00D66C09"/>
    <w:rsid w:val="00D66C26"/>
    <w:rsid w:val="00D67883"/>
    <w:rsid w:val="00D67D0F"/>
    <w:rsid w:val="00D67D4D"/>
    <w:rsid w:val="00D71F5B"/>
    <w:rsid w:val="00D749B0"/>
    <w:rsid w:val="00D75157"/>
    <w:rsid w:val="00D773A0"/>
    <w:rsid w:val="00D777A2"/>
    <w:rsid w:val="00D80DBF"/>
    <w:rsid w:val="00D83BAE"/>
    <w:rsid w:val="00D8478F"/>
    <w:rsid w:val="00D84B9F"/>
    <w:rsid w:val="00D8515C"/>
    <w:rsid w:val="00D86A63"/>
    <w:rsid w:val="00D8731F"/>
    <w:rsid w:val="00D879DE"/>
    <w:rsid w:val="00D902E0"/>
    <w:rsid w:val="00D91BEE"/>
    <w:rsid w:val="00D92394"/>
    <w:rsid w:val="00D9301F"/>
    <w:rsid w:val="00D93023"/>
    <w:rsid w:val="00D9310F"/>
    <w:rsid w:val="00D93BFC"/>
    <w:rsid w:val="00D94783"/>
    <w:rsid w:val="00D94A7C"/>
    <w:rsid w:val="00D9507B"/>
    <w:rsid w:val="00D9535B"/>
    <w:rsid w:val="00D95896"/>
    <w:rsid w:val="00D961A1"/>
    <w:rsid w:val="00D977F0"/>
    <w:rsid w:val="00DA0C4D"/>
    <w:rsid w:val="00DA0DFE"/>
    <w:rsid w:val="00DA1592"/>
    <w:rsid w:val="00DA20A4"/>
    <w:rsid w:val="00DA20BE"/>
    <w:rsid w:val="00DA24A6"/>
    <w:rsid w:val="00DA394C"/>
    <w:rsid w:val="00DA3CE4"/>
    <w:rsid w:val="00DA48E6"/>
    <w:rsid w:val="00DA56F1"/>
    <w:rsid w:val="00DA6CFE"/>
    <w:rsid w:val="00DA76F3"/>
    <w:rsid w:val="00DB125E"/>
    <w:rsid w:val="00DB1A27"/>
    <w:rsid w:val="00DB2983"/>
    <w:rsid w:val="00DB2EF7"/>
    <w:rsid w:val="00DB3780"/>
    <w:rsid w:val="00DB6F09"/>
    <w:rsid w:val="00DB7A16"/>
    <w:rsid w:val="00DC1257"/>
    <w:rsid w:val="00DC1508"/>
    <w:rsid w:val="00DC2CEA"/>
    <w:rsid w:val="00DC2FF8"/>
    <w:rsid w:val="00DC36AC"/>
    <w:rsid w:val="00DC394B"/>
    <w:rsid w:val="00DC3DC0"/>
    <w:rsid w:val="00DC464E"/>
    <w:rsid w:val="00DC5055"/>
    <w:rsid w:val="00DC5B2B"/>
    <w:rsid w:val="00DC6B9D"/>
    <w:rsid w:val="00DC7248"/>
    <w:rsid w:val="00DD1585"/>
    <w:rsid w:val="00DD1F13"/>
    <w:rsid w:val="00DD318D"/>
    <w:rsid w:val="00DD4184"/>
    <w:rsid w:val="00DD494B"/>
    <w:rsid w:val="00DD5505"/>
    <w:rsid w:val="00DD6081"/>
    <w:rsid w:val="00DD6842"/>
    <w:rsid w:val="00DE6353"/>
    <w:rsid w:val="00DE6AF0"/>
    <w:rsid w:val="00DF06A8"/>
    <w:rsid w:val="00DF20E3"/>
    <w:rsid w:val="00DF26C5"/>
    <w:rsid w:val="00DF297B"/>
    <w:rsid w:val="00DF2BA0"/>
    <w:rsid w:val="00DF2E12"/>
    <w:rsid w:val="00DF4BD6"/>
    <w:rsid w:val="00DF514A"/>
    <w:rsid w:val="00DF6690"/>
    <w:rsid w:val="00DF6804"/>
    <w:rsid w:val="00DF7A01"/>
    <w:rsid w:val="00E0001D"/>
    <w:rsid w:val="00E004F2"/>
    <w:rsid w:val="00E007CF"/>
    <w:rsid w:val="00E017E1"/>
    <w:rsid w:val="00E0313B"/>
    <w:rsid w:val="00E03528"/>
    <w:rsid w:val="00E0358D"/>
    <w:rsid w:val="00E04323"/>
    <w:rsid w:val="00E0449B"/>
    <w:rsid w:val="00E05CBB"/>
    <w:rsid w:val="00E06F38"/>
    <w:rsid w:val="00E070A2"/>
    <w:rsid w:val="00E07364"/>
    <w:rsid w:val="00E1018E"/>
    <w:rsid w:val="00E10E68"/>
    <w:rsid w:val="00E1147A"/>
    <w:rsid w:val="00E114BA"/>
    <w:rsid w:val="00E11B50"/>
    <w:rsid w:val="00E121E6"/>
    <w:rsid w:val="00E14546"/>
    <w:rsid w:val="00E145D2"/>
    <w:rsid w:val="00E1573E"/>
    <w:rsid w:val="00E16451"/>
    <w:rsid w:val="00E17D13"/>
    <w:rsid w:val="00E20286"/>
    <w:rsid w:val="00E20D4B"/>
    <w:rsid w:val="00E210D7"/>
    <w:rsid w:val="00E22C42"/>
    <w:rsid w:val="00E23FF0"/>
    <w:rsid w:val="00E2656A"/>
    <w:rsid w:val="00E27449"/>
    <w:rsid w:val="00E274DA"/>
    <w:rsid w:val="00E30199"/>
    <w:rsid w:val="00E30C8E"/>
    <w:rsid w:val="00E3103F"/>
    <w:rsid w:val="00E32FFD"/>
    <w:rsid w:val="00E335B0"/>
    <w:rsid w:val="00E34202"/>
    <w:rsid w:val="00E34B4C"/>
    <w:rsid w:val="00E35C38"/>
    <w:rsid w:val="00E35EF5"/>
    <w:rsid w:val="00E36790"/>
    <w:rsid w:val="00E36F7F"/>
    <w:rsid w:val="00E37B6A"/>
    <w:rsid w:val="00E4042D"/>
    <w:rsid w:val="00E410BF"/>
    <w:rsid w:val="00E412D0"/>
    <w:rsid w:val="00E4340B"/>
    <w:rsid w:val="00E4443D"/>
    <w:rsid w:val="00E44909"/>
    <w:rsid w:val="00E44BFB"/>
    <w:rsid w:val="00E52A48"/>
    <w:rsid w:val="00E5450A"/>
    <w:rsid w:val="00E55215"/>
    <w:rsid w:val="00E552D8"/>
    <w:rsid w:val="00E55472"/>
    <w:rsid w:val="00E55F3E"/>
    <w:rsid w:val="00E56322"/>
    <w:rsid w:val="00E56B16"/>
    <w:rsid w:val="00E574A6"/>
    <w:rsid w:val="00E60982"/>
    <w:rsid w:val="00E611DC"/>
    <w:rsid w:val="00E619FF"/>
    <w:rsid w:val="00E62BF7"/>
    <w:rsid w:val="00E62C62"/>
    <w:rsid w:val="00E633A2"/>
    <w:rsid w:val="00E637AB"/>
    <w:rsid w:val="00E63A29"/>
    <w:rsid w:val="00E63DE2"/>
    <w:rsid w:val="00E647E8"/>
    <w:rsid w:val="00E64BE1"/>
    <w:rsid w:val="00E64C31"/>
    <w:rsid w:val="00E64EDB"/>
    <w:rsid w:val="00E654C1"/>
    <w:rsid w:val="00E657F2"/>
    <w:rsid w:val="00E65A3B"/>
    <w:rsid w:val="00E65D97"/>
    <w:rsid w:val="00E6770A"/>
    <w:rsid w:val="00E70B9C"/>
    <w:rsid w:val="00E7207A"/>
    <w:rsid w:val="00E72145"/>
    <w:rsid w:val="00E72266"/>
    <w:rsid w:val="00E728CE"/>
    <w:rsid w:val="00E72A5A"/>
    <w:rsid w:val="00E73126"/>
    <w:rsid w:val="00E7332B"/>
    <w:rsid w:val="00E73354"/>
    <w:rsid w:val="00E74288"/>
    <w:rsid w:val="00E743D7"/>
    <w:rsid w:val="00E74571"/>
    <w:rsid w:val="00E7499C"/>
    <w:rsid w:val="00E7545A"/>
    <w:rsid w:val="00E80894"/>
    <w:rsid w:val="00E83157"/>
    <w:rsid w:val="00E83961"/>
    <w:rsid w:val="00E844B0"/>
    <w:rsid w:val="00E86291"/>
    <w:rsid w:val="00E86351"/>
    <w:rsid w:val="00E86CE0"/>
    <w:rsid w:val="00E86E0A"/>
    <w:rsid w:val="00E87F90"/>
    <w:rsid w:val="00E903BF"/>
    <w:rsid w:val="00E90417"/>
    <w:rsid w:val="00E90B45"/>
    <w:rsid w:val="00E91003"/>
    <w:rsid w:val="00E91ED0"/>
    <w:rsid w:val="00E9242D"/>
    <w:rsid w:val="00E9318C"/>
    <w:rsid w:val="00E93A06"/>
    <w:rsid w:val="00E93A36"/>
    <w:rsid w:val="00E93A7D"/>
    <w:rsid w:val="00E940A4"/>
    <w:rsid w:val="00E94C84"/>
    <w:rsid w:val="00E9598E"/>
    <w:rsid w:val="00E95AB4"/>
    <w:rsid w:val="00E95F4A"/>
    <w:rsid w:val="00E9724E"/>
    <w:rsid w:val="00EA0268"/>
    <w:rsid w:val="00EA0FF2"/>
    <w:rsid w:val="00EA12C9"/>
    <w:rsid w:val="00EA1B72"/>
    <w:rsid w:val="00EA2134"/>
    <w:rsid w:val="00EA3E5F"/>
    <w:rsid w:val="00EA47E9"/>
    <w:rsid w:val="00EA4817"/>
    <w:rsid w:val="00EA48CE"/>
    <w:rsid w:val="00EA4B3F"/>
    <w:rsid w:val="00EA6AEB"/>
    <w:rsid w:val="00EA7600"/>
    <w:rsid w:val="00EA7636"/>
    <w:rsid w:val="00EB0683"/>
    <w:rsid w:val="00EB143C"/>
    <w:rsid w:val="00EB1A1B"/>
    <w:rsid w:val="00EB1CF0"/>
    <w:rsid w:val="00EB1EEF"/>
    <w:rsid w:val="00EB2813"/>
    <w:rsid w:val="00EB5255"/>
    <w:rsid w:val="00EB550C"/>
    <w:rsid w:val="00EB5C47"/>
    <w:rsid w:val="00EB6E6E"/>
    <w:rsid w:val="00EB72F8"/>
    <w:rsid w:val="00EC0DDB"/>
    <w:rsid w:val="00EC2C3E"/>
    <w:rsid w:val="00EC2E7E"/>
    <w:rsid w:val="00EC454C"/>
    <w:rsid w:val="00EC5657"/>
    <w:rsid w:val="00EC60A8"/>
    <w:rsid w:val="00EC60CD"/>
    <w:rsid w:val="00EC6FA0"/>
    <w:rsid w:val="00EC7D38"/>
    <w:rsid w:val="00ED0059"/>
    <w:rsid w:val="00ED0639"/>
    <w:rsid w:val="00ED081D"/>
    <w:rsid w:val="00ED1088"/>
    <w:rsid w:val="00ED31FA"/>
    <w:rsid w:val="00ED365E"/>
    <w:rsid w:val="00ED4CCF"/>
    <w:rsid w:val="00ED4E3A"/>
    <w:rsid w:val="00ED4FDD"/>
    <w:rsid w:val="00ED5A1E"/>
    <w:rsid w:val="00ED653C"/>
    <w:rsid w:val="00ED6966"/>
    <w:rsid w:val="00ED7847"/>
    <w:rsid w:val="00ED7AA9"/>
    <w:rsid w:val="00ED7FE6"/>
    <w:rsid w:val="00EE03BF"/>
    <w:rsid w:val="00EE05C6"/>
    <w:rsid w:val="00EE089B"/>
    <w:rsid w:val="00EE095F"/>
    <w:rsid w:val="00EE0C9F"/>
    <w:rsid w:val="00EE12DE"/>
    <w:rsid w:val="00EE1614"/>
    <w:rsid w:val="00EE1936"/>
    <w:rsid w:val="00EE3230"/>
    <w:rsid w:val="00EE37CC"/>
    <w:rsid w:val="00EE72ED"/>
    <w:rsid w:val="00EF015D"/>
    <w:rsid w:val="00EF02C5"/>
    <w:rsid w:val="00EF06AC"/>
    <w:rsid w:val="00EF23A0"/>
    <w:rsid w:val="00EF3549"/>
    <w:rsid w:val="00EF441F"/>
    <w:rsid w:val="00EF4755"/>
    <w:rsid w:val="00EF4AE0"/>
    <w:rsid w:val="00EF56AA"/>
    <w:rsid w:val="00EF5BC0"/>
    <w:rsid w:val="00EF7135"/>
    <w:rsid w:val="00F005E3"/>
    <w:rsid w:val="00F01353"/>
    <w:rsid w:val="00F01529"/>
    <w:rsid w:val="00F02721"/>
    <w:rsid w:val="00F027DB"/>
    <w:rsid w:val="00F0372D"/>
    <w:rsid w:val="00F04886"/>
    <w:rsid w:val="00F071AA"/>
    <w:rsid w:val="00F07EF9"/>
    <w:rsid w:val="00F10945"/>
    <w:rsid w:val="00F11666"/>
    <w:rsid w:val="00F11F9B"/>
    <w:rsid w:val="00F128E8"/>
    <w:rsid w:val="00F13A44"/>
    <w:rsid w:val="00F13AFE"/>
    <w:rsid w:val="00F140C0"/>
    <w:rsid w:val="00F14A7A"/>
    <w:rsid w:val="00F16EF8"/>
    <w:rsid w:val="00F20198"/>
    <w:rsid w:val="00F2127A"/>
    <w:rsid w:val="00F21A26"/>
    <w:rsid w:val="00F21AF3"/>
    <w:rsid w:val="00F22985"/>
    <w:rsid w:val="00F23921"/>
    <w:rsid w:val="00F23D26"/>
    <w:rsid w:val="00F248F0"/>
    <w:rsid w:val="00F265A1"/>
    <w:rsid w:val="00F2682E"/>
    <w:rsid w:val="00F30158"/>
    <w:rsid w:val="00F30C2E"/>
    <w:rsid w:val="00F32A58"/>
    <w:rsid w:val="00F3383E"/>
    <w:rsid w:val="00F34D52"/>
    <w:rsid w:val="00F35410"/>
    <w:rsid w:val="00F3669D"/>
    <w:rsid w:val="00F36D3C"/>
    <w:rsid w:val="00F37A26"/>
    <w:rsid w:val="00F37BCF"/>
    <w:rsid w:val="00F43BE5"/>
    <w:rsid w:val="00F43EB6"/>
    <w:rsid w:val="00F44812"/>
    <w:rsid w:val="00F45F02"/>
    <w:rsid w:val="00F46137"/>
    <w:rsid w:val="00F465A7"/>
    <w:rsid w:val="00F4668B"/>
    <w:rsid w:val="00F50210"/>
    <w:rsid w:val="00F503D8"/>
    <w:rsid w:val="00F505B4"/>
    <w:rsid w:val="00F508E9"/>
    <w:rsid w:val="00F50B7C"/>
    <w:rsid w:val="00F513A9"/>
    <w:rsid w:val="00F51658"/>
    <w:rsid w:val="00F54E02"/>
    <w:rsid w:val="00F550E6"/>
    <w:rsid w:val="00F551A6"/>
    <w:rsid w:val="00F568EF"/>
    <w:rsid w:val="00F56A4B"/>
    <w:rsid w:val="00F60F36"/>
    <w:rsid w:val="00F614D7"/>
    <w:rsid w:val="00F61545"/>
    <w:rsid w:val="00F62940"/>
    <w:rsid w:val="00F62A79"/>
    <w:rsid w:val="00F63257"/>
    <w:rsid w:val="00F63398"/>
    <w:rsid w:val="00F64885"/>
    <w:rsid w:val="00F653D1"/>
    <w:rsid w:val="00F700A1"/>
    <w:rsid w:val="00F703DE"/>
    <w:rsid w:val="00F726CD"/>
    <w:rsid w:val="00F736B4"/>
    <w:rsid w:val="00F7378E"/>
    <w:rsid w:val="00F74345"/>
    <w:rsid w:val="00F758E9"/>
    <w:rsid w:val="00F7652A"/>
    <w:rsid w:val="00F76C59"/>
    <w:rsid w:val="00F80A0A"/>
    <w:rsid w:val="00F80B61"/>
    <w:rsid w:val="00F8148F"/>
    <w:rsid w:val="00F82176"/>
    <w:rsid w:val="00F8265C"/>
    <w:rsid w:val="00F82B19"/>
    <w:rsid w:val="00F83A25"/>
    <w:rsid w:val="00F84958"/>
    <w:rsid w:val="00F852E1"/>
    <w:rsid w:val="00F87AA3"/>
    <w:rsid w:val="00F90602"/>
    <w:rsid w:val="00F90A10"/>
    <w:rsid w:val="00F90AB0"/>
    <w:rsid w:val="00F90C3E"/>
    <w:rsid w:val="00F9212D"/>
    <w:rsid w:val="00F928E0"/>
    <w:rsid w:val="00F95489"/>
    <w:rsid w:val="00F95664"/>
    <w:rsid w:val="00F957FD"/>
    <w:rsid w:val="00F965DA"/>
    <w:rsid w:val="00F96BB1"/>
    <w:rsid w:val="00F9746E"/>
    <w:rsid w:val="00FA10B3"/>
    <w:rsid w:val="00FA1C2B"/>
    <w:rsid w:val="00FA403F"/>
    <w:rsid w:val="00FA406A"/>
    <w:rsid w:val="00FA5BE0"/>
    <w:rsid w:val="00FB00C5"/>
    <w:rsid w:val="00FB06F9"/>
    <w:rsid w:val="00FB0D99"/>
    <w:rsid w:val="00FB1165"/>
    <w:rsid w:val="00FB14CB"/>
    <w:rsid w:val="00FB1C4A"/>
    <w:rsid w:val="00FB2025"/>
    <w:rsid w:val="00FB4D83"/>
    <w:rsid w:val="00FB503A"/>
    <w:rsid w:val="00FB516C"/>
    <w:rsid w:val="00FB5985"/>
    <w:rsid w:val="00FB5F98"/>
    <w:rsid w:val="00FB6098"/>
    <w:rsid w:val="00FC0108"/>
    <w:rsid w:val="00FC3A65"/>
    <w:rsid w:val="00FC54A5"/>
    <w:rsid w:val="00FC6300"/>
    <w:rsid w:val="00FC65BD"/>
    <w:rsid w:val="00FD0236"/>
    <w:rsid w:val="00FD0B89"/>
    <w:rsid w:val="00FD18F4"/>
    <w:rsid w:val="00FD247E"/>
    <w:rsid w:val="00FD300A"/>
    <w:rsid w:val="00FD37BC"/>
    <w:rsid w:val="00FD3E70"/>
    <w:rsid w:val="00FD4137"/>
    <w:rsid w:val="00FD4DCC"/>
    <w:rsid w:val="00FD54DB"/>
    <w:rsid w:val="00FD619F"/>
    <w:rsid w:val="00FE1377"/>
    <w:rsid w:val="00FE184C"/>
    <w:rsid w:val="00FE1B9F"/>
    <w:rsid w:val="00FE1FEE"/>
    <w:rsid w:val="00FE205B"/>
    <w:rsid w:val="00FE2315"/>
    <w:rsid w:val="00FE2A7B"/>
    <w:rsid w:val="00FE2E70"/>
    <w:rsid w:val="00FE32DC"/>
    <w:rsid w:val="00FF2D7F"/>
    <w:rsid w:val="00FF33C0"/>
    <w:rsid w:val="00FF3B75"/>
    <w:rsid w:val="00FF5BD1"/>
    <w:rsid w:val="00FF6A9E"/>
    <w:rsid w:val="01290F7E"/>
    <w:rsid w:val="015D1E09"/>
    <w:rsid w:val="020F42EA"/>
    <w:rsid w:val="02697903"/>
    <w:rsid w:val="02F96569"/>
    <w:rsid w:val="03762DE5"/>
    <w:rsid w:val="03EA7B21"/>
    <w:rsid w:val="042C145B"/>
    <w:rsid w:val="043A5C8E"/>
    <w:rsid w:val="05F83EAE"/>
    <w:rsid w:val="063E7D85"/>
    <w:rsid w:val="06C12595"/>
    <w:rsid w:val="07293586"/>
    <w:rsid w:val="07295285"/>
    <w:rsid w:val="07636392"/>
    <w:rsid w:val="07770C56"/>
    <w:rsid w:val="0889031A"/>
    <w:rsid w:val="08FC3563"/>
    <w:rsid w:val="092217DD"/>
    <w:rsid w:val="093A7294"/>
    <w:rsid w:val="095D527E"/>
    <w:rsid w:val="0A263993"/>
    <w:rsid w:val="0A2D3AC2"/>
    <w:rsid w:val="0AA755DF"/>
    <w:rsid w:val="0AB87DC4"/>
    <w:rsid w:val="0B120D44"/>
    <w:rsid w:val="0BD27BF6"/>
    <w:rsid w:val="0C3B3C7D"/>
    <w:rsid w:val="0CAB2EAE"/>
    <w:rsid w:val="0D621C7D"/>
    <w:rsid w:val="0DA545A8"/>
    <w:rsid w:val="0E73034D"/>
    <w:rsid w:val="0EA22B2B"/>
    <w:rsid w:val="0F13775A"/>
    <w:rsid w:val="0F161CE7"/>
    <w:rsid w:val="0F5F45FE"/>
    <w:rsid w:val="0F9A112B"/>
    <w:rsid w:val="0FEC386A"/>
    <w:rsid w:val="106D2F64"/>
    <w:rsid w:val="107D4C54"/>
    <w:rsid w:val="10B63710"/>
    <w:rsid w:val="10F10820"/>
    <w:rsid w:val="111C2F7A"/>
    <w:rsid w:val="11665CA1"/>
    <w:rsid w:val="11687684"/>
    <w:rsid w:val="11822E5D"/>
    <w:rsid w:val="1209156B"/>
    <w:rsid w:val="120D3B66"/>
    <w:rsid w:val="12DC69B6"/>
    <w:rsid w:val="13951726"/>
    <w:rsid w:val="139703E9"/>
    <w:rsid w:val="14396509"/>
    <w:rsid w:val="14DD2C3C"/>
    <w:rsid w:val="150F4D80"/>
    <w:rsid w:val="152C0D1B"/>
    <w:rsid w:val="16087E1D"/>
    <w:rsid w:val="17701D14"/>
    <w:rsid w:val="17735226"/>
    <w:rsid w:val="1790477C"/>
    <w:rsid w:val="17E30C5C"/>
    <w:rsid w:val="186C076D"/>
    <w:rsid w:val="189F624C"/>
    <w:rsid w:val="19AA54AF"/>
    <w:rsid w:val="1A1C66C0"/>
    <w:rsid w:val="1A42393B"/>
    <w:rsid w:val="1AAD45DE"/>
    <w:rsid w:val="1B046F80"/>
    <w:rsid w:val="1B3267B5"/>
    <w:rsid w:val="1B40161D"/>
    <w:rsid w:val="1B441859"/>
    <w:rsid w:val="1B6606B1"/>
    <w:rsid w:val="1C5E7925"/>
    <w:rsid w:val="1CFD070F"/>
    <w:rsid w:val="1D5F6196"/>
    <w:rsid w:val="1D6132A5"/>
    <w:rsid w:val="1D8E56D5"/>
    <w:rsid w:val="1E2322F8"/>
    <w:rsid w:val="1E253B71"/>
    <w:rsid w:val="1E7A43DA"/>
    <w:rsid w:val="1FE7539E"/>
    <w:rsid w:val="20671BE0"/>
    <w:rsid w:val="20963CB8"/>
    <w:rsid w:val="20A81A1B"/>
    <w:rsid w:val="20B07FB6"/>
    <w:rsid w:val="20B646FB"/>
    <w:rsid w:val="213B74B1"/>
    <w:rsid w:val="215A2310"/>
    <w:rsid w:val="21676BCE"/>
    <w:rsid w:val="21A50231"/>
    <w:rsid w:val="21A95ED5"/>
    <w:rsid w:val="21B12C09"/>
    <w:rsid w:val="21C84E37"/>
    <w:rsid w:val="21DE318A"/>
    <w:rsid w:val="21EF5B80"/>
    <w:rsid w:val="22576990"/>
    <w:rsid w:val="22F47480"/>
    <w:rsid w:val="23DE1C48"/>
    <w:rsid w:val="240210CD"/>
    <w:rsid w:val="24BF09F7"/>
    <w:rsid w:val="252D53FE"/>
    <w:rsid w:val="259A3384"/>
    <w:rsid w:val="25EC2D81"/>
    <w:rsid w:val="260D75DE"/>
    <w:rsid w:val="26100C3D"/>
    <w:rsid w:val="272F2545"/>
    <w:rsid w:val="277057A2"/>
    <w:rsid w:val="28940C5A"/>
    <w:rsid w:val="29206EB8"/>
    <w:rsid w:val="29595666"/>
    <w:rsid w:val="29874881"/>
    <w:rsid w:val="29E325E0"/>
    <w:rsid w:val="2A452503"/>
    <w:rsid w:val="2B3D679E"/>
    <w:rsid w:val="2BA936A8"/>
    <w:rsid w:val="2C315A5A"/>
    <w:rsid w:val="2C4B1C25"/>
    <w:rsid w:val="2D9E56F5"/>
    <w:rsid w:val="2DAC3663"/>
    <w:rsid w:val="2E4E4535"/>
    <w:rsid w:val="2E667F96"/>
    <w:rsid w:val="2E764E1A"/>
    <w:rsid w:val="2E8226AB"/>
    <w:rsid w:val="2FD065E6"/>
    <w:rsid w:val="2FD96870"/>
    <w:rsid w:val="3018501E"/>
    <w:rsid w:val="3051010C"/>
    <w:rsid w:val="30580BC9"/>
    <w:rsid w:val="306C732E"/>
    <w:rsid w:val="30C53630"/>
    <w:rsid w:val="311E2ED7"/>
    <w:rsid w:val="315619EE"/>
    <w:rsid w:val="315C449C"/>
    <w:rsid w:val="31B82709"/>
    <w:rsid w:val="31D05482"/>
    <w:rsid w:val="32400B34"/>
    <w:rsid w:val="329E6876"/>
    <w:rsid w:val="333015F2"/>
    <w:rsid w:val="33352D17"/>
    <w:rsid w:val="334B6320"/>
    <w:rsid w:val="33D934D4"/>
    <w:rsid w:val="33FE2F6A"/>
    <w:rsid w:val="340E07E5"/>
    <w:rsid w:val="34235BF7"/>
    <w:rsid w:val="349C049D"/>
    <w:rsid w:val="358C5FA8"/>
    <w:rsid w:val="35C15DF1"/>
    <w:rsid w:val="36074A7F"/>
    <w:rsid w:val="365D7C04"/>
    <w:rsid w:val="367950E8"/>
    <w:rsid w:val="36923549"/>
    <w:rsid w:val="36B75FBF"/>
    <w:rsid w:val="36BD0C45"/>
    <w:rsid w:val="376D0964"/>
    <w:rsid w:val="379A500B"/>
    <w:rsid w:val="37C951BA"/>
    <w:rsid w:val="37E00298"/>
    <w:rsid w:val="37E368AD"/>
    <w:rsid w:val="38477454"/>
    <w:rsid w:val="38B302F9"/>
    <w:rsid w:val="38F12CD3"/>
    <w:rsid w:val="38F94775"/>
    <w:rsid w:val="39227D4B"/>
    <w:rsid w:val="392971ED"/>
    <w:rsid w:val="39325651"/>
    <w:rsid w:val="39D80BD0"/>
    <w:rsid w:val="3A872856"/>
    <w:rsid w:val="3B3763D1"/>
    <w:rsid w:val="3BFC091A"/>
    <w:rsid w:val="3C2F6E1E"/>
    <w:rsid w:val="3C4F64BA"/>
    <w:rsid w:val="3CDA245A"/>
    <w:rsid w:val="3D1E06B7"/>
    <w:rsid w:val="3EDA0523"/>
    <w:rsid w:val="407A303E"/>
    <w:rsid w:val="407A6407"/>
    <w:rsid w:val="40F339B2"/>
    <w:rsid w:val="40F97EFD"/>
    <w:rsid w:val="4200449D"/>
    <w:rsid w:val="423A3BCC"/>
    <w:rsid w:val="424E57D2"/>
    <w:rsid w:val="42B26C49"/>
    <w:rsid w:val="433A6FE6"/>
    <w:rsid w:val="43480868"/>
    <w:rsid w:val="4350713C"/>
    <w:rsid w:val="436653E0"/>
    <w:rsid w:val="43C4431A"/>
    <w:rsid w:val="440F4394"/>
    <w:rsid w:val="44B951CC"/>
    <w:rsid w:val="44CD14E0"/>
    <w:rsid w:val="44F20B0B"/>
    <w:rsid w:val="452E5F4C"/>
    <w:rsid w:val="453D646F"/>
    <w:rsid w:val="45612018"/>
    <w:rsid w:val="458946E9"/>
    <w:rsid w:val="45A47C0E"/>
    <w:rsid w:val="46577FD6"/>
    <w:rsid w:val="46D955A7"/>
    <w:rsid w:val="47097C6F"/>
    <w:rsid w:val="47133957"/>
    <w:rsid w:val="47A07E0C"/>
    <w:rsid w:val="4870272E"/>
    <w:rsid w:val="48837D78"/>
    <w:rsid w:val="49DC7715"/>
    <w:rsid w:val="4A023139"/>
    <w:rsid w:val="4A4A77ED"/>
    <w:rsid w:val="4A7B576F"/>
    <w:rsid w:val="4AF561A9"/>
    <w:rsid w:val="4B1A5CD2"/>
    <w:rsid w:val="4C4A0649"/>
    <w:rsid w:val="4C7E5ECA"/>
    <w:rsid w:val="4C876AA5"/>
    <w:rsid w:val="4C9C0C87"/>
    <w:rsid w:val="4D0E00FB"/>
    <w:rsid w:val="4D176606"/>
    <w:rsid w:val="4D5C7FE3"/>
    <w:rsid w:val="4DEC4FB0"/>
    <w:rsid w:val="4E075D8A"/>
    <w:rsid w:val="4E116CCD"/>
    <w:rsid w:val="4EC00FAD"/>
    <w:rsid w:val="4ED253AB"/>
    <w:rsid w:val="4F036D5D"/>
    <w:rsid w:val="4F9843DC"/>
    <w:rsid w:val="4FC62A8C"/>
    <w:rsid w:val="4FE20F0D"/>
    <w:rsid w:val="4FE51552"/>
    <w:rsid w:val="50493E0E"/>
    <w:rsid w:val="50504C4B"/>
    <w:rsid w:val="509C6E7C"/>
    <w:rsid w:val="50D86302"/>
    <w:rsid w:val="50F41BA8"/>
    <w:rsid w:val="510D2AA8"/>
    <w:rsid w:val="5162104E"/>
    <w:rsid w:val="520E4939"/>
    <w:rsid w:val="52782A84"/>
    <w:rsid w:val="52DC290D"/>
    <w:rsid w:val="53A039CC"/>
    <w:rsid w:val="53A1505A"/>
    <w:rsid w:val="54063E08"/>
    <w:rsid w:val="543437E8"/>
    <w:rsid w:val="54877E05"/>
    <w:rsid w:val="54BE6DD2"/>
    <w:rsid w:val="54F73313"/>
    <w:rsid w:val="54F80955"/>
    <w:rsid w:val="555170A7"/>
    <w:rsid w:val="5587536D"/>
    <w:rsid w:val="559B174B"/>
    <w:rsid w:val="55CE0CF4"/>
    <w:rsid w:val="55EE1218"/>
    <w:rsid w:val="56B22A9C"/>
    <w:rsid w:val="56D72885"/>
    <w:rsid w:val="5772076E"/>
    <w:rsid w:val="578F7821"/>
    <w:rsid w:val="57B72A76"/>
    <w:rsid w:val="57C3426C"/>
    <w:rsid w:val="57CE1F93"/>
    <w:rsid w:val="58254B7B"/>
    <w:rsid w:val="582A490A"/>
    <w:rsid w:val="588743D1"/>
    <w:rsid w:val="5887701A"/>
    <w:rsid w:val="598E372D"/>
    <w:rsid w:val="59C0439F"/>
    <w:rsid w:val="59C26858"/>
    <w:rsid w:val="5ABE2233"/>
    <w:rsid w:val="5BDF5D95"/>
    <w:rsid w:val="5BFE7528"/>
    <w:rsid w:val="5C2D2D30"/>
    <w:rsid w:val="5CC7399B"/>
    <w:rsid w:val="5D265497"/>
    <w:rsid w:val="5D5D7D54"/>
    <w:rsid w:val="5E2467F1"/>
    <w:rsid w:val="5EDD4FFD"/>
    <w:rsid w:val="5F1A2B43"/>
    <w:rsid w:val="5FB837BB"/>
    <w:rsid w:val="606D45B6"/>
    <w:rsid w:val="60B07067"/>
    <w:rsid w:val="60CC405A"/>
    <w:rsid w:val="61E215D8"/>
    <w:rsid w:val="621B3775"/>
    <w:rsid w:val="622072DE"/>
    <w:rsid w:val="62364782"/>
    <w:rsid w:val="6394356A"/>
    <w:rsid w:val="63C61B2C"/>
    <w:rsid w:val="63D40BE9"/>
    <w:rsid w:val="64102431"/>
    <w:rsid w:val="64A5243A"/>
    <w:rsid w:val="64F531DE"/>
    <w:rsid w:val="65373578"/>
    <w:rsid w:val="671F124A"/>
    <w:rsid w:val="677A33C6"/>
    <w:rsid w:val="681E5D94"/>
    <w:rsid w:val="681F6961"/>
    <w:rsid w:val="68610A2F"/>
    <w:rsid w:val="68805514"/>
    <w:rsid w:val="68D2371B"/>
    <w:rsid w:val="69316E2F"/>
    <w:rsid w:val="694E2071"/>
    <w:rsid w:val="696E6382"/>
    <w:rsid w:val="69766163"/>
    <w:rsid w:val="697A3B33"/>
    <w:rsid w:val="69D44760"/>
    <w:rsid w:val="6A520EC7"/>
    <w:rsid w:val="6AF87E20"/>
    <w:rsid w:val="6B322639"/>
    <w:rsid w:val="6C636C38"/>
    <w:rsid w:val="6C697F98"/>
    <w:rsid w:val="6DB34098"/>
    <w:rsid w:val="6DB545B6"/>
    <w:rsid w:val="6DE02FB4"/>
    <w:rsid w:val="6E514CED"/>
    <w:rsid w:val="6EB563D5"/>
    <w:rsid w:val="6ED92677"/>
    <w:rsid w:val="6F225983"/>
    <w:rsid w:val="6F6F4C02"/>
    <w:rsid w:val="6FFC5590"/>
    <w:rsid w:val="706D1DD0"/>
    <w:rsid w:val="70856B87"/>
    <w:rsid w:val="70D527EE"/>
    <w:rsid w:val="710C2792"/>
    <w:rsid w:val="715816BB"/>
    <w:rsid w:val="715B5300"/>
    <w:rsid w:val="71D27F8A"/>
    <w:rsid w:val="72553024"/>
    <w:rsid w:val="73122968"/>
    <w:rsid w:val="731F5D5E"/>
    <w:rsid w:val="73C51AD5"/>
    <w:rsid w:val="741E793C"/>
    <w:rsid w:val="745E3944"/>
    <w:rsid w:val="74C40DF7"/>
    <w:rsid w:val="7635099D"/>
    <w:rsid w:val="76526734"/>
    <w:rsid w:val="76544927"/>
    <w:rsid w:val="77762421"/>
    <w:rsid w:val="77B56B1F"/>
    <w:rsid w:val="780F09F4"/>
    <w:rsid w:val="78511348"/>
    <w:rsid w:val="78A90480"/>
    <w:rsid w:val="78DE7EAB"/>
    <w:rsid w:val="7A364017"/>
    <w:rsid w:val="7A8265E1"/>
    <w:rsid w:val="7B686D42"/>
    <w:rsid w:val="7B841746"/>
    <w:rsid w:val="7B8F595B"/>
    <w:rsid w:val="7C6C5AC7"/>
    <w:rsid w:val="7CC6544B"/>
    <w:rsid w:val="7CDF212C"/>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99"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iPriority="0" w:name="HTML Variable" w:locked="1"/>
    <w:lsdException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1"/>
    <w:next w:val="1"/>
    <w:link w:val="35"/>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6"/>
    <w:qFormat/>
    <w:locked/>
    <w:uiPriority w:val="0"/>
    <w:pPr>
      <w:keepNext/>
      <w:keepLines/>
      <w:spacing w:before="260" w:after="260" w:line="416" w:lineRule="auto"/>
      <w:outlineLvl w:val="2"/>
    </w:pPr>
    <w:rPr>
      <w:b/>
      <w:bCs/>
      <w:sz w:val="32"/>
      <w:szCs w:val="32"/>
    </w:rPr>
  </w:style>
  <w:style w:type="paragraph" w:styleId="5">
    <w:name w:val="heading 4"/>
    <w:basedOn w:val="1"/>
    <w:next w:val="1"/>
    <w:link w:val="81"/>
    <w:semiHidden/>
    <w:unhideWhenUsed/>
    <w:qFormat/>
    <w:locked/>
    <w:uiPriority w:val="0"/>
    <w:pPr>
      <w:keepNext/>
      <w:keepLines/>
      <w:spacing w:before="280" w:after="290" w:line="376" w:lineRule="auto"/>
      <w:outlineLvl w:val="3"/>
    </w:pPr>
    <w:rPr>
      <w:rFonts w:ascii="Cambria" w:hAnsi="Cambria"/>
      <w:b/>
      <w:bCs/>
      <w:sz w:val="28"/>
      <w:szCs w:val="28"/>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6">
    <w:name w:val="Normal Indent"/>
    <w:basedOn w:val="1"/>
    <w:next w:val="1"/>
    <w:qFormat/>
    <w:locked/>
    <w:uiPriority w:val="0"/>
    <w:pPr>
      <w:ind w:firstLine="420" w:firstLineChars="200"/>
    </w:pPr>
    <w:rPr>
      <w:rFonts w:ascii="Calibri" w:hAnsi="Calibri"/>
      <w:kern w:val="0"/>
      <w:sz w:val="20"/>
    </w:rPr>
  </w:style>
  <w:style w:type="paragraph" w:styleId="7">
    <w:name w:val="annotation text"/>
    <w:basedOn w:val="1"/>
    <w:link w:val="37"/>
    <w:qFormat/>
    <w:uiPriority w:val="99"/>
    <w:pPr>
      <w:jc w:val="left"/>
    </w:pPr>
    <w:rPr>
      <w:kern w:val="0"/>
      <w:sz w:val="24"/>
      <w:szCs w:val="20"/>
    </w:rPr>
  </w:style>
  <w:style w:type="paragraph" w:styleId="8">
    <w:name w:val="Body Text"/>
    <w:basedOn w:val="1"/>
    <w:link w:val="33"/>
    <w:qFormat/>
    <w:uiPriority w:val="0"/>
    <w:pPr>
      <w:widowControl/>
      <w:snapToGrid w:val="0"/>
      <w:spacing w:before="60" w:after="160" w:line="259" w:lineRule="auto"/>
      <w:ind w:right="113"/>
    </w:pPr>
    <w:rPr>
      <w:kern w:val="0"/>
      <w:sz w:val="18"/>
      <w:szCs w:val="20"/>
    </w:rPr>
  </w:style>
  <w:style w:type="paragraph" w:styleId="9">
    <w:name w:val="Body Text Indent"/>
    <w:basedOn w:val="1"/>
    <w:link w:val="38"/>
    <w:qFormat/>
    <w:uiPriority w:val="0"/>
    <w:pPr>
      <w:spacing w:after="120"/>
      <w:ind w:left="420" w:leftChars="200"/>
    </w:pPr>
    <w:rPr>
      <w:kern w:val="0"/>
      <w:sz w:val="24"/>
      <w:szCs w:val="20"/>
    </w:rPr>
  </w:style>
  <w:style w:type="paragraph" w:styleId="10">
    <w:name w:val="Date"/>
    <w:basedOn w:val="1"/>
    <w:next w:val="1"/>
    <w:link w:val="39"/>
    <w:qFormat/>
    <w:uiPriority w:val="0"/>
    <w:pPr>
      <w:ind w:left="100" w:leftChars="2500"/>
    </w:pPr>
    <w:rPr>
      <w:kern w:val="0"/>
      <w:sz w:val="24"/>
      <w:szCs w:val="20"/>
    </w:rPr>
  </w:style>
  <w:style w:type="paragraph" w:styleId="11">
    <w:name w:val="Balloon Text"/>
    <w:basedOn w:val="1"/>
    <w:link w:val="40"/>
    <w:semiHidden/>
    <w:qFormat/>
    <w:uiPriority w:val="0"/>
    <w:rPr>
      <w:kern w:val="0"/>
      <w:sz w:val="18"/>
      <w:szCs w:val="20"/>
    </w:rPr>
  </w:style>
  <w:style w:type="paragraph" w:styleId="12">
    <w:name w:val="footer"/>
    <w:basedOn w:val="1"/>
    <w:link w:val="41"/>
    <w:qFormat/>
    <w:uiPriority w:val="99"/>
    <w:pPr>
      <w:tabs>
        <w:tab w:val="center" w:pos="4153"/>
        <w:tab w:val="right" w:pos="8306"/>
      </w:tabs>
      <w:snapToGrid w:val="0"/>
      <w:jc w:val="left"/>
    </w:pPr>
    <w:rPr>
      <w:kern w:val="0"/>
      <w:sz w:val="18"/>
      <w:szCs w:val="20"/>
    </w:rPr>
  </w:style>
  <w:style w:type="paragraph" w:styleId="13">
    <w:name w:val="header"/>
    <w:basedOn w:val="1"/>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Subtitle"/>
    <w:basedOn w:val="1"/>
    <w:next w:val="15"/>
    <w:link w:val="80"/>
    <w:autoRedefine/>
    <w:qFormat/>
    <w:locked/>
    <w:uiPriority w:val="0"/>
    <w:pPr>
      <w:spacing w:line="360" w:lineRule="auto"/>
      <w:ind w:firstLine="200" w:firstLineChars="200"/>
    </w:pPr>
    <w:rPr>
      <w:bCs/>
      <w:kern w:val="28"/>
      <w:sz w:val="24"/>
      <w:szCs w:val="32"/>
    </w:rPr>
  </w:style>
  <w:style w:type="paragraph" w:customStyle="1" w:styleId="15">
    <w:name w:val="正文1"/>
    <w:basedOn w:val="16"/>
    <w:link w:val="73"/>
    <w:autoRedefine/>
    <w:qFormat/>
    <w:uiPriority w:val="0"/>
  </w:style>
  <w:style w:type="paragraph" w:customStyle="1" w:styleId="16">
    <w:name w:val="标题1"/>
    <w:basedOn w:val="17"/>
    <w:next w:val="20"/>
    <w:link w:val="77"/>
    <w:autoRedefine/>
    <w:qFormat/>
    <w:uiPriority w:val="0"/>
    <w:pPr>
      <w:autoSpaceDE w:val="0"/>
      <w:autoSpaceDN w:val="0"/>
      <w:adjustRightInd w:val="0"/>
      <w:snapToGrid w:val="0"/>
      <w:spacing w:line="360" w:lineRule="auto"/>
      <w:ind w:firstLine="480" w:firstLineChars="200"/>
    </w:pPr>
    <w:rPr>
      <w:rFonts w:cs="宋体"/>
      <w:b/>
      <w:kern w:val="0"/>
      <w:sz w:val="24"/>
      <w:szCs w:val="21"/>
    </w:rPr>
  </w:style>
  <w:style w:type="paragraph" w:customStyle="1" w:styleId="17">
    <w:name w:val="图注"/>
    <w:basedOn w:val="18"/>
    <w:next w:val="20"/>
    <w:qFormat/>
    <w:uiPriority w:val="0"/>
    <w:pPr>
      <w:keepNext w:val="0"/>
      <w:spacing w:before="0"/>
      <w:jc w:val="left"/>
    </w:pPr>
  </w:style>
  <w:style w:type="paragraph" w:customStyle="1" w:styleId="18">
    <w:name w:val="表头"/>
    <w:basedOn w:val="19"/>
    <w:next w:val="1"/>
    <w:link w:val="74"/>
    <w:qFormat/>
    <w:uiPriority w:val="0"/>
    <w:pPr>
      <w:keepNext/>
      <w:keepLines/>
      <w:spacing w:before="10"/>
      <w:jc w:val="center"/>
    </w:pPr>
    <w:rPr>
      <w:rFonts w:eastAsia="黑体"/>
      <w:szCs w:val="32"/>
    </w:rPr>
  </w:style>
  <w:style w:type="paragraph" w:styleId="19">
    <w:name w:val="table of figures"/>
    <w:basedOn w:val="1"/>
    <w:next w:val="1"/>
    <w:qFormat/>
    <w:locked/>
    <w:uiPriority w:val="0"/>
    <w:pPr>
      <w:ind w:left="200" w:leftChars="200" w:hanging="200" w:hangingChars="200"/>
    </w:pPr>
  </w:style>
  <w:style w:type="paragraph" w:customStyle="1" w:styleId="20">
    <w:name w:val="报告正文"/>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21">
    <w:name w:val="List"/>
    <w:basedOn w:val="1"/>
    <w:next w:val="1"/>
    <w:unhideWhenUsed/>
    <w:qFormat/>
    <w:locked/>
    <w:uiPriority w:val="99"/>
    <w:pPr>
      <w:adjustRightInd w:val="0"/>
      <w:snapToGrid w:val="0"/>
      <w:spacing w:line="20" w:lineRule="atLeast"/>
      <w:jc w:val="center"/>
    </w:pPr>
    <w:rPr>
      <w:rFonts w:eastAsia="幼圆"/>
      <w:sz w:val="18"/>
    </w:rPr>
  </w:style>
  <w:style w:type="paragraph" w:styleId="22">
    <w:name w:val="Normal (Web)"/>
    <w:basedOn w:val="1"/>
    <w:link w:val="43"/>
    <w:qFormat/>
    <w:uiPriority w:val="99"/>
    <w:pPr>
      <w:widowControl/>
      <w:spacing w:before="100" w:beforeAutospacing="1" w:after="100" w:afterAutospacing="1"/>
      <w:jc w:val="left"/>
    </w:pPr>
    <w:rPr>
      <w:rFonts w:ascii="宋体" w:hAnsi="宋体"/>
      <w:kern w:val="0"/>
      <w:sz w:val="24"/>
      <w:szCs w:val="20"/>
    </w:rPr>
  </w:style>
  <w:style w:type="paragraph" w:styleId="23">
    <w:name w:val="annotation subject"/>
    <w:basedOn w:val="7"/>
    <w:next w:val="7"/>
    <w:link w:val="44"/>
    <w:semiHidden/>
    <w:qFormat/>
    <w:uiPriority w:val="0"/>
    <w:rPr>
      <w:b/>
    </w:rPr>
  </w:style>
  <w:style w:type="paragraph" w:styleId="24">
    <w:name w:val="Body Text First Indent"/>
    <w:basedOn w:val="8"/>
    <w:next w:val="19"/>
    <w:qFormat/>
    <w:locked/>
    <w:uiPriority w:val="0"/>
    <w:pPr>
      <w:widowControl w:val="0"/>
      <w:snapToGrid/>
      <w:spacing w:before="0" w:after="120" w:line="240" w:lineRule="auto"/>
      <w:ind w:right="0" w:firstLine="420" w:firstLineChars="100"/>
    </w:pPr>
  </w:style>
  <w:style w:type="paragraph" w:styleId="25">
    <w:name w:val="Body Text First Indent 2"/>
    <w:basedOn w:val="9"/>
    <w:next w:val="24"/>
    <w:unhideWhenUsed/>
    <w:qFormat/>
    <w:locked/>
    <w:uiPriority w:val="0"/>
    <w:pPr>
      <w:ind w:firstLine="420" w:firstLineChars="200"/>
    </w:pPr>
    <w:rPr>
      <w:kern w:val="2"/>
      <w:sz w:val="21"/>
      <w:szCs w:val="24"/>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locked/>
    <w:uiPriority w:val="22"/>
    <w:rPr>
      <w:b/>
      <w:bCs/>
    </w:rPr>
  </w:style>
  <w:style w:type="character" w:styleId="30">
    <w:name w:val="page number"/>
    <w:qFormat/>
    <w:locked/>
    <w:uiPriority w:val="0"/>
  </w:style>
  <w:style w:type="character" w:styleId="31">
    <w:name w:val="Hyperlink"/>
    <w:qFormat/>
    <w:locked/>
    <w:uiPriority w:val="99"/>
    <w:rPr>
      <w:color w:val="0000FF"/>
      <w:u w:val="single"/>
    </w:rPr>
  </w:style>
  <w:style w:type="character" w:styleId="32">
    <w:name w:val="annotation reference"/>
    <w:qFormat/>
    <w:uiPriority w:val="0"/>
    <w:rPr>
      <w:sz w:val="21"/>
    </w:rPr>
  </w:style>
  <w:style w:type="character" w:customStyle="1" w:styleId="33">
    <w:name w:val="正文文本 字符"/>
    <w:link w:val="8"/>
    <w:qFormat/>
    <w:locked/>
    <w:uiPriority w:val="0"/>
    <w:rPr>
      <w:sz w:val="18"/>
    </w:rPr>
  </w:style>
  <w:style w:type="character" w:customStyle="1" w:styleId="34">
    <w:name w:val="标题 1 字符"/>
    <w:link w:val="3"/>
    <w:qFormat/>
    <w:uiPriority w:val="99"/>
    <w:rPr>
      <w:rFonts w:eastAsia="黑体"/>
      <w:b/>
      <w:bCs/>
      <w:color w:val="000000"/>
      <w:kern w:val="44"/>
      <w:sz w:val="30"/>
      <w:szCs w:val="30"/>
    </w:rPr>
  </w:style>
  <w:style w:type="character" w:customStyle="1" w:styleId="35">
    <w:name w:val="标题 2 字符"/>
    <w:link w:val="2"/>
    <w:semiHidden/>
    <w:qFormat/>
    <w:uiPriority w:val="0"/>
    <w:rPr>
      <w:rFonts w:ascii="Cambria" w:hAnsi="Cambria" w:eastAsia="宋体" w:cs="Times New Roman"/>
      <w:b/>
      <w:bCs/>
      <w:kern w:val="2"/>
      <w:sz w:val="32"/>
      <w:szCs w:val="32"/>
    </w:rPr>
  </w:style>
  <w:style w:type="character" w:customStyle="1" w:styleId="36">
    <w:name w:val="标题 3 字符"/>
    <w:link w:val="4"/>
    <w:semiHidden/>
    <w:qFormat/>
    <w:uiPriority w:val="0"/>
    <w:rPr>
      <w:b/>
      <w:bCs/>
      <w:kern w:val="2"/>
      <w:sz w:val="32"/>
      <w:szCs w:val="32"/>
    </w:rPr>
  </w:style>
  <w:style w:type="character" w:customStyle="1" w:styleId="37">
    <w:name w:val="批注文字 字符"/>
    <w:link w:val="7"/>
    <w:qFormat/>
    <w:locked/>
    <w:uiPriority w:val="99"/>
    <w:rPr>
      <w:rFonts w:ascii="Times New Roman" w:hAnsi="Times New Roman" w:eastAsia="宋体"/>
      <w:sz w:val="24"/>
    </w:rPr>
  </w:style>
  <w:style w:type="character" w:customStyle="1" w:styleId="38">
    <w:name w:val="正文文本缩进 字符"/>
    <w:link w:val="9"/>
    <w:semiHidden/>
    <w:qFormat/>
    <w:locked/>
    <w:uiPriority w:val="0"/>
    <w:rPr>
      <w:rFonts w:ascii="Times New Roman" w:hAnsi="Times New Roman" w:eastAsia="宋体"/>
      <w:sz w:val="24"/>
    </w:rPr>
  </w:style>
  <w:style w:type="character" w:customStyle="1" w:styleId="39">
    <w:name w:val="日期 字符1"/>
    <w:link w:val="10"/>
    <w:qFormat/>
    <w:locked/>
    <w:uiPriority w:val="0"/>
    <w:rPr>
      <w:rFonts w:ascii="Times New Roman" w:hAnsi="Times New Roman" w:eastAsia="宋体"/>
      <w:sz w:val="24"/>
    </w:rPr>
  </w:style>
  <w:style w:type="character" w:customStyle="1" w:styleId="40">
    <w:name w:val="批注框文本 字符"/>
    <w:link w:val="11"/>
    <w:semiHidden/>
    <w:qFormat/>
    <w:locked/>
    <w:uiPriority w:val="0"/>
    <w:rPr>
      <w:rFonts w:ascii="Times New Roman" w:hAnsi="Times New Roman" w:eastAsia="宋体"/>
      <w:sz w:val="18"/>
    </w:rPr>
  </w:style>
  <w:style w:type="character" w:customStyle="1" w:styleId="41">
    <w:name w:val="页脚 字符1"/>
    <w:link w:val="12"/>
    <w:qFormat/>
    <w:locked/>
    <w:uiPriority w:val="99"/>
    <w:rPr>
      <w:sz w:val="18"/>
    </w:rPr>
  </w:style>
  <w:style w:type="character" w:customStyle="1" w:styleId="42">
    <w:name w:val="页眉 字符"/>
    <w:link w:val="13"/>
    <w:qFormat/>
    <w:locked/>
    <w:uiPriority w:val="0"/>
    <w:rPr>
      <w:sz w:val="18"/>
    </w:rPr>
  </w:style>
  <w:style w:type="character" w:customStyle="1" w:styleId="43">
    <w:name w:val="普通(网站) 字符"/>
    <w:link w:val="22"/>
    <w:qFormat/>
    <w:locked/>
    <w:uiPriority w:val="0"/>
    <w:rPr>
      <w:rFonts w:ascii="宋体" w:hAnsi="宋体" w:eastAsia="宋体"/>
      <w:sz w:val="24"/>
    </w:rPr>
  </w:style>
  <w:style w:type="character" w:customStyle="1" w:styleId="44">
    <w:name w:val="批注主题 字符"/>
    <w:link w:val="23"/>
    <w:semiHidden/>
    <w:qFormat/>
    <w:locked/>
    <w:uiPriority w:val="0"/>
    <w:rPr>
      <w:rFonts w:ascii="Times New Roman" w:hAnsi="Times New Roman" w:eastAsia="宋体"/>
      <w:b/>
      <w:kern w:val="2"/>
      <w:sz w:val="24"/>
    </w:rPr>
  </w:style>
  <w:style w:type="paragraph" w:customStyle="1" w:styleId="4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6">
    <w:name w:val="页脚 字符"/>
    <w:qFormat/>
    <w:uiPriority w:val="99"/>
  </w:style>
  <w:style w:type="character" w:customStyle="1" w:styleId="47">
    <w:name w:val="正文文本 字符1"/>
    <w:semiHidden/>
    <w:qFormat/>
    <w:uiPriority w:val="0"/>
    <w:rPr>
      <w:rFonts w:ascii="Times New Roman" w:hAnsi="Times New Roman" w:eastAsia="宋体"/>
      <w:sz w:val="24"/>
    </w:rPr>
  </w:style>
  <w:style w:type="character" w:customStyle="1" w:styleId="48">
    <w:name w:val="表格 Char"/>
    <w:link w:val="49"/>
    <w:qFormat/>
    <w:locked/>
    <w:uiPriority w:val="0"/>
    <w:rPr>
      <w:rFonts w:ascii="宋体"/>
      <w:sz w:val="21"/>
    </w:rPr>
  </w:style>
  <w:style w:type="paragraph" w:customStyle="1" w:styleId="49">
    <w:name w:val="表格"/>
    <w:basedOn w:val="1"/>
    <w:next w:val="1"/>
    <w:link w:val="48"/>
    <w:qFormat/>
    <w:uiPriority w:val="0"/>
    <w:pPr>
      <w:adjustRightInd w:val="0"/>
      <w:snapToGrid w:val="0"/>
      <w:spacing w:beforeLines="10" w:afterLines="10" w:line="259" w:lineRule="auto"/>
      <w:jc w:val="center"/>
    </w:pPr>
    <w:rPr>
      <w:rFonts w:ascii="宋体"/>
      <w:kern w:val="0"/>
      <w:szCs w:val="20"/>
    </w:rPr>
  </w:style>
  <w:style w:type="character" w:customStyle="1" w:styleId="50">
    <w:name w:val="日期 字符"/>
    <w:semiHidden/>
    <w:qFormat/>
    <w:uiPriority w:val="0"/>
    <w:rPr>
      <w:rFonts w:ascii="Times New Roman" w:hAnsi="Times New Roman" w:eastAsia="宋体"/>
      <w:sz w:val="24"/>
    </w:rPr>
  </w:style>
  <w:style w:type="character" w:customStyle="1" w:styleId="51">
    <w:name w:val="批注文字 字符1"/>
    <w:semiHidden/>
    <w:qFormat/>
    <w:uiPriority w:val="0"/>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4">
    <w:name w:val="font21"/>
    <w:qFormat/>
    <w:uiPriority w:val="0"/>
    <w:rPr>
      <w:rFonts w:hint="eastAsia" w:ascii="等线" w:hAnsi="等线" w:eastAsia="等线" w:cs="等线"/>
      <w:color w:val="000000"/>
      <w:sz w:val="18"/>
      <w:szCs w:val="18"/>
      <w:u w:val="none"/>
    </w:rPr>
  </w:style>
  <w:style w:type="character" w:customStyle="1" w:styleId="55">
    <w:name w:val="fontstyle01"/>
    <w:qFormat/>
    <w:uiPriority w:val="0"/>
    <w:rPr>
      <w:rFonts w:hint="eastAsia" w:ascii="宋体" w:hAnsi="宋体" w:eastAsia="宋体"/>
      <w:color w:val="000000"/>
      <w:sz w:val="24"/>
      <w:szCs w:val="24"/>
    </w:rPr>
  </w:style>
  <w:style w:type="paragraph" w:customStyle="1" w:styleId="56">
    <w:name w:val="正文-ls"/>
    <w:basedOn w:val="1"/>
    <w:qFormat/>
    <w:uiPriority w:val="0"/>
    <w:pPr>
      <w:widowControl/>
      <w:spacing w:line="360" w:lineRule="auto"/>
      <w:ind w:firstLine="200" w:firstLineChars="200"/>
      <w:jc w:val="left"/>
    </w:pPr>
    <w:rPr>
      <w:rFonts w:ascii="宋体" w:hAnsi="宋体"/>
      <w:sz w:val="24"/>
      <w:szCs w:val="20"/>
    </w:rPr>
  </w:style>
  <w:style w:type="paragraph" w:customStyle="1" w:styleId="57">
    <w:name w:val="Table Paragraph"/>
    <w:basedOn w:val="1"/>
    <w:qFormat/>
    <w:uiPriority w:val="1"/>
    <w:pPr>
      <w:autoSpaceDE w:val="0"/>
      <w:autoSpaceDN w:val="0"/>
      <w:adjustRightInd w:val="0"/>
      <w:jc w:val="left"/>
    </w:pPr>
    <w:rPr>
      <w:kern w:val="0"/>
    </w:rPr>
  </w:style>
  <w:style w:type="paragraph" w:customStyle="1" w:styleId="58">
    <w:name w:val="Body text|1"/>
    <w:basedOn w:val="1"/>
    <w:qFormat/>
    <w:uiPriority w:val="0"/>
    <w:pPr>
      <w:spacing w:after="280" w:line="214" w:lineRule="exact"/>
      <w:ind w:firstLine="360"/>
    </w:pPr>
    <w:rPr>
      <w:rFonts w:ascii="宋体" w:hAnsi="宋体" w:cs="宋体"/>
      <w:sz w:val="16"/>
      <w:szCs w:val="16"/>
      <w:lang w:val="zh-TW" w:eastAsia="zh-TW" w:bidi="zh-TW"/>
    </w:rPr>
  </w:style>
  <w:style w:type="character" w:styleId="59">
    <w:name w:val="Placeholder Text"/>
    <w:semiHidden/>
    <w:qFormat/>
    <w:uiPriority w:val="99"/>
    <w:rPr>
      <w:color w:val="808080"/>
    </w:rPr>
  </w:style>
  <w:style w:type="paragraph" w:styleId="60">
    <w:name w:val="List Paragraph"/>
    <w:basedOn w:val="1"/>
    <w:qFormat/>
    <w:uiPriority w:val="99"/>
    <w:pPr>
      <w:ind w:firstLine="420" w:firstLineChars="200"/>
    </w:pPr>
  </w:style>
  <w:style w:type="paragraph" w:customStyle="1" w:styleId="61">
    <w:name w:val="表格内文本"/>
    <w:basedOn w:val="1"/>
    <w:link w:val="62"/>
    <w:qFormat/>
    <w:uiPriority w:val="0"/>
    <w:pPr>
      <w:adjustRightInd w:val="0"/>
      <w:snapToGrid w:val="0"/>
      <w:jc w:val="center"/>
    </w:pPr>
    <w:rPr>
      <w:bCs/>
    </w:rPr>
  </w:style>
  <w:style w:type="character" w:customStyle="1" w:styleId="62">
    <w:name w:val="表格内文本 字符"/>
    <w:link w:val="61"/>
    <w:qFormat/>
    <w:uiPriority w:val="0"/>
    <w:rPr>
      <w:bCs/>
      <w:kern w:val="2"/>
      <w:sz w:val="21"/>
      <w:szCs w:val="24"/>
    </w:rPr>
  </w:style>
  <w:style w:type="character" w:customStyle="1" w:styleId="63">
    <w:name w:val="ref"/>
    <w:qFormat/>
    <w:uiPriority w:val="0"/>
  </w:style>
  <w:style w:type="paragraph" w:customStyle="1" w:styleId="64">
    <w:name w:val="msolistparagraph"/>
    <w:basedOn w:val="1"/>
    <w:qFormat/>
    <w:uiPriority w:val="0"/>
    <w:pPr>
      <w:ind w:firstLine="420" w:firstLineChars="200"/>
    </w:pPr>
    <w:rPr>
      <w:rFonts w:ascii="Calibri" w:hAnsi="Calibri"/>
    </w:rPr>
  </w:style>
  <w:style w:type="paragraph" w:customStyle="1" w:styleId="65">
    <w:name w:val="正文格式"/>
    <w:basedOn w:val="8"/>
    <w:qFormat/>
    <w:uiPriority w:val="0"/>
    <w:pPr>
      <w:spacing w:before="0" w:after="0" w:line="360" w:lineRule="auto"/>
      <w:ind w:right="0" w:firstLine="200" w:firstLineChars="200"/>
    </w:pPr>
    <w:rPr>
      <w:bCs/>
      <w:kern w:val="2"/>
      <w:sz w:val="24"/>
      <w:szCs w:val="24"/>
    </w:rPr>
  </w:style>
  <w:style w:type="paragraph" w:customStyle="1" w:styleId="66">
    <w:name w:val="图表标题"/>
    <w:basedOn w:val="8"/>
    <w:link w:val="67"/>
    <w:qFormat/>
    <w:uiPriority w:val="0"/>
    <w:pPr>
      <w:spacing w:before="120" w:beforeLines="50" w:after="0" w:line="240" w:lineRule="auto"/>
      <w:ind w:right="0"/>
      <w:jc w:val="center"/>
    </w:pPr>
    <w:rPr>
      <w:rFonts w:eastAsia="黑体"/>
      <w:kern w:val="2"/>
      <w:sz w:val="21"/>
      <w:szCs w:val="21"/>
    </w:rPr>
  </w:style>
  <w:style w:type="character" w:customStyle="1" w:styleId="67">
    <w:name w:val="图表标题 字符"/>
    <w:link w:val="66"/>
    <w:qFormat/>
    <w:uiPriority w:val="0"/>
    <w:rPr>
      <w:rFonts w:eastAsia="黑体"/>
      <w:kern w:val="2"/>
      <w:sz w:val="21"/>
      <w:szCs w:val="21"/>
    </w:rPr>
  </w:style>
  <w:style w:type="table" w:customStyle="1" w:styleId="68">
    <w:name w:val="Table Normal"/>
    <w:unhideWhenUsed/>
    <w:qFormat/>
    <w:uiPriority w:val="2"/>
    <w:rPr>
      <w:rFonts w:ascii="Arial" w:hAnsi="Arial" w:cs="Arial"/>
      <w:snapToGrid w:val="0"/>
      <w:color w:val="000000"/>
      <w:sz w:val="21"/>
      <w:szCs w:val="21"/>
    </w:rPr>
    <w:tblPr>
      <w:tblCellMar>
        <w:top w:w="0" w:type="dxa"/>
        <w:left w:w="0" w:type="dxa"/>
        <w:bottom w:w="0" w:type="dxa"/>
        <w:right w:w="0" w:type="dxa"/>
      </w:tblCellMar>
    </w:tblPr>
  </w:style>
  <w:style w:type="paragraph" w:customStyle="1" w:styleId="69">
    <w:name w:val="表格内容"/>
    <w:basedOn w:val="1"/>
    <w:link w:val="78"/>
    <w:qFormat/>
    <w:uiPriority w:val="0"/>
    <w:pPr>
      <w:jc w:val="center"/>
    </w:pPr>
  </w:style>
  <w:style w:type="paragraph" w:customStyle="1" w:styleId="70">
    <w:name w:val="表标题"/>
    <w:qFormat/>
    <w:uiPriority w:val="0"/>
    <w:pPr>
      <w:spacing w:before="50" w:beforeLines="50"/>
      <w:jc w:val="center"/>
    </w:pPr>
    <w:rPr>
      <w:rFonts w:ascii="Times New Roman" w:hAnsi="Times New Roman" w:eastAsia="黑体" w:cs="宋体"/>
      <w:bCs/>
      <w:sz w:val="21"/>
      <w:lang w:val="en-US" w:eastAsia="zh-CN" w:bidi="ar-SA"/>
    </w:rPr>
  </w:style>
  <w:style w:type="paragraph" w:customStyle="1" w:styleId="71">
    <w:name w:val="5E8A942B92774C978FFC2A16BCB09EA4"/>
    <w:qFormat/>
    <w:uiPriority w:val="99"/>
    <w:pPr>
      <w:spacing w:after="200" w:line="276" w:lineRule="auto"/>
    </w:pPr>
    <w:rPr>
      <w:rFonts w:ascii="Calibri" w:hAnsi="Calibri" w:eastAsia="宋体" w:cs="Times New Roman"/>
      <w:sz w:val="22"/>
      <w:szCs w:val="22"/>
      <w:lang w:val="en-US" w:eastAsia="en-US" w:bidi="ar-SA"/>
    </w:rPr>
  </w:style>
  <w:style w:type="paragraph" w:customStyle="1" w:styleId="72">
    <w:name w:val="正文 New"/>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 w:type="character" w:customStyle="1" w:styleId="73">
    <w:name w:val="正文1 字符"/>
    <w:link w:val="15"/>
    <w:autoRedefine/>
    <w:qFormat/>
    <w:uiPriority w:val="0"/>
    <w:rPr>
      <w:kern w:val="2"/>
      <w:sz w:val="24"/>
      <w:szCs w:val="24"/>
    </w:rPr>
  </w:style>
  <w:style w:type="character" w:customStyle="1" w:styleId="74">
    <w:name w:val="表头 字符"/>
    <w:link w:val="18"/>
    <w:autoRedefine/>
    <w:qFormat/>
    <w:uiPriority w:val="0"/>
    <w:rPr>
      <w:rFonts w:eastAsia="黑体"/>
      <w:sz w:val="21"/>
      <w:szCs w:val="32"/>
    </w:rPr>
  </w:style>
  <w:style w:type="paragraph" w:customStyle="1" w:styleId="75">
    <w:name w:val="6-表头"/>
    <w:basedOn w:val="1"/>
    <w:autoRedefine/>
    <w:qFormat/>
    <w:uiPriority w:val="99"/>
    <w:pPr>
      <w:autoSpaceDE w:val="0"/>
      <w:autoSpaceDN w:val="0"/>
      <w:jc w:val="center"/>
    </w:pPr>
    <w:rPr>
      <w:rFonts w:ascii="Cambria Math" w:hAnsi="Cambria Math"/>
      <w:b/>
      <w:bCs/>
      <w:color w:val="0000FF"/>
      <w:sz w:val="24"/>
      <w:szCs w:val="21"/>
    </w:rPr>
  </w:style>
  <w:style w:type="paragraph" w:customStyle="1" w:styleId="76">
    <w:name w:val="5表标题"/>
    <w:autoRedefine/>
    <w:qFormat/>
    <w:uiPriority w:val="0"/>
    <w:pPr>
      <w:jc w:val="both"/>
    </w:pPr>
    <w:rPr>
      <w:rFonts w:ascii="Times New Roman" w:hAnsi="Times New Roman" w:eastAsia="黑体" w:cs="Times New Roman"/>
      <w:bCs/>
      <w:sz w:val="21"/>
      <w:szCs w:val="21"/>
      <w:lang w:val="en-US" w:eastAsia="zh-CN" w:bidi="ar-SA"/>
    </w:rPr>
  </w:style>
  <w:style w:type="character" w:customStyle="1" w:styleId="77">
    <w:name w:val="标题1 字符"/>
    <w:link w:val="16"/>
    <w:autoRedefine/>
    <w:qFormat/>
    <w:uiPriority w:val="0"/>
    <w:rPr>
      <w:rFonts w:cs="宋体"/>
      <w:b/>
      <w:sz w:val="24"/>
      <w:szCs w:val="21"/>
    </w:rPr>
  </w:style>
  <w:style w:type="character" w:customStyle="1" w:styleId="78">
    <w:name w:val="表格内容 字符"/>
    <w:link w:val="69"/>
    <w:autoRedefine/>
    <w:qFormat/>
    <w:uiPriority w:val="0"/>
    <w:rPr>
      <w:kern w:val="2"/>
      <w:sz w:val="21"/>
      <w:szCs w:val="24"/>
    </w:rPr>
  </w:style>
  <w:style w:type="paragraph" w:customStyle="1" w:styleId="79">
    <w:name w:val="样式6"/>
    <w:basedOn w:val="69"/>
    <w:autoRedefine/>
    <w:qFormat/>
    <w:uiPriority w:val="0"/>
    <w:pPr>
      <w:tabs>
        <w:tab w:val="left" w:pos="2340"/>
      </w:tabs>
      <w:autoSpaceDE w:val="0"/>
      <w:autoSpaceDN w:val="0"/>
      <w:adjustRightInd w:val="0"/>
      <w:snapToGrid w:val="0"/>
      <w:spacing w:line="360" w:lineRule="auto"/>
    </w:pPr>
    <w:rPr>
      <w:rFonts w:hAnsi="Calibri"/>
      <w:color w:val="0070C0"/>
      <w:kern w:val="0"/>
      <w:sz w:val="20"/>
    </w:rPr>
  </w:style>
  <w:style w:type="character" w:customStyle="1" w:styleId="80">
    <w:name w:val="副标题 字符"/>
    <w:link w:val="14"/>
    <w:qFormat/>
    <w:uiPriority w:val="0"/>
    <w:rPr>
      <w:bCs/>
      <w:kern w:val="28"/>
      <w:sz w:val="24"/>
      <w:szCs w:val="32"/>
    </w:rPr>
  </w:style>
  <w:style w:type="character" w:customStyle="1" w:styleId="81">
    <w:name w:val="标题 4 字符"/>
    <w:link w:val="5"/>
    <w:semiHidden/>
    <w:qFormat/>
    <w:uiPriority w:val="0"/>
    <w:rPr>
      <w:rFonts w:ascii="Cambria" w:hAnsi="Cambria" w:eastAsia="宋体" w:cs="Times New Roman"/>
      <w:b/>
      <w:bCs/>
      <w:kern w:val="2"/>
      <w:sz w:val="28"/>
      <w:szCs w:val="28"/>
    </w:rPr>
  </w:style>
  <w:style w:type="paragraph" w:customStyle="1" w:styleId="82">
    <w:name w:val="表格文字"/>
    <w:basedOn w:val="1"/>
    <w:autoRedefine/>
    <w:qFormat/>
    <w:uiPriority w:val="0"/>
    <w:pPr>
      <w:jc w:val="center"/>
    </w:pPr>
    <w:rPr>
      <w:szCs w:val="28"/>
    </w:rPr>
  </w:style>
  <w:style w:type="paragraph" w:customStyle="1" w:styleId="83">
    <w:name w:val="6表内文字 居中"/>
    <w:basedOn w:val="1"/>
    <w:autoRedefine/>
    <w:qFormat/>
    <w:uiPriority w:val="0"/>
    <w:pPr>
      <w:adjustRightInd w:val="0"/>
      <w:snapToGrid w:val="0"/>
      <w:jc w:val="center"/>
    </w:pPr>
    <w:rPr>
      <w:kern w:val="0"/>
    </w:rPr>
  </w:style>
  <w:style w:type="paragraph" w:customStyle="1" w:styleId="84">
    <w:name w:val="!正文"/>
    <w:basedOn w:val="1"/>
    <w:qFormat/>
    <w:uiPriority w:val="0"/>
    <w:pPr>
      <w:adjustRightInd w:val="0"/>
      <w:snapToGrid w:val="0"/>
      <w:spacing w:line="360" w:lineRule="auto"/>
      <w:ind w:firstLine="480" w:firstLineChars="200"/>
    </w:pPr>
    <w:rPr>
      <w:rFonts w:ascii="Calibri" w:hAnsi="Calibri"/>
      <w:sz w:val="24"/>
      <w:szCs w:val="21"/>
    </w:rPr>
  </w:style>
  <w:style w:type="paragraph" w:customStyle="1" w:styleId="85">
    <w:name w:val="表格正文"/>
    <w:basedOn w:val="20"/>
    <w:qFormat/>
    <w:uiPriority w:val="0"/>
    <w:pPr>
      <w:spacing w:line="240" w:lineRule="atLeast"/>
      <w:ind w:firstLine="0" w:firstLineChars="0"/>
      <w:jc w:val="center"/>
    </w:pPr>
    <w:rPr>
      <w:sz w:val="21"/>
    </w:rPr>
  </w:style>
  <w:style w:type="paragraph" w:customStyle="1" w:styleId="86">
    <w:name w:val="表格标题"/>
    <w:basedOn w:val="1"/>
    <w:qFormat/>
    <w:uiPriority w:val="0"/>
    <w:pPr>
      <w:jc w:val="center"/>
    </w:pPr>
    <w:rPr>
      <w:b/>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microsoft.com/office/2007/relationships/hdphoto" Target="media/image9.wdp"/><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E62DB-5063-41EB-ACD2-6DAEEB835805}">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48</Pages>
  <Words>111</Words>
  <Characters>115</Characters>
  <Lines>219</Lines>
  <Paragraphs>61</Paragraphs>
  <TotalTime>2818</TotalTime>
  <ScaleCrop>false</ScaleCrop>
  <LinksUpToDate>false</LinksUpToDate>
  <CharactersWithSpaces>153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2024-06-11T01:44:00Z</dcterms:created>
  <dc:creator>lhj</dc:creator>
  <cp:lastModifiedBy>埃罗芒阿大老师</cp:lastModifiedBy>
  <cp:lastPrinted>2024-05-09T07:13:00Z</cp:lastPrinted>
  <dcterms:modified xsi:type="dcterms:W3CDTF">2024-11-21T03:14:44Z</dcterms:modified>
  <dc:title>附件2</dc:title>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B291314933EE4DC7BD6FD06098BB47C1_13</vt:lpwstr>
  </property>
</Properties>
</file>