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安康市生态环境局高新分局</w:t>
      </w:r>
    </w:p>
    <w:p>
      <w:pPr>
        <w:keepNext w:val="0"/>
        <w:keepLines w:val="0"/>
        <w:pageBreakBefore w:val="0"/>
        <w:kinsoku/>
        <w:wordWrap/>
        <w:overflowPunct/>
        <w:topLinePunct w:val="0"/>
        <w:bidi w:val="0"/>
        <w:spacing w:line="560" w:lineRule="exact"/>
        <w:jc w:val="center"/>
        <w:textAlignment w:val="auto"/>
        <w:rPr>
          <w:rFonts w:ascii="方正小标宋简体" w:hAnsi="黑体" w:eastAsia="方正小标宋简体"/>
          <w:color w:val="auto"/>
          <w:sz w:val="44"/>
          <w:szCs w:val="44"/>
        </w:rPr>
      </w:pPr>
      <w:r>
        <w:rPr>
          <w:rFonts w:hint="eastAsia" w:ascii="方正小标宋简体" w:eastAsia="方正小标宋简体"/>
          <w:color w:val="auto"/>
          <w:sz w:val="44"/>
          <w:szCs w:val="44"/>
        </w:rPr>
        <w:t>关于</w:t>
      </w:r>
      <w:r>
        <w:rPr>
          <w:rFonts w:hint="eastAsia" w:ascii="方正小标宋简体" w:hAnsi="Times New Roman" w:eastAsia="方正小标宋简体" w:cs="Times New Roman"/>
          <w:color w:val="auto"/>
          <w:sz w:val="44"/>
          <w:szCs w:val="44"/>
          <w:lang w:val="en-US" w:eastAsia="zh-CN"/>
        </w:rPr>
        <w:t>安康</w:t>
      </w:r>
      <w:r>
        <w:rPr>
          <w:rFonts w:hint="eastAsia" w:ascii="方正小标宋简体" w:hAnsi="Times New Roman" w:eastAsia="方正小标宋简体" w:cs="Times New Roman"/>
          <w:color w:val="auto"/>
          <w:sz w:val="44"/>
          <w:szCs w:val="44"/>
        </w:rPr>
        <w:t>富硒</w:t>
      </w:r>
      <w:r>
        <w:rPr>
          <w:rFonts w:hint="eastAsia" w:ascii="方正小标宋简体" w:hAnsi="Times New Roman" w:eastAsia="方正小标宋简体" w:cs="Times New Roman"/>
          <w:color w:val="auto"/>
          <w:sz w:val="44"/>
          <w:szCs w:val="44"/>
          <w:lang w:val="en-US" w:eastAsia="zh-CN"/>
        </w:rPr>
        <w:t>食品检验检测服务平台（一期）项目</w:t>
      </w:r>
      <w:r>
        <w:rPr>
          <w:rFonts w:hint="eastAsia" w:ascii="方正小标宋简体" w:eastAsia="方正小标宋简体"/>
          <w:color w:val="auto"/>
          <w:sz w:val="44"/>
          <w:szCs w:val="44"/>
        </w:rPr>
        <w:t>环境影响报告表的批复</w:t>
      </w:r>
    </w:p>
    <w:p>
      <w:pPr>
        <w:keepNext w:val="0"/>
        <w:keepLines w:val="0"/>
        <w:pageBreakBefore w:val="0"/>
        <w:kinsoku/>
        <w:wordWrap/>
        <w:overflowPunct/>
        <w:topLinePunct w:val="0"/>
        <w:bidi w:val="0"/>
        <w:spacing w:line="560" w:lineRule="exact"/>
        <w:jc w:val="center"/>
        <w:textAlignment w:val="auto"/>
        <w:rPr>
          <w:color w:val="auto"/>
          <w:sz w:val="44"/>
          <w:szCs w:val="44"/>
        </w:rPr>
      </w:pP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w:t>
      </w:r>
      <w:r>
        <w:rPr>
          <w:rFonts w:hint="eastAsia" w:ascii="仿宋_GB2312" w:hAnsi="仿宋_GB2312" w:eastAsia="仿宋_GB2312" w:cs="仿宋_GB2312"/>
          <w:color w:val="auto"/>
          <w:sz w:val="32"/>
          <w:szCs w:val="32"/>
          <w:lang w:val="en-US" w:eastAsia="zh-CN"/>
        </w:rPr>
        <w:t>华康检验检测有限责任</w:t>
      </w:r>
      <w:r>
        <w:rPr>
          <w:rFonts w:hint="eastAsia" w:ascii="仿宋_GB2312" w:hAnsi="仿宋_GB2312" w:eastAsia="仿宋_GB2312" w:cs="仿宋_GB2312"/>
          <w:color w:val="auto"/>
          <w:sz w:val="32"/>
          <w:szCs w:val="32"/>
        </w:rPr>
        <w:t>公司：</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你公司报来的《</w:t>
      </w:r>
      <w:r>
        <w:rPr>
          <w:rFonts w:hint="eastAsia" w:ascii="仿宋_GB2312" w:hAnsi="方正小标宋简体" w:eastAsia="仿宋_GB2312" w:cs="方正小标宋简体"/>
          <w:bCs/>
          <w:color w:val="auto"/>
          <w:sz w:val="32"/>
          <w:szCs w:val="32"/>
          <w:lang w:val="en-US" w:eastAsia="zh-CN"/>
        </w:rPr>
        <w:t>安康</w:t>
      </w:r>
      <w:r>
        <w:rPr>
          <w:rFonts w:hint="eastAsia" w:ascii="仿宋_GB2312" w:hAnsi="方正小标宋简体" w:eastAsia="仿宋_GB2312" w:cs="方正小标宋简体"/>
          <w:bCs/>
          <w:color w:val="auto"/>
          <w:sz w:val="32"/>
          <w:szCs w:val="32"/>
        </w:rPr>
        <w:t>富硒</w:t>
      </w:r>
      <w:r>
        <w:rPr>
          <w:rFonts w:hint="eastAsia" w:ascii="仿宋_GB2312" w:hAnsi="方正小标宋简体" w:eastAsia="仿宋_GB2312" w:cs="方正小标宋简体"/>
          <w:bCs/>
          <w:color w:val="auto"/>
          <w:sz w:val="32"/>
          <w:szCs w:val="32"/>
          <w:lang w:val="en-US" w:eastAsia="zh-CN"/>
        </w:rPr>
        <w:t>食品检验检测服务平台（一期）</w:t>
      </w:r>
      <w:r>
        <w:rPr>
          <w:rFonts w:hint="eastAsia" w:ascii="仿宋_GB2312" w:hAnsi="方正小标宋简体" w:eastAsia="仿宋_GB2312" w:cs="方正小标宋简体"/>
          <w:bCs/>
          <w:color w:val="auto"/>
          <w:sz w:val="32"/>
          <w:szCs w:val="32"/>
        </w:rPr>
        <w:t>项目环境影响报告表审批的</w:t>
      </w:r>
      <w:r>
        <w:rPr>
          <w:rFonts w:hint="eastAsia" w:ascii="仿宋_GB2312" w:hAnsi="方正小标宋简体" w:eastAsia="仿宋_GB2312" w:cs="方正小标宋简体"/>
          <w:bCs/>
          <w:color w:val="auto"/>
          <w:sz w:val="32"/>
          <w:szCs w:val="32"/>
          <w:lang w:val="en-US" w:eastAsia="zh-CN"/>
        </w:rPr>
        <w:t>申请</w:t>
      </w:r>
      <w:r>
        <w:rPr>
          <w:rFonts w:hint="eastAsia" w:ascii="仿宋_GB2312" w:hAnsi="方正小标宋简体" w:eastAsia="仿宋_GB2312" w:cs="方正小标宋简体"/>
          <w:bCs/>
          <w:color w:val="auto"/>
          <w:sz w:val="32"/>
          <w:szCs w:val="32"/>
        </w:rPr>
        <w:t>》和相关资料收悉。经研究，现批复如</w:t>
      </w:r>
      <w:r>
        <w:rPr>
          <w:rFonts w:hint="eastAsia" w:ascii="仿宋_GB2312" w:hAnsi="仿宋_GB2312" w:eastAsia="仿宋_GB2312" w:cs="仿宋_GB2312"/>
          <w:color w:val="auto"/>
          <w:sz w:val="32"/>
          <w:szCs w:val="32"/>
        </w:rPr>
        <w:t>下：</w:t>
      </w:r>
    </w:p>
    <w:p>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一、项目概况</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陕西</w:t>
      </w:r>
      <w:r>
        <w:rPr>
          <w:rFonts w:hint="eastAsia" w:ascii="仿宋_GB2312" w:hAnsi="仿宋_GB2312" w:eastAsia="仿宋_GB2312" w:cs="仿宋_GB2312"/>
          <w:color w:val="auto"/>
          <w:sz w:val="32"/>
          <w:szCs w:val="32"/>
          <w:lang w:val="en-US" w:eastAsia="zh-CN"/>
        </w:rPr>
        <w:t>华康检验检测有限责任</w:t>
      </w:r>
      <w:r>
        <w:rPr>
          <w:rFonts w:hint="eastAsia" w:ascii="仿宋_GB2312" w:hAnsi="仿宋_GB2312" w:eastAsia="仿宋_GB2312" w:cs="仿宋_GB2312"/>
          <w:color w:val="auto"/>
          <w:sz w:val="32"/>
          <w:szCs w:val="32"/>
        </w:rPr>
        <w:t>公司</w:t>
      </w:r>
      <w:r>
        <w:rPr>
          <w:rFonts w:hint="eastAsia" w:ascii="仿宋_GB2312" w:hAnsi="方正小标宋简体" w:eastAsia="仿宋_GB2312" w:cs="方正小标宋简体"/>
          <w:bCs/>
          <w:color w:val="auto"/>
          <w:sz w:val="32"/>
          <w:szCs w:val="32"/>
          <w:lang w:val="en-US" w:eastAsia="zh-CN"/>
        </w:rPr>
        <w:t>安康</w:t>
      </w:r>
      <w:r>
        <w:rPr>
          <w:rFonts w:hint="eastAsia" w:ascii="仿宋_GB2312" w:hAnsi="方正小标宋简体" w:eastAsia="仿宋_GB2312" w:cs="方正小标宋简体"/>
          <w:bCs/>
          <w:color w:val="auto"/>
          <w:sz w:val="32"/>
          <w:szCs w:val="32"/>
        </w:rPr>
        <w:t>富硒</w:t>
      </w:r>
      <w:r>
        <w:rPr>
          <w:rFonts w:hint="eastAsia" w:ascii="仿宋_GB2312" w:hAnsi="方正小标宋简体" w:eastAsia="仿宋_GB2312" w:cs="方正小标宋简体"/>
          <w:bCs/>
          <w:color w:val="auto"/>
          <w:sz w:val="32"/>
          <w:szCs w:val="32"/>
          <w:lang w:val="en-US" w:eastAsia="zh-CN"/>
        </w:rPr>
        <w:t>食品检验检测服务平台（一期）</w:t>
      </w:r>
      <w:r>
        <w:rPr>
          <w:rFonts w:hint="eastAsia" w:ascii="仿宋_GB2312" w:hAnsi="方正小标宋简体" w:eastAsia="仿宋_GB2312" w:cs="方正小标宋简体"/>
          <w:bCs/>
          <w:color w:val="auto"/>
          <w:sz w:val="32"/>
          <w:szCs w:val="32"/>
        </w:rPr>
        <w:t>项目</w:t>
      </w:r>
      <w:r>
        <w:rPr>
          <w:rFonts w:hint="eastAsia" w:ascii="仿宋_GB2312" w:hAnsi="仿宋_GB2312" w:eastAsia="仿宋_GB2312" w:cs="仿宋_GB2312"/>
          <w:color w:val="auto"/>
          <w:sz w:val="32"/>
          <w:szCs w:val="32"/>
        </w:rPr>
        <w:t>位于安康市</w:t>
      </w:r>
      <w:r>
        <w:rPr>
          <w:rFonts w:hint="eastAsia" w:ascii="仿宋_GB2312" w:hAnsi="仿宋_GB2312" w:eastAsia="仿宋_GB2312" w:cs="仿宋_GB2312"/>
          <w:color w:val="auto"/>
          <w:sz w:val="32"/>
          <w:szCs w:val="32"/>
          <w:lang w:val="en-US" w:eastAsia="zh-CN"/>
        </w:rPr>
        <w:t>高新区创业西路西宏农业科技产业园，</w:t>
      </w:r>
      <w:r>
        <w:rPr>
          <w:rFonts w:hint="eastAsia" w:ascii="仿宋_GB2312" w:hAnsi="仿宋_GB2312" w:eastAsia="仿宋_GB2312" w:cs="仿宋_GB2312"/>
          <w:color w:val="auto"/>
          <w:sz w:val="32"/>
          <w:szCs w:val="32"/>
          <w:shd w:val="clear" w:color="auto" w:fill="FFFFFF"/>
          <w:lang w:val="en-US" w:eastAsia="zh-CN"/>
        </w:rPr>
        <w:t>租用建筑面积共3000m</w:t>
      </w:r>
      <w:r>
        <w:rPr>
          <w:rFonts w:hint="eastAsia" w:ascii="仿宋_GB2312" w:hAnsi="仿宋_GB2312" w:eastAsia="仿宋_GB2312" w:cs="仿宋_GB2312"/>
          <w:color w:val="auto"/>
          <w:sz w:val="32"/>
          <w:szCs w:val="32"/>
          <w:shd w:val="clear" w:color="auto" w:fill="FFFFFF"/>
          <w:vertAlign w:val="superscript"/>
          <w:lang w:val="en-US" w:eastAsia="zh-CN"/>
        </w:rPr>
        <w:t>2</w:t>
      </w:r>
      <w:r>
        <w:rPr>
          <w:rFonts w:hint="eastAsia" w:ascii="仿宋_GB2312" w:hAnsi="仿宋_GB2312" w:eastAsia="仿宋_GB2312" w:cs="仿宋_GB2312"/>
          <w:color w:val="auto"/>
          <w:sz w:val="32"/>
          <w:szCs w:val="32"/>
          <w:shd w:val="clear" w:color="auto" w:fill="FFFFFF"/>
          <w:lang w:val="en-US" w:eastAsia="zh-CN"/>
        </w:rPr>
        <w:t>，规划富硒食品检测实验室2000m</w:t>
      </w:r>
      <w:r>
        <w:rPr>
          <w:rFonts w:hint="eastAsia" w:ascii="仿宋_GB2312" w:hAnsi="仿宋_GB2312" w:eastAsia="仿宋_GB2312" w:cs="仿宋_GB2312"/>
          <w:color w:val="auto"/>
          <w:sz w:val="32"/>
          <w:szCs w:val="32"/>
          <w:shd w:val="clear" w:color="auto" w:fill="FFFFFF"/>
          <w:vertAlign w:val="superscript"/>
          <w:lang w:val="en-US" w:eastAsia="zh-CN"/>
        </w:rPr>
        <w:t>2</w:t>
      </w:r>
      <w:r>
        <w:rPr>
          <w:rFonts w:hint="eastAsia" w:ascii="仿宋_GB2312" w:hAnsi="仿宋_GB2312" w:eastAsia="仿宋_GB2312" w:cs="仿宋_GB2312"/>
          <w:color w:val="auto"/>
          <w:sz w:val="32"/>
          <w:szCs w:val="32"/>
          <w:shd w:val="clear" w:color="auto" w:fill="FFFFFF"/>
          <w:lang w:val="en-US" w:eastAsia="zh-CN"/>
        </w:rPr>
        <w:t>，样品储存间100m</w:t>
      </w:r>
      <w:r>
        <w:rPr>
          <w:rFonts w:hint="eastAsia" w:ascii="仿宋_GB2312" w:hAnsi="仿宋_GB2312" w:eastAsia="仿宋_GB2312" w:cs="仿宋_GB2312"/>
          <w:color w:val="auto"/>
          <w:sz w:val="32"/>
          <w:szCs w:val="32"/>
          <w:shd w:val="clear" w:color="auto" w:fill="FFFFFF"/>
          <w:vertAlign w:val="superscript"/>
          <w:lang w:val="en-US" w:eastAsia="zh-CN"/>
        </w:rPr>
        <w:t>2</w:t>
      </w:r>
      <w:r>
        <w:rPr>
          <w:rFonts w:hint="eastAsia" w:ascii="仿宋_GB2312" w:hAnsi="仿宋_GB2312" w:eastAsia="仿宋_GB2312" w:cs="仿宋_GB2312"/>
          <w:color w:val="auto"/>
          <w:sz w:val="32"/>
          <w:szCs w:val="32"/>
          <w:shd w:val="clear" w:color="auto" w:fill="FFFFFF"/>
          <w:lang w:val="en-US" w:eastAsia="zh-CN"/>
        </w:rPr>
        <w:t>，行政及公共区域400m</w:t>
      </w:r>
      <w:r>
        <w:rPr>
          <w:rFonts w:hint="eastAsia" w:ascii="仿宋_GB2312" w:hAnsi="仿宋_GB2312" w:eastAsia="仿宋_GB2312" w:cs="仿宋_GB2312"/>
          <w:color w:val="auto"/>
          <w:sz w:val="32"/>
          <w:szCs w:val="32"/>
          <w:shd w:val="clear" w:color="auto" w:fill="FFFFFF"/>
          <w:vertAlign w:val="superscript"/>
          <w:lang w:val="en-US" w:eastAsia="zh-CN"/>
        </w:rPr>
        <w:t>2</w:t>
      </w:r>
      <w:r>
        <w:rPr>
          <w:rFonts w:hint="eastAsia" w:ascii="仿宋_GB2312" w:hAnsi="仿宋_GB2312" w:eastAsia="仿宋_GB2312" w:cs="仿宋_GB2312"/>
          <w:color w:val="auto"/>
          <w:sz w:val="32"/>
          <w:szCs w:val="32"/>
          <w:shd w:val="clear" w:color="auto" w:fill="FFFFFF"/>
          <w:lang w:val="en-US" w:eastAsia="zh-CN"/>
        </w:rPr>
        <w:t>，购置原子吸收分光光度计、气相色谱仪、液相色谱仪、原子荧光光谱仪等检验检测设备，同时研发LIMS实验室管理系统和服务平台软件系统搭建，建成安康富硒食品检验检测服务平台（一期）项目</w:t>
      </w:r>
      <w:r>
        <w:rPr>
          <w:rFonts w:hint="eastAsia" w:ascii="仿宋_GB2312" w:hAnsi="仿宋_GB2312" w:eastAsia="仿宋_GB2312" w:cs="仿宋_GB2312"/>
          <w:color w:val="auto"/>
          <w:sz w:val="32"/>
          <w:szCs w:val="32"/>
          <w:shd w:val="clear" w:color="auto" w:fill="FFFFFF"/>
        </w:rPr>
        <w:t>。项目总投资</w:t>
      </w:r>
      <w:r>
        <w:rPr>
          <w:rFonts w:hint="eastAsia" w:ascii="仿宋_GB2312" w:hAnsi="仿宋_GB2312" w:eastAsia="仿宋_GB2312" w:cs="仿宋_GB2312"/>
          <w:color w:val="auto"/>
          <w:sz w:val="32"/>
          <w:szCs w:val="32"/>
          <w:shd w:val="clear" w:color="auto" w:fill="FFFFFF"/>
          <w:lang w:val="en-US" w:eastAsia="zh-CN"/>
        </w:rPr>
        <w:t>3</w:t>
      </w:r>
      <w:r>
        <w:rPr>
          <w:rFonts w:ascii="仿宋_GB2312" w:hAnsi="仿宋_GB2312" w:eastAsia="仿宋_GB2312" w:cs="仿宋_GB2312"/>
          <w:color w:val="auto"/>
          <w:sz w:val="32"/>
          <w:szCs w:val="32"/>
          <w:shd w:val="clear" w:color="auto" w:fill="FFFFFF"/>
        </w:rPr>
        <w:t>000万元，</w:t>
      </w:r>
      <w:r>
        <w:rPr>
          <w:rFonts w:hint="eastAsia" w:ascii="仿宋_GB2312" w:hAnsi="仿宋_GB2312" w:eastAsia="仿宋_GB2312" w:cs="仿宋_GB2312"/>
          <w:color w:val="auto"/>
          <w:sz w:val="32"/>
          <w:szCs w:val="32"/>
          <w:shd w:val="clear" w:color="auto" w:fill="FFFFFF"/>
        </w:rPr>
        <w:t>其中环保投资</w:t>
      </w:r>
      <w:r>
        <w:rPr>
          <w:rFonts w:hint="eastAsia" w:ascii="仿宋_GB2312" w:hAnsi="仿宋_GB2312" w:eastAsia="仿宋_GB2312" w:cs="仿宋_GB2312"/>
          <w:color w:val="auto"/>
          <w:sz w:val="32"/>
          <w:szCs w:val="32"/>
          <w:shd w:val="clear" w:color="auto" w:fill="FFFFFF"/>
          <w:lang w:val="en-US" w:eastAsia="zh-CN"/>
        </w:rPr>
        <w:t>22.5</w:t>
      </w:r>
      <w:r>
        <w:rPr>
          <w:rFonts w:hint="eastAsia" w:ascii="仿宋_GB2312" w:hAnsi="仿宋_GB2312" w:eastAsia="仿宋_GB2312" w:cs="仿宋_GB2312"/>
          <w:color w:val="auto"/>
          <w:sz w:val="32"/>
          <w:szCs w:val="32"/>
          <w:shd w:val="clear" w:color="auto" w:fill="FFFFFF"/>
        </w:rPr>
        <w:t>万元，占总投资的</w:t>
      </w:r>
      <w:r>
        <w:rPr>
          <w:rFonts w:hint="eastAsia" w:ascii="仿宋_GB2312" w:hAnsi="仿宋_GB2312" w:eastAsia="仿宋_GB2312" w:cs="仿宋_GB2312"/>
          <w:color w:val="auto"/>
          <w:sz w:val="32"/>
          <w:szCs w:val="32"/>
          <w:shd w:val="clear" w:color="auto" w:fill="FFFFFF"/>
          <w:lang w:val="en-US" w:eastAsia="zh-CN"/>
        </w:rPr>
        <w:t>0.75</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二、项目建设与运营管理中应重点做好的工作</w:t>
      </w:r>
    </w:p>
    <w:p>
      <w:pPr>
        <w:pStyle w:val="13"/>
        <w:keepNext w:val="0"/>
        <w:keepLines w:val="0"/>
        <w:pageBreakBefore w:val="0"/>
        <w:kinsoku/>
        <w:wordWrap/>
        <w:overflowPunct/>
        <w:topLinePunct w:val="0"/>
        <w:bidi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（一）落实大气污染防治措施</w:t>
      </w:r>
    </w:p>
    <w:p>
      <w:pPr>
        <w:pStyle w:val="13"/>
        <w:keepNext w:val="0"/>
        <w:keepLines w:val="0"/>
        <w:pageBreakBefore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运营期废气主要为实验室废气，通过</w:t>
      </w:r>
      <w:r>
        <w:rPr>
          <w:rFonts w:hint="default" w:ascii="仿宋_GB2312" w:hAnsi="仿宋_GB2312" w:eastAsia="仿宋_GB2312" w:cs="仿宋_GB2312"/>
          <w:color w:val="auto"/>
          <w:kern w:val="2"/>
          <w:sz w:val="32"/>
          <w:szCs w:val="32"/>
          <w:shd w:val="clear" w:color="auto" w:fill="FFFFFF"/>
          <w:lang w:val="en-US" w:eastAsia="zh-CN" w:bidi="ar-SA"/>
        </w:rPr>
        <w:t>通风橱收集+活性炭吸附装置+卧式碱雾喷淋塔</w:t>
      </w:r>
      <w:r>
        <w:rPr>
          <w:rFonts w:hint="eastAsia" w:ascii="仿宋_GB2312" w:hAnsi="仿宋_GB2312" w:eastAsia="仿宋_GB2312" w:cs="仿宋_GB2312"/>
          <w:color w:val="auto"/>
          <w:kern w:val="2"/>
          <w:sz w:val="32"/>
          <w:szCs w:val="32"/>
          <w:shd w:val="clear" w:color="auto" w:fill="FFFFFF"/>
          <w:lang w:val="en-US" w:eastAsia="zh-CN" w:bidi="ar-SA"/>
        </w:rPr>
        <w:t>处理后达到《大气污染物综合排放标准》（GB16297-1996）表2中二级标准限值后经</w:t>
      </w:r>
      <w:r>
        <w:rPr>
          <w:rFonts w:hint="default" w:ascii="仿宋_GB2312" w:hAnsi="仿宋_GB2312" w:eastAsia="仿宋_GB2312" w:cs="仿宋_GB2312"/>
          <w:color w:val="auto"/>
          <w:kern w:val="2"/>
          <w:sz w:val="32"/>
          <w:szCs w:val="32"/>
          <w:shd w:val="clear" w:color="auto" w:fill="FFFFFF"/>
          <w:lang w:val="en-US" w:eastAsia="zh-CN" w:bidi="ar-SA"/>
        </w:rPr>
        <w:t>16m</w:t>
      </w:r>
      <w:r>
        <w:rPr>
          <w:rFonts w:hint="eastAsia" w:ascii="仿宋_GB2312" w:hAnsi="仿宋_GB2312" w:eastAsia="仿宋_GB2312" w:cs="仿宋_GB2312"/>
          <w:color w:val="auto"/>
          <w:kern w:val="2"/>
          <w:sz w:val="32"/>
          <w:szCs w:val="32"/>
          <w:shd w:val="clear" w:color="auto" w:fill="FFFFFF"/>
          <w:lang w:val="en-US" w:eastAsia="zh-CN" w:bidi="ar-SA"/>
        </w:rPr>
        <w:t>高</w:t>
      </w:r>
      <w:r>
        <w:rPr>
          <w:rFonts w:hint="default" w:ascii="仿宋_GB2312" w:hAnsi="仿宋_GB2312" w:eastAsia="仿宋_GB2312" w:cs="仿宋_GB2312"/>
          <w:color w:val="auto"/>
          <w:kern w:val="2"/>
          <w:sz w:val="32"/>
          <w:szCs w:val="32"/>
          <w:shd w:val="clear" w:color="auto" w:fill="FFFFFF"/>
          <w:lang w:val="en-US" w:eastAsia="zh-CN" w:bidi="ar-SA"/>
        </w:rPr>
        <w:t>排气筒</w:t>
      </w:r>
      <w:r>
        <w:rPr>
          <w:rFonts w:hint="eastAsia" w:ascii="仿宋_GB2312" w:hAnsi="仿宋_GB2312" w:eastAsia="仿宋_GB2312" w:cs="仿宋_GB2312"/>
          <w:color w:val="auto"/>
          <w:kern w:val="2"/>
          <w:sz w:val="32"/>
          <w:szCs w:val="32"/>
          <w:shd w:val="clear" w:color="auto" w:fill="FFFFFF"/>
          <w:lang w:val="en-US" w:eastAsia="zh-CN" w:bidi="ar-SA"/>
        </w:rPr>
        <w:t>排放。</w:t>
      </w:r>
    </w:p>
    <w:p>
      <w:pPr>
        <w:pStyle w:val="13"/>
        <w:keepNext w:val="0"/>
        <w:keepLines w:val="0"/>
        <w:pageBreakBefore w:val="0"/>
        <w:kinsoku/>
        <w:wordWrap/>
        <w:overflowPunct/>
        <w:topLinePunct w:val="0"/>
        <w:bidi w:val="0"/>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二）</w:t>
      </w:r>
      <w:r>
        <w:rPr>
          <w:rFonts w:hint="eastAsia" w:ascii="楷体" w:hAnsi="楷体" w:eastAsia="楷体" w:cs="楷体"/>
          <w:b w:val="0"/>
          <w:bCs/>
          <w:color w:val="auto"/>
          <w:sz w:val="32"/>
          <w:szCs w:val="32"/>
        </w:rPr>
        <w:t>落实水污染防治措施</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eastAsia="仿宋_GB2312"/>
          <w:color w:val="auto"/>
          <w:sz w:val="32"/>
          <w:szCs w:val="32"/>
        </w:rPr>
      </w:pPr>
      <w:r>
        <w:rPr>
          <w:rFonts w:ascii="仿宋_GB2312" w:eastAsia="仿宋_GB2312"/>
          <w:color w:val="auto"/>
          <w:sz w:val="32"/>
          <w:szCs w:val="32"/>
        </w:rPr>
        <w:t>项目运营期废水主要为</w:t>
      </w:r>
      <w:r>
        <w:rPr>
          <w:rFonts w:hint="eastAsia" w:ascii="仿宋_GB2312" w:hAnsi="Times New Roman" w:eastAsia="仿宋_GB2312" w:cs="Times New Roman"/>
          <w:color w:val="auto"/>
          <w:sz w:val="32"/>
          <w:szCs w:val="32"/>
          <w:lang w:val="en-US" w:eastAsia="zh-CN"/>
        </w:rPr>
        <w:t>实验室</w:t>
      </w:r>
      <w:r>
        <w:rPr>
          <w:rFonts w:hint="eastAsia" w:ascii="仿宋_GB2312" w:hAnsi="Times New Roman" w:eastAsia="仿宋_GB2312" w:cs="Times New Roman"/>
          <w:color w:val="auto"/>
          <w:sz w:val="32"/>
          <w:szCs w:val="32"/>
        </w:rPr>
        <w:t>废水和生活污水，其中</w:t>
      </w:r>
      <w:r>
        <w:rPr>
          <w:rFonts w:hint="eastAsia" w:ascii="仿宋_GB2312" w:hAnsi="Times New Roman" w:eastAsia="仿宋_GB2312" w:cs="Times New Roman"/>
          <w:color w:val="auto"/>
          <w:sz w:val="32"/>
          <w:szCs w:val="32"/>
          <w:lang w:val="en-US" w:eastAsia="zh-CN"/>
        </w:rPr>
        <w:t>实验室</w:t>
      </w:r>
      <w:r>
        <w:rPr>
          <w:rFonts w:hint="eastAsia" w:ascii="仿宋_GB2312" w:hAnsi="Times New Roman" w:eastAsia="仿宋_GB2312" w:cs="Times New Roman"/>
          <w:color w:val="auto"/>
          <w:sz w:val="32"/>
          <w:szCs w:val="32"/>
        </w:rPr>
        <w:t>废水包括</w:t>
      </w:r>
      <w:r>
        <w:rPr>
          <w:rFonts w:hint="eastAsia" w:ascii="仿宋_GB2312" w:hAnsi="Times New Roman" w:eastAsia="仿宋_GB2312" w:cs="Times New Roman"/>
          <w:color w:val="auto"/>
          <w:sz w:val="32"/>
          <w:szCs w:val="32"/>
          <w:lang w:val="en-US" w:eastAsia="zh-CN"/>
        </w:rPr>
        <w:t>实验器具清洗废水</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实验室设备废水、实验室清洁废水</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碱雾喷淋塔排出的废水、纯水机浓水</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实验器具清洗废水、实验设备废水和碱雾喷淋塔排出的废水依托现有环境检测实验室的一体化处理设备（酸碱中和+絮凝沉淀）处理</w:t>
      </w:r>
      <w:r>
        <w:rPr>
          <w:rFonts w:hint="eastAsia" w:ascii="仿宋_GB2312" w:eastAsia="仿宋_GB2312"/>
          <w:color w:val="auto"/>
          <w:sz w:val="32"/>
          <w:szCs w:val="32"/>
          <w:lang w:val="en-US" w:eastAsia="zh-CN"/>
        </w:rPr>
        <w:t>达标</w:t>
      </w:r>
      <w:r>
        <w:rPr>
          <w:rFonts w:hint="eastAsia" w:ascii="仿宋_GB2312" w:eastAsia="仿宋_GB2312"/>
          <w:color w:val="auto"/>
          <w:sz w:val="32"/>
          <w:szCs w:val="32"/>
        </w:rPr>
        <w:t>后</w:t>
      </w:r>
      <w:r>
        <w:rPr>
          <w:rFonts w:ascii="仿宋_GB2312" w:eastAsia="仿宋_GB2312"/>
          <w:color w:val="auto"/>
          <w:sz w:val="32"/>
          <w:szCs w:val="32"/>
        </w:rPr>
        <w:t>经园区污水管网排放至</w:t>
      </w:r>
      <w:r>
        <w:rPr>
          <w:rFonts w:hint="eastAsia" w:ascii="仿宋_GB2312" w:eastAsia="仿宋_GB2312"/>
          <w:color w:val="auto"/>
          <w:sz w:val="32"/>
          <w:szCs w:val="32"/>
        </w:rPr>
        <w:t>安康建民污水处理厂</w:t>
      </w:r>
      <w:r>
        <w:rPr>
          <w:rFonts w:ascii="仿宋_GB2312" w:eastAsia="仿宋_GB2312"/>
          <w:color w:val="auto"/>
          <w:sz w:val="32"/>
          <w:szCs w:val="32"/>
        </w:rPr>
        <w:t>集中处理</w:t>
      </w:r>
      <w:r>
        <w:rPr>
          <w:rFonts w:hint="eastAsia" w:ascii="仿宋_GB2312" w:eastAsia="仿宋_GB2312"/>
          <w:color w:val="auto"/>
          <w:sz w:val="32"/>
          <w:szCs w:val="32"/>
        </w:rPr>
        <w:t>。</w:t>
      </w:r>
      <w:r>
        <w:rPr>
          <w:rFonts w:hint="eastAsia" w:ascii="仿宋_GB2312" w:hAnsi="Times New Roman" w:eastAsia="仿宋_GB2312" w:cs="Times New Roman"/>
          <w:color w:val="auto"/>
          <w:sz w:val="32"/>
          <w:szCs w:val="32"/>
          <w:lang w:val="en-US" w:eastAsia="zh-CN"/>
        </w:rPr>
        <w:t>生活污水经化粪池处理</w:t>
      </w:r>
      <w:r>
        <w:rPr>
          <w:rFonts w:hint="eastAsia" w:ascii="仿宋_GB2312" w:eastAsia="仿宋_GB2312"/>
          <w:color w:val="auto"/>
          <w:sz w:val="32"/>
          <w:szCs w:val="32"/>
        </w:rPr>
        <w:t>达到《污水排放综合标准》（GB8978-1996)三级标准和《污水排入城镇下水道水质标准》（GB/T31962-2015）B级标准后</w:t>
      </w:r>
      <w:r>
        <w:rPr>
          <w:rFonts w:hint="eastAsia" w:ascii="仿宋_GB2312" w:hAnsi="Times New Roman" w:eastAsia="仿宋_GB2312" w:cs="Times New Roman"/>
          <w:color w:val="auto"/>
          <w:sz w:val="32"/>
          <w:szCs w:val="32"/>
          <w:lang w:val="en-US" w:eastAsia="zh-CN"/>
        </w:rPr>
        <w:t>与浓水、实验室清洁废水一起排入市政污水管网，最终进入安康建民污水处理厂</w:t>
      </w:r>
      <w:r>
        <w:rPr>
          <w:rFonts w:ascii="仿宋_GB2312" w:eastAsia="仿宋_GB2312"/>
          <w:color w:val="auto"/>
          <w:sz w:val="32"/>
          <w:szCs w:val="32"/>
        </w:rPr>
        <w:t>集中处理</w:t>
      </w:r>
      <w:r>
        <w:rPr>
          <w:rFonts w:hint="eastAsia" w:ascii="仿宋_GB2312" w:eastAsia="仿宋_GB2312"/>
          <w:color w:val="auto"/>
          <w:sz w:val="32"/>
          <w:szCs w:val="32"/>
        </w:rPr>
        <w:t>。</w:t>
      </w:r>
    </w:p>
    <w:p>
      <w:pPr>
        <w:keepNext w:val="0"/>
        <w:keepLines w:val="0"/>
        <w:pageBreakBefore w:val="0"/>
        <w:kinsoku/>
        <w:wordWrap/>
        <w:overflowPunct/>
        <w:topLinePunct w:val="0"/>
        <w:bidi w:val="0"/>
        <w:spacing w:line="560" w:lineRule="exact"/>
        <w:ind w:firstLine="640" w:firstLineChars="200"/>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（三）落实噪声污染防治措施</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宋体" w:eastAsia="仿宋_GB2312" w:cs="Times New Roman"/>
          <w:color w:val="auto"/>
          <w:kern w:val="0"/>
          <w:sz w:val="32"/>
          <w:szCs w:val="32"/>
          <w:lang w:val="en-US" w:eastAsia="zh-CN" w:bidi="ar-SA"/>
        </w:rPr>
        <w:t>运营期噪声主要为实验仪器（包括超声清洗器、离心机、磁力搅拌器等）和风机运行噪声，通过选用低噪声设备，采取</w:t>
      </w:r>
      <w:r>
        <w:rPr>
          <w:rFonts w:hint="default" w:ascii="仿宋_GB2312" w:hAnsi="宋体" w:eastAsia="仿宋_GB2312" w:cs="Times New Roman"/>
          <w:color w:val="auto"/>
          <w:kern w:val="0"/>
          <w:sz w:val="32"/>
          <w:szCs w:val="32"/>
          <w:lang w:val="en-US" w:eastAsia="zh-CN" w:bidi="ar-SA"/>
        </w:rPr>
        <w:t>基础</w:t>
      </w:r>
      <w:r>
        <w:rPr>
          <w:rFonts w:hint="eastAsia" w:ascii="仿宋_GB2312" w:hAnsi="宋体" w:eastAsia="仿宋_GB2312" w:cs="Times New Roman"/>
          <w:color w:val="auto"/>
          <w:kern w:val="0"/>
          <w:sz w:val="32"/>
          <w:szCs w:val="32"/>
          <w:lang w:val="en-US" w:eastAsia="zh-CN" w:bidi="ar-SA"/>
        </w:rPr>
        <w:t>减振、风机出口</w:t>
      </w:r>
      <w:r>
        <w:rPr>
          <w:rFonts w:hint="default" w:ascii="仿宋_GB2312" w:hAnsi="宋体" w:eastAsia="仿宋_GB2312" w:cs="Times New Roman"/>
          <w:color w:val="auto"/>
          <w:kern w:val="0"/>
          <w:sz w:val="32"/>
          <w:szCs w:val="32"/>
          <w:lang w:val="en-US" w:eastAsia="zh-CN" w:bidi="ar-SA"/>
        </w:rPr>
        <w:t>柔性连接</w:t>
      </w:r>
      <w:r>
        <w:rPr>
          <w:rFonts w:hint="eastAsia" w:ascii="仿宋_GB2312" w:hAnsi="宋体" w:eastAsia="仿宋_GB2312" w:cs="Times New Roman"/>
          <w:color w:val="auto"/>
          <w:kern w:val="0"/>
          <w:sz w:val="32"/>
          <w:szCs w:val="32"/>
          <w:lang w:val="en-US" w:eastAsia="zh-CN" w:bidi="ar-SA"/>
        </w:rPr>
        <w:t>和墙体隔声等</w:t>
      </w:r>
      <w:r>
        <w:rPr>
          <w:rFonts w:hint="default" w:ascii="仿宋_GB2312" w:hAnsi="宋体" w:eastAsia="仿宋_GB2312" w:cs="Times New Roman"/>
          <w:color w:val="auto"/>
          <w:kern w:val="0"/>
          <w:sz w:val="32"/>
          <w:szCs w:val="32"/>
          <w:lang w:val="en-US" w:eastAsia="zh-CN" w:bidi="ar-SA"/>
        </w:rPr>
        <w:t>降噪</w:t>
      </w:r>
      <w:r>
        <w:rPr>
          <w:rFonts w:hint="eastAsia" w:ascii="仿宋_GB2312" w:hAnsi="宋体" w:eastAsia="仿宋_GB2312" w:cs="Times New Roman"/>
          <w:color w:val="auto"/>
          <w:kern w:val="0"/>
          <w:sz w:val="32"/>
          <w:szCs w:val="32"/>
          <w:lang w:val="en-US" w:eastAsia="zh-CN" w:bidi="ar-SA"/>
        </w:rPr>
        <w:t>措施后，厂界</w:t>
      </w:r>
      <w:r>
        <w:rPr>
          <w:rFonts w:hint="eastAsia" w:ascii="仿宋_GB2312" w:hAnsi="仿宋_GB2312" w:eastAsia="仿宋_GB2312" w:cs="仿宋_GB2312"/>
          <w:color w:val="auto"/>
          <w:sz w:val="32"/>
          <w:szCs w:val="32"/>
        </w:rPr>
        <w:t>四周及敏感点噪声应达到《工业企业厂界环境噪声排放标准》（GB12348-2008）</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类标准限值要求。</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楷体" w:hAnsi="楷体" w:eastAsia="楷体" w:cs="楷体"/>
          <w:b w:val="0"/>
          <w:bCs/>
          <w:color w:val="auto"/>
          <w:kern w:val="2"/>
          <w:sz w:val="32"/>
          <w:szCs w:val="32"/>
          <w:lang w:val="en-US" w:eastAsia="zh-CN" w:bidi="ar-SA"/>
        </w:rPr>
      </w:pPr>
      <w:r>
        <w:rPr>
          <w:rFonts w:hint="eastAsia" w:ascii="楷体" w:hAnsi="楷体" w:eastAsia="楷体" w:cs="楷体"/>
          <w:b w:val="0"/>
          <w:bCs/>
          <w:color w:val="auto"/>
          <w:kern w:val="2"/>
          <w:sz w:val="32"/>
          <w:szCs w:val="32"/>
          <w:lang w:val="en-US" w:eastAsia="zh-CN" w:bidi="ar-SA"/>
        </w:rPr>
        <w:t>（四）落实固体废物的分类收集与处置工作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仿宋_GB2312" w:hAnsi="宋体" w:eastAsia="仿宋_GB2312" w:cs="Times New Roman"/>
          <w:color w:val="auto"/>
          <w:kern w:val="0"/>
          <w:sz w:val="32"/>
          <w:szCs w:val="32"/>
          <w:lang w:val="en-US" w:eastAsia="zh-CN" w:bidi="ar-SA"/>
        </w:rPr>
      </w:pPr>
      <w:r>
        <w:rPr>
          <w:rFonts w:hint="eastAsia" w:ascii="仿宋_GB2312" w:hAnsi="宋体" w:eastAsia="仿宋_GB2312" w:cs="Times New Roman"/>
          <w:color w:val="auto"/>
          <w:kern w:val="0"/>
          <w:sz w:val="32"/>
          <w:szCs w:val="32"/>
          <w:lang w:val="en-US" w:eastAsia="zh-CN" w:bidi="ar-SA"/>
        </w:rPr>
        <w:t>项目运营期固体废物主要包括一般工业固废（纯水机废滤芯）、危险废物（实验废液、废化学试剂、废试剂瓶、废培养基、剩余样品、废活性炭、水处理设备沉淀底渣）和生活垃圾。废滤芯集中收集后由纯水机设备厂家回收。危险废物分别采用专用容器收集，暂存至危险废物暂存间，定期交由有资质单位处理。生活垃圾经垃圾桶分类收集后由环卫部门统一清运。</w:t>
      </w:r>
    </w:p>
    <w:p>
      <w:pPr>
        <w:keepNext w:val="0"/>
        <w:keepLines w:val="0"/>
        <w:pageBreakBefore w:val="0"/>
        <w:kinsoku/>
        <w:wordWrap/>
        <w:overflowPunct/>
        <w:topLinePunct w:val="0"/>
        <w:bidi w:val="0"/>
        <w:spacing w:line="560" w:lineRule="exact"/>
        <w:ind w:firstLine="640" w:firstLineChars="200"/>
        <w:jc w:val="left"/>
        <w:textAlignment w:val="auto"/>
        <w:rPr>
          <w:rFonts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三、有关事项要求</w:t>
      </w:r>
    </w:p>
    <w:p>
      <w:pPr>
        <w:pStyle w:val="9"/>
        <w:keepNext w:val="0"/>
        <w:keepLines w:val="0"/>
        <w:pageBreakBefore w:val="0"/>
        <w:kinsoku/>
        <w:wordWrap/>
        <w:overflowPunct/>
        <w:topLinePunct w:val="0"/>
        <w:bidi w:val="0"/>
        <w:spacing w:before="0" w:beforeAutospacing="0" w:after="0" w:afterAutospacing="0" w:line="560" w:lineRule="exact"/>
        <w:ind w:firstLine="64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9"/>
        <w:keepNext w:val="0"/>
        <w:keepLines w:val="0"/>
        <w:pageBreakBefore w:val="0"/>
        <w:kinsoku/>
        <w:wordWrap/>
        <w:overflowPunct/>
        <w:topLinePunct w:val="0"/>
        <w:bidi w:val="0"/>
        <w:spacing w:before="0" w:beforeAutospacing="0" w:after="0" w:afterAutospacing="0"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年，方决定该项目开工建设的，其环境影响报告表应当报我局重新审核。</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bookmarkStart w:id="0" w:name="_GoBack"/>
      <w:bookmarkEnd w:id="0"/>
    </w:p>
    <w:p>
      <w:pPr>
        <w:pStyle w:val="15"/>
        <w:keepNext w:val="0"/>
        <w:keepLines w:val="0"/>
        <w:pageBreakBefore w:val="0"/>
        <w:kinsoku/>
        <w:wordWrap/>
        <w:overflowPunct/>
        <w:topLinePunct w:val="0"/>
        <w:bidi w:val="0"/>
        <w:spacing w:line="560" w:lineRule="exact"/>
        <w:ind w:firstLine="480"/>
        <w:textAlignment w:val="auto"/>
        <w:rPr>
          <w:color w:val="auto"/>
        </w:rPr>
      </w:pPr>
    </w:p>
    <w:p>
      <w:pPr>
        <w:pStyle w:val="15"/>
        <w:keepNext w:val="0"/>
        <w:keepLines w:val="0"/>
        <w:pageBreakBefore w:val="0"/>
        <w:kinsoku/>
        <w:wordWrap/>
        <w:overflowPunct/>
        <w:topLinePunct w:val="0"/>
        <w:bidi w:val="0"/>
        <w:spacing w:line="560" w:lineRule="exact"/>
        <w:ind w:firstLine="480"/>
        <w:textAlignment w:val="auto"/>
        <w:rPr>
          <w:color w:val="auto"/>
        </w:rPr>
      </w:pPr>
    </w:p>
    <w:p>
      <w:pPr>
        <w:keepNext w:val="0"/>
        <w:keepLines w:val="0"/>
        <w:pageBreakBefore w:val="0"/>
        <w:kinsoku/>
        <w:wordWrap/>
        <w:overflowPunct/>
        <w:topLinePunct w:val="0"/>
        <w:bidi w:val="0"/>
        <w:spacing w:line="560" w:lineRule="exact"/>
        <w:ind w:firstLine="4160" w:firstLineChars="1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安康市生态环境局高新分局</w:t>
      </w:r>
      <w:r>
        <w:rPr>
          <w:rFonts w:ascii="仿宋_GB2312" w:hAnsi="仿宋_GB2312" w:eastAsia="仿宋_GB2312" w:cs="仿宋_GB2312"/>
          <w:color w:val="auto"/>
          <w:sz w:val="32"/>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bidi w:val="0"/>
        <w:spacing w:line="560" w:lineRule="exact"/>
        <w:jc w:val="center"/>
        <w:textAlignment w:val="auto"/>
        <w:rPr>
          <w:rFonts w:ascii="方正小标宋简体" w:eastAsia="方正小标宋简体"/>
          <w:color w:val="auto"/>
          <w:sz w:val="44"/>
          <w:szCs w:val="44"/>
        </w:rPr>
      </w:pPr>
    </w:p>
    <w:p>
      <w:pPr>
        <w:keepNext w:val="0"/>
        <w:keepLines w:val="0"/>
        <w:pageBreakBefore w:val="0"/>
        <w:kinsoku/>
        <w:wordWrap/>
        <w:overflowPunct/>
        <w:topLinePunct w:val="0"/>
        <w:bidi w:val="0"/>
        <w:spacing w:line="560" w:lineRule="exact"/>
        <w:textAlignment w:val="auto"/>
        <w:rPr>
          <w:color w:val="auto"/>
        </w:rPr>
      </w:pPr>
    </w:p>
    <w:p>
      <w:pPr>
        <w:keepNext w:val="0"/>
        <w:keepLines w:val="0"/>
        <w:pageBreakBefore w:val="0"/>
        <w:kinsoku/>
        <w:wordWrap/>
        <w:overflowPunct/>
        <w:topLinePunct w:val="0"/>
        <w:bidi w:val="0"/>
        <w:spacing w:line="560" w:lineRule="exact"/>
        <w:ind w:firstLine="630" w:firstLineChars="300"/>
        <w:jc w:val="center"/>
        <w:textAlignment w:val="auto"/>
        <w:rPr>
          <w:color w:val="auto"/>
        </w:rPr>
      </w:pPr>
    </w:p>
    <w:p>
      <w:pPr>
        <w:keepNext w:val="0"/>
        <w:keepLines w:val="0"/>
        <w:pageBreakBefore w:val="0"/>
        <w:kinsoku/>
        <w:wordWrap/>
        <w:overflowPunct/>
        <w:topLinePunct w:val="0"/>
        <w:bidi w:val="0"/>
        <w:spacing w:line="560" w:lineRule="exact"/>
        <w:jc w:val="center"/>
        <w:textAlignment w:val="auto"/>
        <w:rPr>
          <w:color w:val="auto"/>
        </w:rPr>
      </w:pP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2U2ZThjMjg0MTFlZTk0YzcyNjdjY2I1MjkyNmQifQ=="/>
  </w:docVars>
  <w:rsids>
    <w:rsidRoot w:val="56655531"/>
    <w:rsid w:val="001A5E79"/>
    <w:rsid w:val="001E6910"/>
    <w:rsid w:val="00200041"/>
    <w:rsid w:val="002476B1"/>
    <w:rsid w:val="002B2559"/>
    <w:rsid w:val="00324A74"/>
    <w:rsid w:val="003827D4"/>
    <w:rsid w:val="00576319"/>
    <w:rsid w:val="005F0FEE"/>
    <w:rsid w:val="00660E7D"/>
    <w:rsid w:val="006D3A5B"/>
    <w:rsid w:val="00736E15"/>
    <w:rsid w:val="00783BC4"/>
    <w:rsid w:val="007C1560"/>
    <w:rsid w:val="009F63C1"/>
    <w:rsid w:val="00A65BF4"/>
    <w:rsid w:val="00B3590B"/>
    <w:rsid w:val="00B93254"/>
    <w:rsid w:val="00C131DD"/>
    <w:rsid w:val="00CB055A"/>
    <w:rsid w:val="00D04B99"/>
    <w:rsid w:val="00DD6EF2"/>
    <w:rsid w:val="00ED5D19"/>
    <w:rsid w:val="00EF7C88"/>
    <w:rsid w:val="00F02CF2"/>
    <w:rsid w:val="00FF0315"/>
    <w:rsid w:val="03B409DD"/>
    <w:rsid w:val="04452E47"/>
    <w:rsid w:val="049237D4"/>
    <w:rsid w:val="04DD2902"/>
    <w:rsid w:val="06C21D46"/>
    <w:rsid w:val="077B0857"/>
    <w:rsid w:val="09101466"/>
    <w:rsid w:val="0FDA17CC"/>
    <w:rsid w:val="10264A11"/>
    <w:rsid w:val="104C5C69"/>
    <w:rsid w:val="11401B02"/>
    <w:rsid w:val="14B7738D"/>
    <w:rsid w:val="16E15B36"/>
    <w:rsid w:val="170014B4"/>
    <w:rsid w:val="19297320"/>
    <w:rsid w:val="1BCC6C13"/>
    <w:rsid w:val="20452C91"/>
    <w:rsid w:val="210C52CF"/>
    <w:rsid w:val="21177E63"/>
    <w:rsid w:val="22A55C69"/>
    <w:rsid w:val="23215A26"/>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2E70D24"/>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ind w:firstLine="420" w:firstLineChars="200"/>
    </w:pPr>
  </w:style>
  <w:style w:type="paragraph" w:styleId="5">
    <w:name w:val="Body Text"/>
    <w:basedOn w:val="1"/>
    <w:next w:val="1"/>
    <w:link w:val="19"/>
    <w:qFormat/>
    <w:uiPriority w:val="0"/>
    <w:pPr>
      <w:widowControl/>
      <w:snapToGrid w:val="0"/>
      <w:spacing w:before="60" w:after="160" w:line="259" w:lineRule="auto"/>
      <w:ind w:right="113"/>
    </w:pPr>
    <w:rPr>
      <w:kern w:val="0"/>
      <w:sz w:val="18"/>
      <w:szCs w:val="20"/>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Default"/>
    <w:basedOn w:val="14"/>
    <w:qFormat/>
    <w:uiPriority w:val="0"/>
    <w:rPr>
      <w:rFonts w:cs="宋体"/>
      <w:color w:val="000000"/>
      <w:sz w:val="24"/>
      <w:szCs w:val="24"/>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6">
    <w:name w:val="p0"/>
    <w:basedOn w:val="1"/>
    <w:qFormat/>
    <w:uiPriority w:val="0"/>
    <w:pPr>
      <w:widowControl/>
      <w:ind w:firstLine="480"/>
      <w:jc w:val="left"/>
    </w:pPr>
    <w:rPr>
      <w:rFonts w:ascii="宋体" w:hAnsi="宋体" w:cs="宋体"/>
      <w:kern w:val="0"/>
      <w:sz w:val="20"/>
      <w:szCs w:val="20"/>
    </w:rPr>
  </w:style>
  <w:style w:type="paragraph" w:customStyle="1" w:styleId="17">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8">
    <w:name w:val="正文1"/>
    <w:basedOn w:val="1"/>
    <w:qFormat/>
    <w:uiPriority w:val="0"/>
    <w:pPr>
      <w:autoSpaceDE w:val="0"/>
      <w:autoSpaceDN w:val="0"/>
      <w:adjustRightInd w:val="0"/>
      <w:snapToGrid w:val="0"/>
      <w:spacing w:line="360" w:lineRule="auto"/>
      <w:ind w:firstLine="480" w:firstLineChars="200"/>
    </w:pPr>
    <w:rPr>
      <w:kern w:val="0"/>
      <w:sz w:val="24"/>
    </w:rPr>
  </w:style>
  <w:style w:type="character" w:customStyle="1" w:styleId="19">
    <w:name w:val="正文文本 Char"/>
    <w:basedOn w:val="11"/>
    <w:link w:val="5"/>
    <w:qFormat/>
    <w:uiPriority w:val="0"/>
    <w:rPr>
      <w:sz w:val="18"/>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1475</Words>
  <Characters>1559</Characters>
  <Lines>12</Lines>
  <Paragraphs>3</Paragraphs>
  <TotalTime>0</TotalTime>
  <ScaleCrop>false</ScaleCrop>
  <LinksUpToDate>false</LinksUpToDate>
  <CharactersWithSpaces>1608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2022-10-19T07:18:00Z</cp:lastPrinted>
  <dcterms:modified xsi:type="dcterms:W3CDTF">2022-12-07T01:34:37Z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315B124CDF2D4A259A654C1227A9B766</vt:lpwstr>
  </property>
</Properties>
</file>