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right="-147" w:rightChars="-70"/>
        <w:jc w:val="left"/>
        <w:textAlignment w:val="auto"/>
        <w:rPr>
          <w:rFonts w:hint="eastAsia" w:ascii="方正小标宋简体" w:eastAsia="方正小标宋简体"/>
          <w:color w:val="FF0000"/>
          <w:spacing w:val="119"/>
          <w:w w:val="45"/>
          <w:sz w:val="72"/>
          <w:szCs w:val="72"/>
        </w:rPr>
      </w:pPr>
    </w:p>
    <w:p>
      <w:pPr>
        <w:keepNext w:val="0"/>
        <w:keepLines w:val="0"/>
        <w:pageBreakBefore w:val="0"/>
        <w:kinsoku/>
        <w:wordWrap/>
        <w:overflowPunct/>
        <w:topLinePunct w:val="0"/>
        <w:autoSpaceDE/>
        <w:autoSpaceDN/>
        <w:bidi w:val="0"/>
        <w:adjustRightInd/>
        <w:snapToGrid/>
        <w:spacing w:line="580" w:lineRule="exact"/>
        <w:ind w:right="-147" w:rightChars="-70"/>
        <w:jc w:val="left"/>
        <w:textAlignment w:val="auto"/>
        <w:rPr>
          <w:rFonts w:hint="eastAsia" w:ascii="方正小标宋简体" w:hAnsi="Times New Roman" w:eastAsia="方正小标宋简体" w:cs="Times New Roman"/>
          <w:color w:val="FF0000"/>
          <w:spacing w:val="119"/>
          <w:w w:val="45"/>
          <w:sz w:val="72"/>
          <w:szCs w:val="72"/>
        </w:rPr>
      </w:pPr>
    </w:p>
    <w:p>
      <w:pPr>
        <w:keepNext w:val="0"/>
        <w:keepLines w:val="0"/>
        <w:pageBreakBefore w:val="0"/>
        <w:widowControl w:val="0"/>
        <w:kinsoku/>
        <w:wordWrap/>
        <w:overflowPunct/>
        <w:topLinePunct w:val="0"/>
        <w:autoSpaceDE/>
        <w:autoSpaceDN/>
        <w:bidi w:val="0"/>
        <w:adjustRightInd/>
        <w:snapToGrid/>
        <w:spacing w:line="1400" w:lineRule="exact"/>
        <w:ind w:right="-147" w:rightChars="-70"/>
        <w:jc w:val="left"/>
        <w:textAlignment w:val="auto"/>
        <w:rPr>
          <w:rFonts w:hint="default" w:ascii="方正小标宋简体" w:eastAsia="方正小标宋简体"/>
          <w:color w:val="FF0000"/>
          <w:spacing w:val="79"/>
          <w:w w:val="45"/>
          <w:sz w:val="120"/>
          <w:szCs w:val="120"/>
          <w:lang w:val="en-US"/>
        </w:rPr>
      </w:pPr>
      <w:r>
        <w:rPr>
          <w:rFonts w:hint="eastAsia" w:ascii="方正小标宋简体" w:eastAsia="方正小标宋简体"/>
          <w:color w:val="FF0000"/>
          <w:spacing w:val="45"/>
          <w:w w:val="45"/>
          <w:sz w:val="120"/>
          <w:szCs w:val="120"/>
        </w:rPr>
        <w:t>安康</w:t>
      </w:r>
      <w:r>
        <w:rPr>
          <w:rFonts w:hint="eastAsia" w:ascii="方正小标宋简体" w:eastAsia="方正小标宋简体"/>
          <w:color w:val="FF0000"/>
          <w:spacing w:val="45"/>
          <w:w w:val="45"/>
          <w:sz w:val="120"/>
          <w:szCs w:val="120"/>
          <w:lang w:eastAsia="zh-CN"/>
        </w:rPr>
        <w:t>市生态</w:t>
      </w:r>
      <w:r>
        <w:rPr>
          <w:rFonts w:hint="eastAsia" w:ascii="方正小标宋简体" w:eastAsia="方正小标宋简体"/>
          <w:color w:val="FF0000"/>
          <w:spacing w:val="45"/>
          <w:w w:val="45"/>
          <w:sz w:val="120"/>
          <w:szCs w:val="120"/>
        </w:rPr>
        <w:t>环境</w:t>
      </w:r>
      <w:r>
        <w:rPr>
          <w:rFonts w:hint="eastAsia" w:ascii="方正小标宋简体" w:eastAsia="方正小标宋简体"/>
          <w:color w:val="FF0000"/>
          <w:spacing w:val="45"/>
          <w:w w:val="45"/>
          <w:sz w:val="120"/>
          <w:szCs w:val="120"/>
          <w:lang w:eastAsia="zh-CN"/>
        </w:rPr>
        <w:t>局</w:t>
      </w:r>
      <w:r>
        <w:rPr>
          <w:rFonts w:hint="eastAsia" w:ascii="方正小标宋简体" w:eastAsia="方正小标宋简体"/>
          <w:color w:val="FF0000"/>
          <w:spacing w:val="45"/>
          <w:w w:val="45"/>
          <w:sz w:val="120"/>
          <w:szCs w:val="120"/>
        </w:rPr>
        <w:t>高新</w:t>
      </w:r>
      <w:r>
        <w:rPr>
          <w:rFonts w:hint="eastAsia" w:ascii="方正小标宋简体" w:eastAsia="方正小标宋简体"/>
          <w:color w:val="FF0000"/>
          <w:spacing w:val="45"/>
          <w:w w:val="45"/>
          <w:sz w:val="120"/>
          <w:szCs w:val="120"/>
          <w:lang w:eastAsia="zh-CN"/>
        </w:rPr>
        <w:t>分</w:t>
      </w:r>
      <w:r>
        <w:rPr>
          <w:rFonts w:hint="eastAsia" w:ascii="方正小标宋简体" w:eastAsia="方正小标宋简体"/>
          <w:color w:val="FF0000"/>
          <w:spacing w:val="79"/>
          <w:w w:val="45"/>
          <w:sz w:val="120"/>
          <w:szCs w:val="120"/>
          <w:lang w:eastAsia="zh-CN"/>
        </w:rPr>
        <w:t>局</w:t>
      </w:r>
      <w:r>
        <w:rPr>
          <w:rFonts w:hint="eastAsia" w:ascii="方正小标宋简体" w:eastAsia="方正小标宋简体"/>
          <w:color w:val="FF0000"/>
          <w:spacing w:val="79"/>
          <w:w w:val="45"/>
          <w:sz w:val="120"/>
          <w:szCs w:val="120"/>
          <w:lang w:val="en-US" w:eastAsia="zh-CN"/>
        </w:rPr>
        <w:t>文件</w:t>
      </w:r>
    </w:p>
    <w:p>
      <w:pPr>
        <w:keepNext w:val="0"/>
        <w:keepLines w:val="0"/>
        <w:pageBreakBefore w:val="0"/>
        <w:kinsoku/>
        <w:wordWrap/>
        <w:overflowPunct/>
        <w:topLinePunct w:val="0"/>
        <w:autoSpaceDE/>
        <w:autoSpaceDN/>
        <w:bidi w:val="0"/>
        <w:adjustRightInd/>
        <w:snapToGrid/>
        <w:spacing w:line="580" w:lineRule="exact"/>
        <w:jc w:val="both"/>
        <w:textAlignment w:val="auto"/>
        <w:rPr>
          <w:rFonts w:ascii="方正小标宋简体" w:eastAsia="方正小标宋简体"/>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rPr>
      </w:pPr>
      <w:r>
        <w:rPr>
          <w:rFonts w:hint="eastAsia" w:ascii="仿宋_GB2312" w:eastAsia="仿宋_GB2312"/>
          <w:sz w:val="32"/>
          <w:szCs w:val="32"/>
        </w:rPr>
        <w:t>安高新环</w:t>
      </w:r>
      <w:r>
        <w:rPr>
          <w:rFonts w:hint="eastAsia" w:ascii="仿宋_GB2312" w:eastAsia="仿宋_GB2312"/>
          <w:sz w:val="32"/>
          <w:szCs w:val="32"/>
          <w:lang w:val="en-US" w:eastAsia="zh-CN"/>
        </w:rPr>
        <w:t>发</w:t>
      </w:r>
      <w:r>
        <w:rPr>
          <w:rFonts w:hint="eastAsia" w:ascii="仿宋_GB2312" w:eastAsia="仿宋_GB2312"/>
          <w:sz w:val="32"/>
          <w:szCs w:val="32"/>
        </w:rPr>
        <w:t>〔</w:t>
      </w:r>
      <w:r>
        <w:rPr>
          <w:rFonts w:hint="eastAsia" w:ascii="仿宋_GB2312" w:eastAsia="仿宋_GB2312"/>
          <w:sz w:val="32"/>
          <w:szCs w:val="32"/>
          <w:lang w:val="en-US" w:eastAsia="zh-CN"/>
        </w:rPr>
        <w:t>2021</w:t>
      </w:r>
      <w:r>
        <w:rPr>
          <w:rFonts w:hint="eastAsia" w:ascii="仿宋_GB2312" w:eastAsia="仿宋_GB2312"/>
          <w:sz w:val="32"/>
          <w:szCs w:val="32"/>
        </w:rPr>
        <w:t>〕</w:t>
      </w:r>
      <w:r>
        <w:rPr>
          <w:rFonts w:hint="eastAsia" w:ascii="仿宋_GB2312" w:eastAsia="仿宋_GB2312"/>
          <w:sz w:val="32"/>
          <w:szCs w:val="32"/>
          <w:lang w:val="en-US" w:eastAsia="zh-CN"/>
        </w:rPr>
        <w:t>97</w:t>
      </w:r>
      <w:r>
        <w:rPr>
          <w:rFonts w:hint="eastAsia" w:ascii="仿宋_GB2312" w:eastAsia="仿宋_GB2312"/>
          <w:sz w:val="32"/>
          <w:szCs w:val="32"/>
        </w:rPr>
        <w:t>号</w:t>
      </w:r>
    </w:p>
    <w:p>
      <w:pPr>
        <w:keepNext w:val="0"/>
        <w:keepLines w:val="0"/>
        <w:pageBreakBefore w:val="0"/>
        <w:kinsoku/>
        <w:wordWrap/>
        <w:overflowPunct/>
        <w:topLinePunct w:val="0"/>
        <w:autoSpaceDE/>
        <w:autoSpaceDN/>
        <w:bidi w:val="0"/>
        <w:adjustRightInd/>
        <w:snapToGrid/>
        <w:spacing w:line="580" w:lineRule="exact"/>
        <w:textAlignment w:val="auto"/>
        <w:rPr>
          <w:rFonts w:ascii="方正小标宋简体" w:eastAsia="方正小标宋简体"/>
          <w:sz w:val="44"/>
          <w:szCs w:val="44"/>
        </w:rPr>
      </w:pPr>
      <w:r>
        <w:rPr>
          <w:rFonts w:ascii="方正小标宋简体"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29210</wp:posOffset>
                </wp:positionV>
                <wp:extent cx="5829300" cy="635"/>
                <wp:effectExtent l="0" t="10795" r="0" b="17145"/>
                <wp:wrapNone/>
                <wp:docPr id="3" name="直接箭头连接符 3"/>
                <wp:cNvGraphicFramePr/>
                <a:graphic xmlns:a="http://schemas.openxmlformats.org/drawingml/2006/main">
                  <a:graphicData uri="http://schemas.microsoft.com/office/word/2010/wordprocessingShape">
                    <wps:wsp>
                      <wps:cNvCnPr/>
                      <wps:spPr>
                        <a:xfrm>
                          <a:off x="0" y="0"/>
                          <a:ext cx="5829300" cy="635"/>
                        </a:xfrm>
                        <a:prstGeom prst="straightConnector1">
                          <a:avLst/>
                        </a:prstGeom>
                        <a:ln w="2222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15pt;margin-top:2.3pt;height:0.05pt;width:459pt;z-index:251660288;mso-width-relative:page;mso-height-relative:page;" filled="f" stroked="t" coordsize="21600,21600" o:gfxdata="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XhB71gAAAAcBAAAPAAAAAAAAAAEAIAAAACIAAABkcnMv&#10;ZG93bnJldi54bWxQSwECFAAUAAAACACHTuJASpnK3AUCAAD9AwAADgAAAAAAAAABACAAAAAlAQAA&#10;ZHJzL2Uyb0RvYy54bWxQSwUGAAAAAAYABgBZAQAAnAUAAAAA&#10;">
                <v:fill on="f" focussize="0,0"/>
                <v:stroke weight="1.7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安康市生态环境局高新分局</w:t>
      </w:r>
    </w:p>
    <w:p>
      <w:pPr>
        <w:keepNext w:val="0"/>
        <w:keepLines w:val="0"/>
        <w:pageBreakBefore w:val="0"/>
        <w:widowControl w:val="0"/>
        <w:kinsoku/>
        <w:wordWrap/>
        <w:overflowPunct/>
        <w:topLinePunct w:val="0"/>
        <w:autoSpaceDE/>
        <w:autoSpaceDN/>
        <w:bidi w:val="0"/>
        <w:adjustRightInd/>
        <w:snapToGrid/>
        <w:spacing w:line="640" w:lineRule="exact"/>
        <w:ind w:left="-178" w:leftChars="-85"/>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关于安康水务集团水质及生物检测有限公司</w:t>
      </w:r>
    </w:p>
    <w:p>
      <w:pPr>
        <w:keepNext w:val="0"/>
        <w:keepLines w:val="0"/>
        <w:pageBreakBefore w:val="0"/>
        <w:widowControl w:val="0"/>
        <w:kinsoku/>
        <w:wordWrap/>
        <w:overflowPunct/>
        <w:topLinePunct w:val="0"/>
        <w:autoSpaceDE/>
        <w:autoSpaceDN/>
        <w:bidi w:val="0"/>
        <w:adjustRightInd/>
        <w:snapToGrid/>
        <w:spacing w:line="640" w:lineRule="exact"/>
        <w:ind w:left="-178" w:leftChars="-85"/>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检测中心建设项目环境影响报告表的批复</w:t>
      </w:r>
    </w:p>
    <w:p>
      <w:pPr>
        <w:pStyle w:val="5"/>
        <w:rPr>
          <w:rFonts w:hint="eastAsia"/>
        </w:rPr>
      </w:pPr>
    </w:p>
    <w:p>
      <w:pPr>
        <w:keepNext w:val="0"/>
        <w:keepLines w:val="0"/>
        <w:pageBreakBefore w:val="0"/>
        <w:kinsoku/>
        <w:wordWrap/>
        <w:overflowPunct/>
        <w:topLinePunct w:val="0"/>
        <w:bidi w:val="0"/>
        <w:spacing w:line="580" w:lineRule="exact"/>
        <w:ind w:left="-178" w:leftChars="-85"/>
        <w:jc w:val="left"/>
        <w:rPr>
          <w:rFonts w:hint="eastAsia" w:ascii="仿宋_GB2312" w:eastAsia="仿宋_GB2312"/>
          <w:sz w:val="32"/>
          <w:szCs w:val="32"/>
        </w:rPr>
      </w:pPr>
      <w:r>
        <w:rPr>
          <w:rFonts w:hint="eastAsia" w:ascii="仿宋_GB2312" w:eastAsia="仿宋_GB2312"/>
          <w:sz w:val="32"/>
          <w:szCs w:val="32"/>
        </w:rPr>
        <w:t>安康水务集团水质及生物检测有限公司 ：</w:t>
      </w:r>
    </w:p>
    <w:p>
      <w:pPr>
        <w:keepNext w:val="0"/>
        <w:keepLines w:val="0"/>
        <w:pageBreakBefore w:val="0"/>
        <w:kinsoku/>
        <w:wordWrap/>
        <w:overflowPunct/>
        <w:topLinePunct w:val="0"/>
        <w:bidi w:val="0"/>
        <w:spacing w:line="580" w:lineRule="exact"/>
        <w:ind w:left="-178" w:leftChars="-85" w:firstLine="640" w:firstLineChars="200"/>
        <w:rPr>
          <w:rFonts w:hint="eastAsia" w:ascii="仿宋_GB2312" w:eastAsia="仿宋_GB2312"/>
          <w:sz w:val="32"/>
          <w:szCs w:val="32"/>
        </w:rPr>
      </w:pPr>
      <w:r>
        <w:rPr>
          <w:rFonts w:hint="eastAsia" w:ascii="仿宋_GB2312" w:eastAsia="仿宋_GB2312"/>
          <w:sz w:val="32"/>
          <w:szCs w:val="32"/>
        </w:rPr>
        <w:t>你公司上报的《安康水务集团水质及生物检测有限公司检测中心建设项目环境影响报告表审批的请示》和相关资料</w:t>
      </w:r>
      <w:r>
        <w:rPr>
          <w:rFonts w:hint="eastAsia" w:ascii="仿宋_GB2312" w:eastAsia="仿宋_GB2312"/>
          <w:sz w:val="32"/>
          <w:szCs w:val="32"/>
          <w:lang w:val="en-US" w:eastAsia="zh-CN"/>
        </w:rPr>
        <w:t>已</w:t>
      </w:r>
      <w:r>
        <w:rPr>
          <w:rFonts w:hint="eastAsia" w:ascii="仿宋_GB2312" w:eastAsia="仿宋_GB2312"/>
          <w:sz w:val="32"/>
          <w:szCs w:val="32"/>
        </w:rPr>
        <w:t>收悉。经研究，现批复如下：</w:t>
      </w:r>
    </w:p>
    <w:p>
      <w:pPr>
        <w:keepNext w:val="0"/>
        <w:keepLines w:val="0"/>
        <w:pageBreakBefore w:val="0"/>
        <w:numPr>
          <w:ilvl w:val="0"/>
          <w:numId w:val="1"/>
        </w:numPr>
        <w:kinsoku/>
        <w:wordWrap/>
        <w:overflowPunct/>
        <w:topLinePunct w:val="0"/>
        <w:bidi w:val="0"/>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项目概况</w:t>
      </w:r>
    </w:p>
    <w:p>
      <w:pPr>
        <w:pStyle w:val="16"/>
        <w:keepNext w:val="0"/>
        <w:keepLines w:val="0"/>
        <w:pageBreakBefore w:val="0"/>
        <w:kinsoku/>
        <w:wordWrap/>
        <w:overflowPunct/>
        <w:topLinePunct w:val="0"/>
        <w:bidi w:val="0"/>
        <w:spacing w:line="580" w:lineRule="exact"/>
        <w:ind w:firstLine="640"/>
        <w:rPr>
          <w:rFonts w:ascii="仿宋_GB2312" w:eastAsia="仿宋_GB2312"/>
          <w:kern w:val="2"/>
          <w:sz w:val="32"/>
          <w:szCs w:val="32"/>
        </w:rPr>
      </w:pPr>
      <w:r>
        <w:rPr>
          <w:rFonts w:hint="eastAsia" w:ascii="仿宋_GB2312" w:eastAsia="仿宋_GB2312"/>
          <w:kern w:val="2"/>
          <w:sz w:val="32"/>
          <w:szCs w:val="32"/>
        </w:rPr>
        <w:t>安康水务集团水质及生物检测有限公司检测中心建设项目位于陕西省安康市高新区创业西路东侧，项目使用安康市自来水公司江北水厂建设的综合办公楼第5层进行实验室建设（综合办公楼共6层，隶属于安康水务集团），办公楼东北侧为江北水厂净水工程，南侧为酱园，西侧为逸华天然气公司天然气储备站，东侧为安康北医大制药股份有限公司</w:t>
      </w:r>
      <w:r>
        <w:rPr>
          <w:rFonts w:hint="eastAsia" w:ascii="仿宋_GB2312" w:eastAsia="仿宋_GB2312"/>
          <w:kern w:val="2"/>
          <w:sz w:val="32"/>
          <w:szCs w:val="32"/>
          <w:lang w:eastAsia="zh-CN"/>
        </w:rPr>
        <w:t>，</w:t>
      </w:r>
      <w:r>
        <w:rPr>
          <w:rFonts w:hint="eastAsia" w:ascii="仿宋_GB2312" w:eastAsia="仿宋_GB2312"/>
          <w:kern w:val="2"/>
          <w:sz w:val="32"/>
          <w:szCs w:val="32"/>
        </w:rPr>
        <w:t>项目总建筑面积350m</w:t>
      </w:r>
      <w:r>
        <w:rPr>
          <w:rFonts w:hint="eastAsia" w:ascii="仿宋_GB2312" w:eastAsia="仿宋_GB2312"/>
          <w:kern w:val="2"/>
          <w:sz w:val="32"/>
          <w:szCs w:val="32"/>
          <w:vertAlign w:val="superscript"/>
        </w:rPr>
        <w:t>2</w:t>
      </w:r>
      <w:r>
        <w:rPr>
          <w:rFonts w:hint="eastAsia" w:ascii="仿宋_GB2312" w:eastAsia="仿宋_GB2312"/>
          <w:kern w:val="2"/>
          <w:sz w:val="32"/>
          <w:szCs w:val="32"/>
          <w:lang w:eastAsia="zh-CN"/>
        </w:rPr>
        <w:t>。</w:t>
      </w:r>
      <w:r>
        <w:rPr>
          <w:rFonts w:hint="eastAsia" w:ascii="仿宋_GB2312" w:eastAsia="仿宋_GB2312"/>
          <w:kern w:val="2"/>
          <w:sz w:val="32"/>
          <w:szCs w:val="32"/>
        </w:rPr>
        <w:t>投入气相色谱仪、原子吸收分光光度计、离子色谱仪等专业检测设备建设检测中心，主要进行水质和微生物检测。项目总投资100万元，其中环保投资10万元，环保投资占总投资比例为10%。</w:t>
      </w:r>
    </w:p>
    <w:p>
      <w:pPr>
        <w:pStyle w:val="16"/>
        <w:keepNext w:val="0"/>
        <w:keepLines w:val="0"/>
        <w:pageBreakBefore w:val="0"/>
        <w:kinsoku/>
        <w:wordWrap/>
        <w:overflowPunct/>
        <w:topLinePunct w:val="0"/>
        <w:bidi w:val="0"/>
        <w:spacing w:line="580" w:lineRule="exact"/>
        <w:ind w:firstLine="640"/>
        <w:rPr>
          <w:rFonts w:hint="eastAsia" w:ascii="仿宋_GB2312" w:eastAsia="仿宋_GB2312"/>
          <w:kern w:val="2"/>
          <w:sz w:val="32"/>
          <w:szCs w:val="32"/>
        </w:rPr>
      </w:pPr>
      <w:r>
        <w:rPr>
          <w:rFonts w:hint="eastAsia" w:ascii="仿宋_GB2312" w:eastAsia="仿宋_GB2312"/>
          <w:kern w:val="2"/>
          <w:sz w:val="32"/>
          <w:szCs w:val="32"/>
        </w:rPr>
        <w:t>经审查，该项目符合国家产业政策，在采取报告表提出的污染防治措施后，污染物可做到达标排放。该项目环境影响报告表中所列建设项目的性质、规模、地点、生产工艺和拟采取的环境保护措施可作为项目实施的依据。</w:t>
      </w:r>
    </w:p>
    <w:p>
      <w:pPr>
        <w:keepNext w:val="0"/>
        <w:keepLines w:val="0"/>
        <w:pageBreakBefore w:val="0"/>
        <w:kinsoku/>
        <w:wordWrap/>
        <w:overflowPunct/>
        <w:topLinePunct w:val="0"/>
        <w:bidi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二、项目建设与运营管理中应重点做好的工作</w:t>
      </w:r>
    </w:p>
    <w:p>
      <w:pPr>
        <w:pStyle w:val="11"/>
        <w:keepNext w:val="0"/>
        <w:keepLines w:val="0"/>
        <w:pageBreakBefore w:val="0"/>
        <w:kinsoku/>
        <w:wordWrap/>
        <w:overflowPunct/>
        <w:topLinePunct w:val="0"/>
        <w:bidi w:val="0"/>
        <w:snapToGrid w:val="0"/>
        <w:spacing w:line="580" w:lineRule="exact"/>
        <w:ind w:firstLine="643" w:firstLineChars="200"/>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（一）落实大气污染防治措施</w:t>
      </w:r>
    </w:p>
    <w:p>
      <w:pPr>
        <w:keepNext w:val="0"/>
        <w:keepLines w:val="0"/>
        <w:pageBreakBefore w:val="0"/>
        <w:kinsoku/>
        <w:wordWrap/>
        <w:overflowPunct/>
        <w:topLinePunct w:val="0"/>
        <w:bidi w:val="0"/>
        <w:spacing w:line="580" w:lineRule="exact"/>
        <w:ind w:firstLine="614" w:firstLineChars="192"/>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项目运营期废气主要为实验废气（酸雾和挥发性有机废气）。实验废气由通风橱收集后，经专用管道通过活性炭吸附装置处理达到《大气污染物综合排放标准》（G</w:t>
      </w:r>
      <w:r>
        <w:rPr>
          <w:rFonts w:ascii="仿宋_GB2312" w:hAnsi="仿宋_GB2312" w:eastAsia="仿宋_GB2312" w:cs="仿宋_GB2312"/>
          <w:sz w:val="32"/>
          <w:szCs w:val="32"/>
        </w:rPr>
        <w:t>B16297-1996）</w:t>
      </w:r>
      <w:r>
        <w:rPr>
          <w:rFonts w:hint="eastAsia" w:ascii="仿宋_GB2312" w:hAnsi="仿宋_GB2312" w:eastAsia="仿宋_GB2312" w:cs="仿宋_GB2312"/>
          <w:sz w:val="32"/>
          <w:szCs w:val="32"/>
        </w:rPr>
        <w:t>限值要求后，屋顶高空排放（排放高度高于2</w:t>
      </w:r>
      <w:r>
        <w:rPr>
          <w:rFonts w:ascii="仿宋_GB2312" w:hAnsi="仿宋_GB2312" w:eastAsia="仿宋_GB2312" w:cs="仿宋_GB2312"/>
          <w:sz w:val="32"/>
          <w:szCs w:val="32"/>
        </w:rPr>
        <w:t>0m）</w:t>
      </w:r>
      <w:r>
        <w:rPr>
          <w:rFonts w:hint="eastAsia" w:ascii="仿宋_GB2312" w:hAnsi="仿宋_GB2312" w:eastAsia="仿宋_GB2312" w:cs="仿宋_GB2312"/>
          <w:sz w:val="32"/>
          <w:szCs w:val="32"/>
        </w:rPr>
        <w:t>，此外涉挥发性气体的实验操作必须在实验室通风橱内进行。</w:t>
      </w:r>
    </w:p>
    <w:p>
      <w:pPr>
        <w:keepNext w:val="0"/>
        <w:keepLines w:val="0"/>
        <w:pageBreakBefore w:val="0"/>
        <w:kinsoku/>
        <w:wordWrap/>
        <w:overflowPunct/>
        <w:topLinePunct w:val="0"/>
        <w:bidi w:val="0"/>
        <w:spacing w:line="580" w:lineRule="exact"/>
        <w:ind w:firstLine="617" w:firstLineChars="192"/>
        <w:textAlignment w:val="baseline"/>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（二）落实水污染防治措施</w:t>
      </w:r>
    </w:p>
    <w:p>
      <w:pPr>
        <w:keepNext w:val="0"/>
        <w:keepLines w:val="0"/>
        <w:pageBreakBefore w:val="0"/>
        <w:kinsoku/>
        <w:wordWrap/>
        <w:overflowPunct/>
        <w:topLinePunct w:val="0"/>
        <w:bidi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生活污水和实验室地面清洁废水经化粪池处理后，由市政污水管网排入安康江北污水处理厂。纯水制备产生的浓水、设备及仪器后端清洗废水经自建污水处理设施“</w:t>
      </w:r>
      <w:r>
        <w:rPr>
          <w:rFonts w:ascii="仿宋_GB2312" w:hAnsi="仿宋_GB2312" w:eastAsia="仿宋_GB2312" w:cs="仿宋_GB2312"/>
          <w:sz w:val="32"/>
          <w:szCs w:val="32"/>
        </w:rPr>
        <w:t>中和+絮凝沉淀+重金属捕捉器+光催化反应器+微电解反应器+微生物反应装置+电化学氧化+活性炭吸附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处理，达到</w:t>
      </w:r>
      <w:r>
        <w:rPr>
          <w:rFonts w:ascii="仿宋_GB2312" w:hAnsi="仿宋_GB2312" w:eastAsia="仿宋_GB2312" w:cs="仿宋_GB2312"/>
          <w:sz w:val="32"/>
          <w:szCs w:val="32"/>
        </w:rPr>
        <w:t>《污水综合排放标准》（GB8978-1996）三级标准</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《污水排入城镇下水道水质标准》（GB/T31962-2015）中 B 级标准</w:t>
      </w:r>
      <w:r>
        <w:rPr>
          <w:rFonts w:hint="eastAsia" w:ascii="仿宋_GB2312" w:hAnsi="仿宋_GB2312" w:eastAsia="仿宋_GB2312" w:cs="仿宋_GB2312"/>
          <w:sz w:val="32"/>
          <w:szCs w:val="32"/>
        </w:rPr>
        <w:t>后排入化粪池，经市政污水管网排入安康江北污水处理厂。</w:t>
      </w:r>
    </w:p>
    <w:p>
      <w:pPr>
        <w:keepNext w:val="0"/>
        <w:keepLines w:val="0"/>
        <w:pageBreakBefore w:val="0"/>
        <w:kinsoku/>
        <w:wordWrap/>
        <w:overflowPunct/>
        <w:topLinePunct w:val="0"/>
        <w:bidi w:val="0"/>
        <w:spacing w:line="580" w:lineRule="exact"/>
        <w:ind w:firstLine="643" w:firstLineChars="200"/>
        <w:rPr>
          <w:rFonts w:hint="eastAsia" w:ascii="仿宋_GB2312" w:hAnsi="仿宋" w:eastAsia="仿宋_GB2312"/>
          <w:sz w:val="32"/>
          <w:szCs w:val="32"/>
        </w:rPr>
      </w:pPr>
      <w:r>
        <w:rPr>
          <w:rFonts w:hint="eastAsia" w:ascii="仿宋_GB2312" w:hAnsi="仿宋_GB2312" w:eastAsia="仿宋_GB2312" w:cs="仿宋_GB2312"/>
          <w:b/>
          <w:sz w:val="32"/>
          <w:szCs w:val="32"/>
        </w:rPr>
        <w:t>（三）落实噪声污染防治措施</w:t>
      </w:r>
    </w:p>
    <w:p>
      <w:pPr>
        <w:keepNext w:val="0"/>
        <w:keepLines w:val="0"/>
        <w:pageBreakBefore w:val="0"/>
        <w:kinsoku/>
        <w:wordWrap/>
        <w:overflowPunct/>
        <w:topLinePunct w:val="0"/>
        <w:bidi w:val="0"/>
        <w:spacing w:line="58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运营期噪声主要为实验室风机运行噪声，通过选用高效低噪声设备，</w:t>
      </w:r>
      <w:r>
        <w:rPr>
          <w:rFonts w:hint="eastAsia" w:ascii="仿宋_GB2312" w:eastAsia="仿宋_GB2312"/>
          <w:sz w:val="32"/>
          <w:szCs w:val="32"/>
        </w:rPr>
        <w:t>设置减震底座，合理平面布局，定期对机械设备进行维护保养等措施后，</w:t>
      </w:r>
      <w:r>
        <w:rPr>
          <w:rFonts w:hint="eastAsia" w:ascii="仿宋_GB2312" w:hAnsi="仿宋_GB2312" w:eastAsia="仿宋_GB2312" w:cs="仿宋_GB2312"/>
          <w:sz w:val="32"/>
          <w:szCs w:val="32"/>
        </w:rPr>
        <w:t>厂界四周及敏感点昼间噪声应达到《工业企业厂界环境噪声排放标准》（</w:t>
      </w:r>
      <w:r>
        <w:rPr>
          <w:rFonts w:ascii="仿宋_GB2312" w:hAnsi="仿宋_GB2312" w:eastAsia="仿宋_GB2312" w:cs="仿宋_GB2312"/>
          <w:sz w:val="32"/>
          <w:szCs w:val="32"/>
        </w:rPr>
        <w:t>GB12348-2008</w:t>
      </w:r>
      <w:r>
        <w:rPr>
          <w:rFonts w:hint="eastAsia" w:ascii="仿宋_GB2312" w:hAnsi="仿宋_GB2312" w:eastAsia="仿宋_GB2312" w:cs="仿宋_GB2312"/>
          <w:sz w:val="32"/>
          <w:szCs w:val="32"/>
        </w:rPr>
        <w:t>）3类标准限值要求。</w:t>
      </w:r>
    </w:p>
    <w:p>
      <w:pPr>
        <w:keepNext w:val="0"/>
        <w:keepLines w:val="0"/>
        <w:pageBreakBefore w:val="0"/>
        <w:kinsoku/>
        <w:wordWrap/>
        <w:overflowPunct/>
        <w:topLinePunct w:val="0"/>
        <w:bidi w:val="0"/>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（四）落实固体废物的分类收集与处置工作</w:t>
      </w:r>
    </w:p>
    <w:p>
      <w:pPr>
        <w:pStyle w:val="5"/>
        <w:keepNext w:val="0"/>
        <w:keepLines w:val="0"/>
        <w:pageBreakBefore w:val="0"/>
        <w:kinsoku/>
        <w:wordWrap/>
        <w:overflowPunct/>
        <w:topLinePunct w:val="0"/>
        <w:bidi w:val="0"/>
        <w:adjustRightInd w:val="0"/>
        <w:spacing w:before="0" w:after="0" w:line="58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运营期废物包括危险废物（实验室废液、设备仪器首次冲洗水、剩余样品、废试剂瓶、一次性实验器具、废活性炭、污泥）、一般工业固体废物(灭菌后的废弃培养基、纯水制备产生的废弃滤芯）及职工生活垃圾。废弃培养基经高温灭菌后交由环卫部门处置，废弃滤芯由生产厂家回收处置；危险废物分类收集后暂存于危险废物暂存间，定期交由有资质单位清运处置；生活垃圾经分类垃圾桶分类收集后由环卫部门清运处置。</w:t>
      </w:r>
    </w:p>
    <w:p>
      <w:pPr>
        <w:pStyle w:val="5"/>
        <w:keepNext w:val="0"/>
        <w:keepLines w:val="0"/>
        <w:pageBreakBefore w:val="0"/>
        <w:numPr>
          <w:ilvl w:val="0"/>
          <w:numId w:val="2"/>
        </w:numPr>
        <w:kinsoku/>
        <w:wordWrap/>
        <w:overflowPunct/>
        <w:topLinePunct w:val="0"/>
        <w:bidi w:val="0"/>
        <w:adjustRightInd w:val="0"/>
        <w:spacing w:before="0" w:after="0" w:line="580" w:lineRule="exact"/>
        <w:ind w:firstLine="643" w:firstLineChars="200"/>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认真落实环境风险防范措施</w:t>
      </w:r>
    </w:p>
    <w:p>
      <w:pPr>
        <w:pStyle w:val="5"/>
        <w:keepNext w:val="0"/>
        <w:keepLines w:val="0"/>
        <w:pageBreakBefore w:val="0"/>
        <w:kinsoku/>
        <w:wordWrap/>
        <w:overflowPunct/>
        <w:topLinePunct w:val="0"/>
        <w:bidi w:val="0"/>
        <w:adjustRightInd w:val="0"/>
        <w:spacing w:before="0" w:after="0" w:line="58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规范设置专用实验药品库房、规范化学品储存，保持通风、干燥，提高操作和管理人员的业务素质，加强岗位培训，避免因实验操作失误导致风险事故发生。</w:t>
      </w:r>
    </w:p>
    <w:p>
      <w:pPr>
        <w:keepNext w:val="0"/>
        <w:keepLines w:val="0"/>
        <w:pageBreakBefore w:val="0"/>
        <w:kinsoku/>
        <w:wordWrap/>
        <w:overflowPunct/>
        <w:topLinePunct w:val="0"/>
        <w:bidi w:val="0"/>
        <w:spacing w:line="580" w:lineRule="exact"/>
        <w:ind w:firstLine="640" w:firstLineChars="200"/>
        <w:jc w:val="left"/>
        <w:rPr>
          <w:rFonts w:ascii="方正小标宋简体" w:hAnsi="方正小标宋简体" w:eastAsia="方正小标宋简体" w:cs="方正小标宋简体"/>
          <w:sz w:val="32"/>
          <w:szCs w:val="32"/>
          <w:shd w:val="clear" w:color="auto" w:fill="FFFFFF"/>
        </w:rPr>
      </w:pPr>
      <w:r>
        <w:rPr>
          <w:rFonts w:hint="eastAsia" w:ascii="方正小标宋简体" w:hAnsi="方正小标宋简体" w:eastAsia="方正小标宋简体" w:cs="方正小标宋简体"/>
          <w:sz w:val="32"/>
          <w:szCs w:val="32"/>
          <w:shd w:val="clear" w:color="auto" w:fill="FFFFFF"/>
        </w:rPr>
        <w:t>三、有关要求</w:t>
      </w:r>
    </w:p>
    <w:p>
      <w:pPr>
        <w:keepNext w:val="0"/>
        <w:keepLines w:val="0"/>
        <w:pageBreakBefore w:val="0"/>
        <w:kinsoku/>
        <w:wordWrap/>
        <w:overflowPunct/>
        <w:topLinePunct w:val="0"/>
        <w:bidi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shd w:val="clear" w:color="auto" w:fill="FFFFFF"/>
        </w:rPr>
        <w:t>项目建设必须严格执行环境保护设施与主体工程同时设计、同时施工、同时投产使用的环境保护“三同时”制度。项目建成后，必须按规定程序自行组织竣工环境保护验收，并报生态环境主管部门备案。</w:t>
      </w:r>
      <w:r>
        <w:rPr>
          <w:rFonts w:ascii="仿宋_GB2312" w:hAnsi="仿宋_GB2312" w:eastAsia="仿宋_GB2312" w:cs="仿宋_GB2312"/>
          <w:sz w:val="32"/>
          <w:szCs w:val="32"/>
        </w:rPr>
        <w:t xml:space="preserve">         </w:t>
      </w:r>
    </w:p>
    <w:p>
      <w:pPr>
        <w:keepNext w:val="0"/>
        <w:keepLines w:val="0"/>
        <w:pageBreakBefore w:val="0"/>
        <w:kinsoku/>
        <w:wordWrap/>
        <w:overflowPunct/>
        <w:topLinePunct w:val="0"/>
        <w:bidi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（二）环境影响报告表经批准后，项目的性质、规模、地点、采用的生产工艺或者污染防治、防治生态破坏的措施发生重大变动的，其环境影响评价文件应当重新报批。环境影响报告表自批准之日起超过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方决定该</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开工</w:t>
      </w:r>
      <w:r>
        <w:rPr>
          <w:rFonts w:hint="eastAsia" w:ascii="仿宋_GB2312" w:hAnsi="仿宋_GB2312" w:eastAsia="仿宋_GB2312" w:cs="仿宋_GB2312"/>
          <w:sz w:val="32"/>
          <w:szCs w:val="32"/>
        </w:rPr>
        <w:t>建设的，其环境影响报告表应当报我局重新审核。</w:t>
      </w:r>
    </w:p>
    <w:p>
      <w:pPr>
        <w:keepNext w:val="0"/>
        <w:keepLines w:val="0"/>
        <w:pageBreakBefore w:val="0"/>
        <w:kinsoku/>
        <w:wordWrap/>
        <w:overflowPunct/>
        <w:topLinePunct w:val="0"/>
        <w:bidi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）建设单位应根据《陕西省突发环境事件应急预案管理暂行办法》的要求制定突发事件应急预案，对可能出现不安全环节需制订预防措施及具体方案，杜绝发生突发性安全事故引起的污染事故和人身伤害。</w:t>
      </w:r>
    </w:p>
    <w:p>
      <w:pPr>
        <w:pStyle w:val="11"/>
        <w:keepNext w:val="0"/>
        <w:keepLines w:val="0"/>
        <w:pageBreakBefore w:val="0"/>
        <w:kinsoku/>
        <w:wordWrap/>
        <w:overflowPunct/>
        <w:topLinePunct w:val="0"/>
        <w:bidi w:val="0"/>
        <w:spacing w:line="580" w:lineRule="exact"/>
        <w:rPr>
          <w:color w:val="auto"/>
        </w:rPr>
      </w:pPr>
    </w:p>
    <w:p>
      <w:pPr>
        <w:keepNext w:val="0"/>
        <w:keepLines w:val="0"/>
        <w:pageBreakBefore w:val="0"/>
        <w:kinsoku/>
        <w:wordWrap/>
        <w:overflowPunct/>
        <w:topLinePunct w:val="0"/>
        <w:bidi w:val="0"/>
        <w:spacing w:line="58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8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安康市生态环境局高新分局</w:t>
      </w:r>
      <w:r>
        <w:rPr>
          <w:rFonts w:ascii="仿宋_GB2312" w:hAnsi="仿宋_GB2312" w:eastAsia="仿宋_GB2312" w:cs="仿宋_GB2312"/>
          <w:sz w:val="32"/>
          <w:szCs w:val="32"/>
        </w:rPr>
        <w:t xml:space="preserve">                        </w:t>
      </w:r>
    </w:p>
    <w:p>
      <w:pPr>
        <w:keepNext w:val="0"/>
        <w:keepLines w:val="0"/>
        <w:pageBreakBefore w:val="0"/>
        <w:kinsoku/>
        <w:wordWrap/>
        <w:overflowPunct/>
        <w:topLinePunct w:val="0"/>
        <w:bidi w:val="0"/>
        <w:spacing w:line="580" w:lineRule="exact"/>
        <w:ind w:firstLine="640" w:firstLineChars="200"/>
      </w:pPr>
      <w:r>
        <w:rPr>
          <w:rFonts w:ascii="仿宋_GB2312" w:hAnsi="仿宋_GB2312" w:eastAsia="仿宋_GB2312" w:cs="仿宋_GB2312"/>
          <w:sz w:val="32"/>
          <w:szCs w:val="32"/>
        </w:rPr>
        <w:t xml:space="preserve">                           2021</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bidi w:val="0"/>
        <w:spacing w:line="580" w:lineRule="exact"/>
        <w:ind w:firstLine="420" w:firstLineChars="200"/>
        <w:textAlignment w:val="auto"/>
      </w:pPr>
      <w:bookmarkStart w:id="0" w:name="_GoBack"/>
      <w:bookmarkEnd w:id="0"/>
    </w:p>
    <w:sectPr>
      <w:footerReference r:id="rId3" w:type="default"/>
      <w:footerReference r:id="rId4" w:type="even"/>
      <w:pgSz w:w="11906" w:h="16838"/>
      <w:pgMar w:top="2098" w:right="1474" w:bottom="1928" w:left="1588"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C63D8"/>
    <w:multiLevelType w:val="singleLevel"/>
    <w:tmpl w:val="9BFC63D8"/>
    <w:lvl w:ilvl="0" w:tentative="0">
      <w:start w:val="1"/>
      <w:numFmt w:val="chineseCounting"/>
      <w:suff w:val="nothing"/>
      <w:lvlText w:val="%1、"/>
      <w:lvlJc w:val="left"/>
      <w:rPr>
        <w:rFonts w:hint="eastAsia"/>
      </w:rPr>
    </w:lvl>
  </w:abstractNum>
  <w:abstractNum w:abstractNumId="1">
    <w:nsid w:val="CE5B9B2B"/>
    <w:multiLevelType w:val="singleLevel"/>
    <w:tmpl w:val="CE5B9B2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55531"/>
    <w:rsid w:val="00736E15"/>
    <w:rsid w:val="03B409DD"/>
    <w:rsid w:val="04452E47"/>
    <w:rsid w:val="049237D4"/>
    <w:rsid w:val="04DD2902"/>
    <w:rsid w:val="06C21D46"/>
    <w:rsid w:val="077B0857"/>
    <w:rsid w:val="09101466"/>
    <w:rsid w:val="0FDA17CC"/>
    <w:rsid w:val="10264A11"/>
    <w:rsid w:val="104C5C69"/>
    <w:rsid w:val="11401B02"/>
    <w:rsid w:val="14B7738D"/>
    <w:rsid w:val="16E15B36"/>
    <w:rsid w:val="170014B4"/>
    <w:rsid w:val="19297320"/>
    <w:rsid w:val="20452C91"/>
    <w:rsid w:val="210C52CF"/>
    <w:rsid w:val="21177E63"/>
    <w:rsid w:val="22A55C69"/>
    <w:rsid w:val="251275BD"/>
    <w:rsid w:val="256911D0"/>
    <w:rsid w:val="26314291"/>
    <w:rsid w:val="26760048"/>
    <w:rsid w:val="27201D62"/>
    <w:rsid w:val="291A164C"/>
    <w:rsid w:val="2A324A13"/>
    <w:rsid w:val="2B501978"/>
    <w:rsid w:val="2C7D270B"/>
    <w:rsid w:val="2E9D0D85"/>
    <w:rsid w:val="2F2820FC"/>
    <w:rsid w:val="30D2552D"/>
    <w:rsid w:val="32355590"/>
    <w:rsid w:val="339A49C2"/>
    <w:rsid w:val="35FF36A0"/>
    <w:rsid w:val="38726196"/>
    <w:rsid w:val="38EC74A1"/>
    <w:rsid w:val="398C3287"/>
    <w:rsid w:val="39C03895"/>
    <w:rsid w:val="3A9B19D4"/>
    <w:rsid w:val="3BC02597"/>
    <w:rsid w:val="3CE84C78"/>
    <w:rsid w:val="3D4F6AA6"/>
    <w:rsid w:val="405F5252"/>
    <w:rsid w:val="41A73354"/>
    <w:rsid w:val="42507FFB"/>
    <w:rsid w:val="42AD4747"/>
    <w:rsid w:val="44B813D4"/>
    <w:rsid w:val="45D97854"/>
    <w:rsid w:val="45FC015F"/>
    <w:rsid w:val="475F7B77"/>
    <w:rsid w:val="496B110B"/>
    <w:rsid w:val="4AAD560E"/>
    <w:rsid w:val="4CBB4246"/>
    <w:rsid w:val="4DED3548"/>
    <w:rsid w:val="4E6B74B7"/>
    <w:rsid w:val="502618E8"/>
    <w:rsid w:val="50683AC3"/>
    <w:rsid w:val="53752206"/>
    <w:rsid w:val="53FD0BB2"/>
    <w:rsid w:val="56655531"/>
    <w:rsid w:val="56867174"/>
    <w:rsid w:val="57255648"/>
    <w:rsid w:val="58562C38"/>
    <w:rsid w:val="58D8399B"/>
    <w:rsid w:val="5AC73CC7"/>
    <w:rsid w:val="5B0D13BC"/>
    <w:rsid w:val="5C163158"/>
    <w:rsid w:val="5C566DAE"/>
    <w:rsid w:val="5CC20C54"/>
    <w:rsid w:val="5EAD600A"/>
    <w:rsid w:val="5F5F0972"/>
    <w:rsid w:val="5F781F9F"/>
    <w:rsid w:val="62D90A3C"/>
    <w:rsid w:val="63CF28FC"/>
    <w:rsid w:val="64A22013"/>
    <w:rsid w:val="66B81035"/>
    <w:rsid w:val="69447FD8"/>
    <w:rsid w:val="6B2A0B86"/>
    <w:rsid w:val="6C7C5C09"/>
    <w:rsid w:val="6D66179B"/>
    <w:rsid w:val="6F147894"/>
    <w:rsid w:val="71DD421E"/>
    <w:rsid w:val="75243D99"/>
    <w:rsid w:val="76607052"/>
    <w:rsid w:val="76CE6487"/>
    <w:rsid w:val="77EB6DF0"/>
    <w:rsid w:val="79715B32"/>
    <w:rsid w:val="7A3E3B4E"/>
    <w:rsid w:val="7B4707E1"/>
    <w:rsid w:val="7CF16C56"/>
    <w:rsid w:val="7D8E5B73"/>
    <w:rsid w:val="7DEB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unhideWhenUsed/>
    <w:qFormat/>
    <w:uiPriority w:val="0"/>
    <w:pPr>
      <w:ind w:firstLine="420" w:firstLineChars="200"/>
    </w:pPr>
  </w:style>
  <w:style w:type="paragraph" w:styleId="4">
    <w:name w:val="Body Text First Indent 2"/>
    <w:basedOn w:val="1"/>
    <w:next w:val="1"/>
    <w:qFormat/>
    <w:uiPriority w:val="0"/>
    <w:pPr>
      <w:spacing w:after="0"/>
      <w:ind w:firstLine="420" w:firstLineChars="200"/>
    </w:p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paragraph" w:customStyle="1" w:styleId="11">
    <w:name w:val="Default"/>
    <w:basedOn w:val="1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纯文本1"/>
    <w:basedOn w:val="1"/>
    <w:qFormat/>
    <w:uiPriority w:val="99"/>
    <w:pPr>
      <w:autoSpaceDE w:val="0"/>
      <w:autoSpaceDN w:val="0"/>
      <w:adjustRightInd w:val="0"/>
      <w:textAlignment w:val="baseline"/>
    </w:pPr>
    <w:rPr>
      <w:rFonts w:ascii="宋体"/>
      <w:szCs w:val="20"/>
    </w:rPr>
  </w:style>
  <w:style w:type="paragraph" w:customStyle="1" w:styleId="13">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customStyle="1" w:styleId="14">
    <w:name w:val="p0"/>
    <w:basedOn w:val="1"/>
    <w:qFormat/>
    <w:uiPriority w:val="0"/>
    <w:pPr>
      <w:widowControl/>
      <w:ind w:firstLine="480"/>
      <w:jc w:val="left"/>
    </w:pPr>
    <w:rPr>
      <w:rFonts w:ascii="宋体" w:hAnsi="宋体" w:cs="宋体"/>
      <w:kern w:val="0"/>
      <w:sz w:val="20"/>
      <w:szCs w:val="20"/>
    </w:rPr>
  </w:style>
  <w:style w:type="paragraph" w:customStyle="1" w:styleId="15">
    <w:name w:val="样式 样式 样式 首行缩进:  1 字符 + 首行缩进:  2 字符1 + 首行缩进:  2 字符2"/>
    <w:basedOn w:val="1"/>
    <w:qFormat/>
    <w:uiPriority w:val="0"/>
    <w:pPr>
      <w:spacing w:line="360" w:lineRule="auto"/>
      <w:ind w:firstLine="480" w:firstLineChars="200"/>
    </w:pPr>
    <w:rPr>
      <w:rFonts w:cs="宋体"/>
      <w:sz w:val="24"/>
      <w:szCs w:val="20"/>
    </w:rPr>
  </w:style>
  <w:style w:type="paragraph" w:customStyle="1" w:styleId="16">
    <w:name w:val="正文1"/>
    <w:basedOn w:val="1"/>
    <w:qFormat/>
    <w:uiPriority w:val="0"/>
    <w:pPr>
      <w:autoSpaceDE w:val="0"/>
      <w:autoSpaceDN w:val="0"/>
      <w:adjustRightInd w:val="0"/>
      <w:snapToGrid w:val="0"/>
      <w:spacing w:line="360" w:lineRule="auto"/>
      <w:ind w:firstLine="480" w:firstLineChars="200"/>
    </w:pPr>
    <w:rPr>
      <w:rFonts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2019-12-25T06:26:00Z</dcterms:created>
  <dc:creator>晨曦</dc:creator>
  <cp:lastModifiedBy>Alan</cp:lastModifiedBy>
  <cp:lastPrinted>2021-11-25T06:06:00Z</cp:lastPrinted>
  <dcterms:modified xsi:type="dcterms:W3CDTF">2021-12-14T01:18:00Z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315B124CDF2D4A259A654C1227A9B766</vt:lpwstr>
  </property>
</Properties>
</file>