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auto"/>
          <w:sz w:val="44"/>
          <w:szCs w:val="44"/>
        </w:rPr>
        <w:t>安康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生态环境局高新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禾瑞光智能手机镜头研发生产</w:t>
      </w:r>
      <w:r>
        <w:rPr>
          <w:rFonts w:hint="eastAsia" w:ascii="方正小标宋简体" w:eastAsia="方正小标宋简体"/>
          <w:color w:val="auto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陕西禾瑞光科技发展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你公司报来的《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禾瑞光智能手机镜头研发生产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项目环境影响报告表审批的请示》和相关资料收悉。经研究，现批复如下：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禾瑞光智能手机镜头研发生产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租用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安康高新区智能终端产业园F6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厂房共16819.7m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购置相关生产设备，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建立一条年产2亿个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智能手机镜头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研发生产线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。主要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内容为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超精密车间、成形车间、镀膜车间、组装车间、玻璃车间和可靠性试验及光学实验室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在内的生产车间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目总投资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20000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</w:rPr>
        <w:t>万元，其中环保投资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14万元，占总投资的0.07</w:t>
      </w:r>
      <w:r>
        <w:rPr>
          <w:rFonts w:hint="default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方正小标宋简体" w:eastAsia="仿宋_GB2312" w:cs="方正小标宋简体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二、项目建设与运营管理中应重点做好的工作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（一）落实大气污染防治措施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大气污染物主要为项目注塑过程中产生的有机废气。注塑机产生的有机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废气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经集气罩收集，用活性炭吸附装置处理达到《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大气污染物综合排放标准》（GB16297-1996）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二级标准后，经25m高排气筒排放。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（二）落实水污染防治措施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运营期废水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主要为生活污水。生活污水经厂区化粪池处理后，达到《污水排放综合标准》（GB8978-1996)三级标准后，经市政管网一同排放至安康建民污水处理厂处理。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（三）落实噪声污染防治措施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运营期噪声主要为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离心清洗机、风机、冷却塔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等设备运行噪声，通过选用低噪声设备，采取基础减振、厂房隔声、加装隔音棉等噪声防治措施后，厂界四周及敏感点昼间噪声应达到《工业企业厂界环境噪声排放标准》（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GB12348-2008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类标准限值要求。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（四）落实固体废物的分类收集与处置工作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项目运营期固体废物主要包括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生活垃圾、废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边角料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、废包装材料、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纯水制备废料、FFU过滤网、不合格产品、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切削液、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废活性炭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润滑油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等一般工业废物及危险废物。生活垃圾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经垃圾桶分类收集后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由环卫部门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统一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清运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；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边角料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、废包装材料、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纯水制备废料、FFU过滤网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集中收集，定期外售处置；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不合格产品回用于生产；设立固废、危废暂存间，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切削液暂存于固废暂存间，定期交有资质单位处置；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lang w:val="en-US" w:eastAsia="zh-CN"/>
        </w:rPr>
        <w:t>废活性炭、废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val="en-US" w:eastAsia="zh-CN"/>
        </w:rPr>
        <w:t>润滑油等危险废物，暂存于危废暂存间内，定期交有资质单位处置，严禁混合收集暂存。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shd w:val="clear" w:color="auto" w:fill="FFFFFF"/>
        </w:rPr>
        <w:t>三、有关事项要求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项目建设必须严格执行环境保护设施与主体工程同时设计、同时施工、同时投产使用的环境保护“三同时”制度。项目建成后，必须按规定程序进行竣工环境保护验收。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（二）环境影响报告表经批准后，项目的性质、规模、地点、采用的生产工艺或者污染防治、防治生态破坏的措施发生重大变动的，其环境影响评价文件应当重新报批。环境影响报告表自批准之日起超过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年，方决定该项目开工建设的，其环境影响报告表应当报我局重新审核。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（三）按照《建设项目环境保护事中事后监督管理办法（试行）》的要求，安康高新区生态环境局负责该项目的事中事后监督管理。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4480" w:firstLineChars="14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生态环境局高新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 w:firstLineChars="300"/>
        <w:jc w:val="center"/>
        <w:textAlignment w:val="auto"/>
      </w:pP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49237D4"/>
    <w:rsid w:val="04DD2902"/>
    <w:rsid w:val="06C21D46"/>
    <w:rsid w:val="09101466"/>
    <w:rsid w:val="14B7738D"/>
    <w:rsid w:val="170014B4"/>
    <w:rsid w:val="210C52CF"/>
    <w:rsid w:val="21177E63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75F7B77"/>
    <w:rsid w:val="4AAD560E"/>
    <w:rsid w:val="4CBB4246"/>
    <w:rsid w:val="4DED3548"/>
    <w:rsid w:val="53752206"/>
    <w:rsid w:val="56655531"/>
    <w:rsid w:val="56867174"/>
    <w:rsid w:val="58562C38"/>
    <w:rsid w:val="5B0D13BC"/>
    <w:rsid w:val="5C566DAE"/>
    <w:rsid w:val="5D4364EB"/>
    <w:rsid w:val="5EAD600A"/>
    <w:rsid w:val="5F781F9F"/>
    <w:rsid w:val="66B81035"/>
    <w:rsid w:val="69447FD8"/>
    <w:rsid w:val="6B2A0B86"/>
    <w:rsid w:val="6C7C5C09"/>
    <w:rsid w:val="6F147894"/>
    <w:rsid w:val="71DD421E"/>
    <w:rsid w:val="76CE6487"/>
    <w:rsid w:val="79715B32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1"/>
    <w:qFormat/>
    <w:uiPriority w:val="0"/>
    <w:pPr>
      <w:spacing w:after="0"/>
      <w:ind w:firstLine="420" w:firstLineChars="200"/>
    </w:p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Alan</cp:lastModifiedBy>
  <cp:lastPrinted>2021-01-05T08:57:00Z</cp:lastPrinted>
  <dcterms:modified xsi:type="dcterms:W3CDTF">2021-09-13T01:42:06Z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