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18"/>
        </w:tabs>
        <w:kinsoku/>
        <w:wordWrap/>
        <w:overflowPunct/>
        <w:topLinePunct w:val="0"/>
        <w:autoSpaceDE/>
        <w:autoSpaceDN/>
        <w:bidi w:val="0"/>
        <w:adjustRightInd/>
        <w:snapToGrid/>
        <w:spacing w:line="560" w:lineRule="exact"/>
        <w:ind w:firstLine="600"/>
        <w:textAlignment w:val="auto"/>
        <w:rPr>
          <w:sz w:val="28"/>
          <w:szCs w:val="28"/>
        </w:rPr>
      </w:pPr>
    </w:p>
    <w:p>
      <w:pPr>
        <w:keepNext w:val="0"/>
        <w:keepLines w:val="0"/>
        <w:pageBreakBefore w:val="0"/>
        <w:widowControl w:val="0"/>
        <w:tabs>
          <w:tab w:val="left" w:pos="7218"/>
        </w:tabs>
        <w:kinsoku/>
        <w:wordWrap/>
        <w:overflowPunct/>
        <w:topLinePunct w:val="0"/>
        <w:autoSpaceDE/>
        <w:autoSpaceDN/>
        <w:bidi w:val="0"/>
        <w:adjustRightInd/>
        <w:snapToGrid/>
        <w:spacing w:line="560" w:lineRule="exact"/>
        <w:ind w:firstLine="600"/>
        <w:jc w:val="center"/>
        <w:textAlignment w:val="auto"/>
        <w:rPr>
          <w:rFonts w:ascii="方正小标宋简体" w:eastAsia="方正小标宋简体"/>
          <w:sz w:val="40"/>
          <w:szCs w:val="32"/>
        </w:rPr>
      </w:pPr>
      <w:r>
        <w:rPr>
          <w:rFonts w:hint="eastAsia" w:ascii="方正小标宋简体" w:eastAsia="方正小标宋简体"/>
          <w:sz w:val="40"/>
          <w:szCs w:val="32"/>
        </w:rPr>
        <w:t>安康高新区管委会</w:t>
      </w:r>
    </w:p>
    <w:p>
      <w:pPr>
        <w:keepNext w:val="0"/>
        <w:keepLines w:val="0"/>
        <w:pageBreakBefore w:val="0"/>
        <w:widowControl w:val="0"/>
        <w:tabs>
          <w:tab w:val="left" w:pos="7218"/>
        </w:tabs>
        <w:kinsoku/>
        <w:wordWrap/>
        <w:overflowPunct/>
        <w:topLinePunct w:val="0"/>
        <w:autoSpaceDE/>
        <w:autoSpaceDN/>
        <w:bidi w:val="0"/>
        <w:adjustRightInd/>
        <w:snapToGrid/>
        <w:spacing w:line="560" w:lineRule="exact"/>
        <w:ind w:firstLine="600"/>
        <w:jc w:val="center"/>
        <w:textAlignment w:val="auto"/>
        <w:rPr>
          <w:rFonts w:ascii="方正小标宋简体" w:eastAsia="方正小标宋简体"/>
          <w:sz w:val="36"/>
          <w:szCs w:val="28"/>
        </w:rPr>
      </w:pPr>
      <w:r>
        <w:rPr>
          <w:rFonts w:hint="eastAsia" w:ascii="方正小标宋简体" w:eastAsia="方正小标宋简体"/>
          <w:sz w:val="40"/>
          <w:szCs w:val="32"/>
        </w:rPr>
        <w:t>202</w:t>
      </w:r>
      <w:r>
        <w:rPr>
          <w:rFonts w:hint="eastAsia" w:ascii="方正小标宋简体" w:eastAsia="方正小标宋简体"/>
          <w:sz w:val="40"/>
          <w:szCs w:val="32"/>
          <w:lang w:val="en-US" w:eastAsia="zh-CN"/>
        </w:rPr>
        <w:t>1</w:t>
      </w:r>
      <w:r>
        <w:rPr>
          <w:rFonts w:hint="eastAsia" w:ascii="方正小标宋简体" w:eastAsia="方正小标宋简体"/>
          <w:sz w:val="40"/>
          <w:szCs w:val="32"/>
        </w:rPr>
        <w:t>年部门综合预算说明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市政府委托，行使政府赋予的管理权限。主要职责是：贯彻执行国家、省市有关法律法规、政策规定；按照省政府批准的总体规划，编制并组织实施分区规划和建设性详细规划；研究、制定、实施高新区经济社会中长期发展规划和年度计划；负责高新区科技创新工作；负责规划区基础设施建设、招商引资和项目审批；负责规划区土地统征、储备和土地使用权转让；负责高新区融资平台建设和国有资产监督管理；负责企业生产经营的监督、管理和协调、服务工作；托管规划区内的建民镇、江北办事处的部分村组；管理规划区内的社会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二、202</w:t>
      </w: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坚定不移</w:t>
      </w:r>
      <w:r>
        <w:rPr>
          <w:rFonts w:ascii="仿宋_GB2312" w:hAnsi="仿宋_GB2312" w:eastAsia="仿宋_GB2312" w:cs="仿宋_GB2312"/>
          <w:color w:val="000000"/>
          <w:sz w:val="32"/>
          <w:szCs w:val="32"/>
        </w:rPr>
        <w:t>推进项目建设，</w:t>
      </w:r>
      <w:r>
        <w:rPr>
          <w:rFonts w:hint="eastAsia" w:ascii="仿宋_GB2312" w:hAnsi="仿宋_GB2312" w:eastAsia="仿宋_GB2312" w:cs="仿宋_GB2312"/>
          <w:color w:val="000000"/>
          <w:sz w:val="32"/>
          <w:szCs w:val="32"/>
        </w:rPr>
        <w:t>坚持存量增量两手抓、投资引资两手硬，推动重大项目接续不断、新增长点持续涌现；进一步提高新安康门户区在全市的战略地位，主攻新安康门户区建设，强调规划指导发展、引领未来的重要作用，厚植新安康门户区核心价值和竞争优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安康高新区管委会属于参照公务员法管理事业单位，下设2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个内设机构。安康高新区管委会为财务独立核算单位，财政直接拨款，下设各内设机构均实行报账制。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部门预算编制范围的内设预算单位共有</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个，包括：</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安康高新区管委会办公室部门本级（机关）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923" w:type="dxa"/>
          </w:tcPr>
          <w:p>
            <w:pPr>
              <w:keepNext w:val="0"/>
              <w:keepLines w:val="0"/>
              <w:pageBreakBefore w:val="0"/>
              <w:widowControl w:val="0"/>
              <w:tabs>
                <w:tab w:val="left" w:pos="1908"/>
              </w:tabs>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安康高新区组织群团工作部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安康高新区宣传统战工作部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安康高新区信访维稳工作部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安康高新区经济发展科技局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安康高新区教育体育和文化旅游局（机关）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安康高新区监察审计局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安康高新区自然资源局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安康高新区不动产登记管理局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安康高新区土地统征储备中心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安康高新区生态环境局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tabs>
                <w:tab w:val="center" w:pos="691"/>
                <w:tab w:val="left" w:pos="1200"/>
              </w:tabs>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安康高新区住房和城乡建设局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安康高新区社区管理局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安康高新区城市管理执法局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安康高新区应急管理局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安康高新区招商局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安康高新区飞地办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安康高新区新型材料办公室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安康高新区科技资源统筹中心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安康机场办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 xml:space="preserve"> </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安康高新区创业就业局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安康高新区临空办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安康高新区工商联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安康高新区退役军人事务局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p>
        </w:tc>
        <w:tc>
          <w:tcPr>
            <w:tcW w:w="692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安康高新区卫健局</w:t>
            </w:r>
          </w:p>
        </w:tc>
      </w:tr>
    </w:tbl>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四、部门人员聘用情况说明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年12月底，设有岗位职数</w:t>
      </w:r>
      <w:r>
        <w:rPr>
          <w:rFonts w:hint="eastAsia" w:ascii="仿宋_GB2312" w:hAnsi="仿宋_GB2312" w:eastAsia="仿宋_GB2312" w:cs="仿宋_GB2312"/>
          <w:sz w:val="32"/>
          <w:szCs w:val="32"/>
          <w:lang w:val="en-US" w:eastAsia="zh-CN"/>
        </w:rPr>
        <w:t>634</w:t>
      </w:r>
      <w:r>
        <w:rPr>
          <w:rFonts w:hint="eastAsia" w:ascii="仿宋_GB2312" w:hAnsi="仿宋_GB2312" w:eastAsia="仿宋_GB2312" w:cs="仿宋_GB2312"/>
          <w:sz w:val="32"/>
          <w:szCs w:val="32"/>
        </w:rPr>
        <w:t xml:space="preserve"> 人，实有人数 </w:t>
      </w:r>
      <w:r>
        <w:rPr>
          <w:rFonts w:hint="eastAsia" w:ascii="仿宋_GB2312" w:hAnsi="仿宋_GB2312" w:eastAsia="仿宋_GB2312" w:cs="仿宋_GB2312"/>
          <w:sz w:val="32"/>
          <w:szCs w:val="32"/>
          <w:lang w:val="en-US" w:eastAsia="zh-CN"/>
        </w:rPr>
        <w:t>622</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其中：管委会领导层1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名，中层员工</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 xml:space="preserve">名，主管员工 </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名，普通员工</w:t>
      </w: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五、部门国有资产占有使用及资产购置情况说明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年底，本部门共占用国有资产</w:t>
      </w:r>
      <w:r>
        <w:rPr>
          <w:rFonts w:hint="eastAsia" w:ascii="仿宋_GB2312" w:hAnsi="仿宋_GB2312" w:eastAsia="仿宋_GB2312" w:cs="仿宋_GB2312"/>
          <w:sz w:val="32"/>
          <w:szCs w:val="32"/>
          <w:lang w:val="en-US" w:eastAsia="zh-CN"/>
        </w:rPr>
        <w:t>10954</w:t>
      </w:r>
      <w:bookmarkStart w:id="0" w:name="_GoBack"/>
      <w:bookmarkEnd w:id="0"/>
      <w:r>
        <w:rPr>
          <w:rFonts w:hint="eastAsia" w:ascii="仿宋_GB2312" w:hAnsi="仿宋_GB2312" w:eastAsia="仿宋_GB2312" w:cs="仿宋_GB2312"/>
          <w:sz w:val="32"/>
          <w:szCs w:val="32"/>
        </w:rPr>
        <w:t>万元。本部门及所属单位无公务车辆。</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部门预算未安排购置车辆。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六、部门预算绩效目标说明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年结转的列权责发生制核算支出涉及的绩效目标管理。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本部门部门预算绩效目标管理工作按市财政局统一部署在未来年度根据实际情况适时公开。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，高新区管委会收入预算</w:t>
      </w:r>
      <w:r>
        <w:rPr>
          <w:rFonts w:hint="eastAsia" w:ascii="仿宋_GB2312" w:hAnsi="仿宋_GB2312" w:eastAsia="仿宋_GB2312" w:cs="仿宋_GB2312"/>
          <w:sz w:val="32"/>
          <w:szCs w:val="32"/>
          <w:lang w:val="en-US" w:eastAsia="zh-CN"/>
        </w:rPr>
        <w:t>37119.58</w:t>
      </w:r>
      <w:r>
        <w:rPr>
          <w:rFonts w:hint="eastAsia" w:ascii="仿宋_GB2312" w:hAnsi="仿宋_GB2312" w:eastAsia="仿宋_GB2312" w:cs="仿宋_GB2312"/>
          <w:sz w:val="32"/>
          <w:szCs w:val="32"/>
        </w:rPr>
        <w:t>万元，较上年度</w:t>
      </w:r>
      <w:r>
        <w:rPr>
          <w:rFonts w:hint="eastAsia" w:ascii="仿宋_GB2312" w:hAnsi="仿宋_GB2312" w:eastAsia="仿宋_GB2312" w:cs="仿宋_GB2312"/>
          <w:sz w:val="32"/>
          <w:szCs w:val="32"/>
          <w:lang w:val="en-US" w:eastAsia="zh-CN"/>
        </w:rPr>
        <w:t>36023</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1096.58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rPr>
        <w:t>%，全部为一般公共预算拨款。增长的主要原因：一是</w:t>
      </w:r>
      <w:r>
        <w:rPr>
          <w:rFonts w:hint="eastAsia" w:ascii="仿宋_GB2312" w:hAnsi="仿宋_GB2312" w:eastAsia="仿宋_GB2312" w:cs="仿宋_GB2312"/>
          <w:sz w:val="32"/>
          <w:szCs w:val="32"/>
          <w:lang w:val="en-US" w:eastAsia="zh-CN"/>
        </w:rPr>
        <w:t>新设两个内设机构</w:t>
      </w:r>
      <w:r>
        <w:rPr>
          <w:rFonts w:hint="eastAsia" w:ascii="仿宋_GB2312" w:hAnsi="仿宋_GB2312" w:eastAsia="仿宋_GB2312" w:cs="仿宋_GB2312"/>
          <w:sz w:val="32"/>
          <w:szCs w:val="32"/>
        </w:rPr>
        <w:t>，增加相应的</w:t>
      </w:r>
      <w:r>
        <w:rPr>
          <w:rFonts w:hint="eastAsia" w:ascii="仿宋_GB2312" w:hAnsi="仿宋_GB2312" w:eastAsia="仿宋_GB2312" w:cs="仿宋_GB2312"/>
          <w:sz w:val="32"/>
          <w:szCs w:val="32"/>
          <w:lang w:val="en-US" w:eastAsia="zh-CN"/>
        </w:rPr>
        <w:t>人员经费及专项</w:t>
      </w:r>
      <w:r>
        <w:rPr>
          <w:rFonts w:hint="eastAsia" w:ascii="仿宋_GB2312" w:hAnsi="仿宋_GB2312" w:eastAsia="仿宋_GB2312" w:cs="仿宋_GB2312"/>
          <w:sz w:val="32"/>
          <w:szCs w:val="32"/>
        </w:rPr>
        <w:t>项目支出；二是</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、创业奖补等支出进一步增加；三是专项业务量增加，产业大招工、全程代办业务、科技交流、环保检测执法、项目规划等专项业务工作支出增加。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，高新区管委会支出预算</w:t>
      </w:r>
      <w:r>
        <w:rPr>
          <w:rFonts w:hint="eastAsia" w:ascii="仿宋_GB2312" w:hAnsi="仿宋_GB2312" w:eastAsia="仿宋_GB2312" w:cs="仿宋_GB2312"/>
          <w:sz w:val="32"/>
          <w:szCs w:val="32"/>
          <w:lang w:val="en-US" w:eastAsia="zh-CN"/>
        </w:rPr>
        <w:t>37119.58</w:t>
      </w:r>
      <w:r>
        <w:rPr>
          <w:rFonts w:hint="eastAsia" w:ascii="仿宋_GB2312" w:hAnsi="仿宋_GB2312" w:eastAsia="仿宋_GB2312" w:cs="仿宋_GB2312"/>
          <w:sz w:val="32"/>
          <w:szCs w:val="32"/>
        </w:rPr>
        <w:t>万元，包括人员经费和公用经费支出</w:t>
      </w:r>
      <w:r>
        <w:rPr>
          <w:rFonts w:hint="eastAsia" w:ascii="仿宋_GB2312" w:hAnsi="仿宋_GB2312" w:eastAsia="仿宋_GB2312" w:cs="仿宋_GB2312"/>
          <w:sz w:val="32"/>
          <w:szCs w:val="32"/>
          <w:lang w:val="en-US" w:eastAsia="zh-CN"/>
        </w:rPr>
        <w:t>11008.4</w:t>
      </w:r>
      <w:r>
        <w:rPr>
          <w:rFonts w:hint="eastAsia" w:ascii="仿宋_GB2312" w:hAnsi="仿宋_GB2312" w:eastAsia="仿宋_GB2312" w:cs="仿宋_GB2312"/>
          <w:sz w:val="32"/>
          <w:szCs w:val="32"/>
        </w:rPr>
        <w:t>万元，占支出总额的</w:t>
      </w:r>
      <w:r>
        <w:rPr>
          <w:rFonts w:hint="eastAsia" w:ascii="仿宋_GB2312" w:hAnsi="仿宋_GB2312" w:eastAsia="仿宋_GB2312" w:cs="仿宋_GB2312"/>
          <w:sz w:val="32"/>
          <w:szCs w:val="32"/>
          <w:lang w:val="en-US" w:eastAsia="zh-CN"/>
        </w:rPr>
        <w:t>29.66</w:t>
      </w:r>
      <w:r>
        <w:rPr>
          <w:rFonts w:hint="eastAsia" w:ascii="仿宋_GB2312" w:hAnsi="仿宋_GB2312" w:eastAsia="仿宋_GB2312" w:cs="仿宋_GB2312"/>
          <w:sz w:val="32"/>
          <w:szCs w:val="32"/>
        </w:rPr>
        <w:t>%；专项业务经费支出</w:t>
      </w:r>
      <w:r>
        <w:rPr>
          <w:rFonts w:hint="eastAsia" w:ascii="仿宋_GB2312" w:hAnsi="仿宋_GB2312" w:eastAsia="仿宋_GB2312" w:cs="仿宋_GB2312"/>
          <w:sz w:val="32"/>
          <w:szCs w:val="32"/>
          <w:lang w:val="en-US" w:eastAsia="zh-CN"/>
        </w:rPr>
        <w:t>26111.18</w:t>
      </w:r>
      <w:r>
        <w:rPr>
          <w:rFonts w:hint="eastAsia" w:ascii="仿宋_GB2312" w:hAnsi="仿宋_GB2312" w:eastAsia="仿宋_GB2312" w:cs="仿宋_GB2312"/>
          <w:sz w:val="32"/>
          <w:szCs w:val="32"/>
        </w:rPr>
        <w:t>万元，占支出总额的</w:t>
      </w:r>
      <w:r>
        <w:rPr>
          <w:rFonts w:hint="eastAsia" w:ascii="仿宋_GB2312" w:hAnsi="仿宋_GB2312" w:eastAsia="仿宋_GB2312" w:cs="仿宋_GB2312"/>
          <w:sz w:val="32"/>
          <w:szCs w:val="32"/>
          <w:lang w:val="en-US" w:eastAsia="zh-CN"/>
        </w:rPr>
        <w:t>70.34</w:t>
      </w:r>
      <w:r>
        <w:rPr>
          <w:rFonts w:hint="eastAsia" w:ascii="仿宋_GB2312" w:hAnsi="仿宋_GB2312" w:eastAsia="仿宋_GB2312" w:cs="仿宋_GB2312"/>
          <w:sz w:val="32"/>
          <w:szCs w:val="32"/>
        </w:rPr>
        <w:t>%。全部为一般公共预算拨款支出，较上年增长</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rPr>
        <w:t>%，增长原因同上。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，高新区管委会收入预算</w:t>
      </w:r>
      <w:r>
        <w:rPr>
          <w:rFonts w:hint="eastAsia" w:ascii="仿宋_GB2312" w:hAnsi="仿宋_GB2312" w:eastAsia="仿宋_GB2312" w:cs="仿宋_GB2312"/>
          <w:sz w:val="32"/>
          <w:szCs w:val="32"/>
          <w:lang w:val="en-US" w:eastAsia="zh-CN"/>
        </w:rPr>
        <w:t>37119.58</w:t>
      </w:r>
      <w:r>
        <w:rPr>
          <w:rFonts w:hint="eastAsia" w:ascii="仿宋_GB2312" w:hAnsi="仿宋_GB2312" w:eastAsia="仿宋_GB2312" w:cs="仿宋_GB2312"/>
          <w:sz w:val="32"/>
          <w:szCs w:val="32"/>
        </w:rPr>
        <w:t>万元，较上年度</w:t>
      </w:r>
      <w:r>
        <w:rPr>
          <w:rFonts w:hint="eastAsia" w:ascii="仿宋_GB2312" w:hAnsi="仿宋_GB2312" w:eastAsia="仿宋_GB2312" w:cs="仿宋_GB2312"/>
          <w:sz w:val="32"/>
          <w:szCs w:val="32"/>
          <w:lang w:val="en-US" w:eastAsia="zh-CN"/>
        </w:rPr>
        <w:t>36023</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1096.58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rPr>
        <w:t>%，全部为一般公共预算拨款。增长的主要原因：一是</w:t>
      </w:r>
      <w:r>
        <w:rPr>
          <w:rFonts w:hint="eastAsia" w:ascii="仿宋_GB2312" w:hAnsi="仿宋_GB2312" w:eastAsia="仿宋_GB2312" w:cs="仿宋_GB2312"/>
          <w:sz w:val="32"/>
          <w:szCs w:val="32"/>
          <w:lang w:val="en-US" w:eastAsia="zh-CN"/>
        </w:rPr>
        <w:t>新设两个内设机构</w:t>
      </w:r>
      <w:r>
        <w:rPr>
          <w:rFonts w:hint="eastAsia" w:ascii="仿宋_GB2312" w:hAnsi="仿宋_GB2312" w:eastAsia="仿宋_GB2312" w:cs="仿宋_GB2312"/>
          <w:sz w:val="32"/>
          <w:szCs w:val="32"/>
        </w:rPr>
        <w:t>，增加相应的</w:t>
      </w:r>
      <w:r>
        <w:rPr>
          <w:rFonts w:hint="eastAsia" w:ascii="仿宋_GB2312" w:hAnsi="仿宋_GB2312" w:eastAsia="仿宋_GB2312" w:cs="仿宋_GB2312"/>
          <w:sz w:val="32"/>
          <w:szCs w:val="32"/>
          <w:lang w:val="en-US" w:eastAsia="zh-CN"/>
        </w:rPr>
        <w:t>人员经费及专项</w:t>
      </w:r>
      <w:r>
        <w:rPr>
          <w:rFonts w:hint="eastAsia" w:ascii="仿宋_GB2312" w:hAnsi="仿宋_GB2312" w:eastAsia="仿宋_GB2312" w:cs="仿宋_GB2312"/>
          <w:sz w:val="32"/>
          <w:szCs w:val="32"/>
        </w:rPr>
        <w:t>项目支出；二是</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、创业奖补等支出进一步增加；三是专项业务量增加，产业大招工、全程代办业务、科技交流、环保检测执法、项目规划等专项业务工作支出增加。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，高新区管委会支出预算</w:t>
      </w:r>
      <w:r>
        <w:rPr>
          <w:rFonts w:hint="eastAsia" w:ascii="仿宋_GB2312" w:hAnsi="仿宋_GB2312" w:eastAsia="仿宋_GB2312" w:cs="仿宋_GB2312"/>
          <w:sz w:val="32"/>
          <w:szCs w:val="32"/>
          <w:lang w:val="en-US" w:eastAsia="zh-CN"/>
        </w:rPr>
        <w:t>37119.58</w:t>
      </w:r>
      <w:r>
        <w:rPr>
          <w:rFonts w:hint="eastAsia" w:ascii="仿宋_GB2312" w:hAnsi="仿宋_GB2312" w:eastAsia="仿宋_GB2312" w:cs="仿宋_GB2312"/>
          <w:sz w:val="32"/>
          <w:szCs w:val="32"/>
        </w:rPr>
        <w:t>万元，包括人员经费和公用经费支出</w:t>
      </w:r>
      <w:r>
        <w:rPr>
          <w:rFonts w:hint="eastAsia" w:ascii="仿宋_GB2312" w:hAnsi="仿宋_GB2312" w:eastAsia="仿宋_GB2312" w:cs="仿宋_GB2312"/>
          <w:sz w:val="32"/>
          <w:szCs w:val="32"/>
          <w:lang w:val="en-US" w:eastAsia="zh-CN"/>
        </w:rPr>
        <w:t>11008.4</w:t>
      </w:r>
      <w:r>
        <w:rPr>
          <w:rFonts w:hint="eastAsia" w:ascii="仿宋_GB2312" w:hAnsi="仿宋_GB2312" w:eastAsia="仿宋_GB2312" w:cs="仿宋_GB2312"/>
          <w:sz w:val="32"/>
          <w:szCs w:val="32"/>
        </w:rPr>
        <w:t>万元，占支出总额的</w:t>
      </w:r>
      <w:r>
        <w:rPr>
          <w:rFonts w:hint="eastAsia" w:ascii="仿宋_GB2312" w:hAnsi="仿宋_GB2312" w:eastAsia="仿宋_GB2312" w:cs="仿宋_GB2312"/>
          <w:sz w:val="32"/>
          <w:szCs w:val="32"/>
          <w:lang w:val="en-US" w:eastAsia="zh-CN"/>
        </w:rPr>
        <w:t>29.66</w:t>
      </w:r>
      <w:r>
        <w:rPr>
          <w:rFonts w:hint="eastAsia" w:ascii="仿宋_GB2312" w:hAnsi="仿宋_GB2312" w:eastAsia="仿宋_GB2312" w:cs="仿宋_GB2312"/>
          <w:sz w:val="32"/>
          <w:szCs w:val="32"/>
        </w:rPr>
        <w:t>%；专项业务经费支出</w:t>
      </w:r>
      <w:r>
        <w:rPr>
          <w:rFonts w:hint="eastAsia" w:ascii="仿宋_GB2312" w:hAnsi="仿宋_GB2312" w:eastAsia="仿宋_GB2312" w:cs="仿宋_GB2312"/>
          <w:sz w:val="32"/>
          <w:szCs w:val="32"/>
          <w:lang w:val="en-US" w:eastAsia="zh-CN"/>
        </w:rPr>
        <w:t>26111.18</w:t>
      </w:r>
      <w:r>
        <w:rPr>
          <w:rFonts w:hint="eastAsia" w:ascii="仿宋_GB2312" w:hAnsi="仿宋_GB2312" w:eastAsia="仿宋_GB2312" w:cs="仿宋_GB2312"/>
          <w:sz w:val="32"/>
          <w:szCs w:val="32"/>
        </w:rPr>
        <w:t>万元，占支出总额的</w:t>
      </w:r>
      <w:r>
        <w:rPr>
          <w:rFonts w:hint="eastAsia" w:ascii="仿宋_GB2312" w:hAnsi="仿宋_GB2312" w:eastAsia="仿宋_GB2312" w:cs="仿宋_GB2312"/>
          <w:sz w:val="32"/>
          <w:szCs w:val="32"/>
          <w:lang w:val="en-US" w:eastAsia="zh-CN"/>
        </w:rPr>
        <w:t>70.34</w:t>
      </w:r>
      <w:r>
        <w:rPr>
          <w:rFonts w:hint="eastAsia" w:ascii="仿宋_GB2312" w:hAnsi="仿宋_GB2312" w:eastAsia="仿宋_GB2312" w:cs="仿宋_GB2312"/>
          <w:sz w:val="32"/>
          <w:szCs w:val="32"/>
        </w:rPr>
        <w:t>%。全部为一般公共预算拨款支出，较上年增长</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rPr>
        <w:t>%，增长原因同上。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_GB2312" w:hAnsi="仿宋_GB2312" w:eastAsia="仿宋_GB2312" w:cs="仿宋_GB2312"/>
          <w:sz w:val="32"/>
          <w:szCs w:val="32"/>
        </w:rPr>
      </w:pPr>
      <w:r>
        <w:rPr>
          <w:rFonts w:hint="eastAsia"/>
          <w:sz w:val="28"/>
          <w:szCs w:val="28"/>
        </w:rPr>
        <w:t>（</w:t>
      </w:r>
      <w:r>
        <w:rPr>
          <w:rFonts w:hint="eastAsia" w:ascii="仿宋_GB2312" w:hAnsi="仿宋_GB2312" w:eastAsia="仿宋_GB2312" w:cs="仿宋_GB2312"/>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本部门一般公共预算拨款支出</w:t>
      </w:r>
      <w:r>
        <w:rPr>
          <w:rFonts w:hint="eastAsia" w:ascii="仿宋_GB2312" w:hAnsi="仿宋_GB2312" w:eastAsia="仿宋_GB2312" w:cs="仿宋_GB2312"/>
          <w:sz w:val="32"/>
          <w:szCs w:val="32"/>
          <w:lang w:val="en-US" w:eastAsia="zh-CN"/>
        </w:rPr>
        <w:t>37119.58</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1096.58</w:t>
      </w:r>
      <w:r>
        <w:rPr>
          <w:rFonts w:hint="eastAsia" w:ascii="仿宋_GB2312" w:hAnsi="仿宋_GB2312" w:eastAsia="仿宋_GB2312" w:cs="仿宋_GB2312"/>
          <w:sz w:val="32"/>
          <w:szCs w:val="32"/>
        </w:rPr>
        <w:t>万元。增长的主要原因：一是</w:t>
      </w:r>
      <w:r>
        <w:rPr>
          <w:rFonts w:hint="eastAsia" w:ascii="仿宋_GB2312" w:hAnsi="仿宋_GB2312" w:eastAsia="仿宋_GB2312" w:cs="仿宋_GB2312"/>
          <w:sz w:val="32"/>
          <w:szCs w:val="32"/>
          <w:lang w:val="en-US" w:eastAsia="zh-CN"/>
        </w:rPr>
        <w:t>新设两个内设机构</w:t>
      </w:r>
      <w:r>
        <w:rPr>
          <w:rFonts w:hint="eastAsia" w:ascii="仿宋_GB2312" w:hAnsi="仿宋_GB2312" w:eastAsia="仿宋_GB2312" w:cs="仿宋_GB2312"/>
          <w:sz w:val="32"/>
          <w:szCs w:val="32"/>
        </w:rPr>
        <w:t>，增加相应的</w:t>
      </w:r>
      <w:r>
        <w:rPr>
          <w:rFonts w:hint="eastAsia" w:ascii="仿宋_GB2312" w:hAnsi="仿宋_GB2312" w:eastAsia="仿宋_GB2312" w:cs="仿宋_GB2312"/>
          <w:sz w:val="32"/>
          <w:szCs w:val="32"/>
          <w:lang w:val="en-US" w:eastAsia="zh-CN"/>
        </w:rPr>
        <w:t>人员经费及专项</w:t>
      </w:r>
      <w:r>
        <w:rPr>
          <w:rFonts w:hint="eastAsia" w:ascii="仿宋_GB2312" w:hAnsi="仿宋_GB2312" w:eastAsia="仿宋_GB2312" w:cs="仿宋_GB2312"/>
          <w:sz w:val="32"/>
          <w:szCs w:val="32"/>
        </w:rPr>
        <w:t>项目支出；二是</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、创业奖补等支出进一步增加；三是专项业务量增加，产业大招工、全程代办业务、科技交流、环保检测执法、项目规划等专项业务工作支出增加。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2、支出按功能科目分类的明细情况。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本部门一般公共预算支出</w:t>
      </w:r>
      <w:r>
        <w:rPr>
          <w:rFonts w:hint="eastAsia" w:ascii="仿宋_GB2312" w:hAnsi="仿宋_GB2312" w:eastAsia="仿宋_GB2312" w:cs="仿宋_GB2312"/>
          <w:sz w:val="32"/>
          <w:szCs w:val="32"/>
          <w:lang w:val="en-US" w:eastAsia="zh-CN"/>
        </w:rPr>
        <w:t>37119.58</w:t>
      </w:r>
      <w:r>
        <w:rPr>
          <w:rFonts w:hint="eastAsia" w:ascii="仿宋_GB2312" w:hAnsi="仿宋_GB2312" w:eastAsia="仿宋_GB2312" w:cs="仿宋_GB2312"/>
          <w:sz w:val="32"/>
          <w:szCs w:val="32"/>
        </w:rPr>
        <w:t>万元，按功能科目分类为：一般公共服务</w:t>
      </w:r>
      <w:r>
        <w:rPr>
          <w:rFonts w:hint="eastAsia" w:ascii="仿宋_GB2312" w:hAnsi="仿宋_GB2312" w:eastAsia="仿宋_GB2312" w:cs="仿宋_GB2312"/>
          <w:sz w:val="32"/>
          <w:szCs w:val="32"/>
          <w:lang w:val="en-US" w:eastAsia="zh-CN"/>
        </w:rPr>
        <w:t>17094</w:t>
      </w:r>
      <w:r>
        <w:rPr>
          <w:rFonts w:hint="eastAsia" w:ascii="仿宋_GB2312" w:hAnsi="仿宋_GB2312" w:eastAsia="仿宋_GB2312" w:cs="仿宋_GB2312"/>
          <w:sz w:val="32"/>
          <w:szCs w:val="32"/>
        </w:rPr>
        <w:t>万元比上年15302万元增加</w:t>
      </w:r>
      <w:r>
        <w:rPr>
          <w:rFonts w:hint="eastAsia" w:ascii="仿宋_GB2312" w:hAnsi="仿宋_GB2312" w:eastAsia="仿宋_GB2312" w:cs="仿宋_GB2312"/>
          <w:sz w:val="32"/>
          <w:szCs w:val="32"/>
          <w:lang w:val="en-US" w:eastAsia="zh-CN"/>
        </w:rPr>
        <w:t>1792</w:t>
      </w:r>
      <w:r>
        <w:rPr>
          <w:rFonts w:hint="eastAsia" w:ascii="仿宋_GB2312" w:hAnsi="仿宋_GB2312" w:eastAsia="仿宋_GB2312" w:cs="仿宋_GB2312"/>
          <w:sz w:val="32"/>
          <w:szCs w:val="32"/>
        </w:rPr>
        <w:t>万元；科学技术事务</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万元比上年120万元增加</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7691.2</w:t>
      </w:r>
      <w:r>
        <w:rPr>
          <w:rFonts w:hint="eastAsia" w:ascii="仿宋_GB2312" w:hAnsi="仿宋_GB2312" w:eastAsia="仿宋_GB2312" w:cs="仿宋_GB2312"/>
          <w:sz w:val="32"/>
          <w:szCs w:val="32"/>
        </w:rPr>
        <w:t>万元比上年6358万元增加</w:t>
      </w:r>
      <w:r>
        <w:rPr>
          <w:rFonts w:hint="eastAsia" w:ascii="仿宋_GB2312" w:hAnsi="仿宋_GB2312" w:eastAsia="仿宋_GB2312" w:cs="仿宋_GB2312"/>
          <w:sz w:val="32"/>
          <w:szCs w:val="32"/>
          <w:lang w:val="en-US" w:eastAsia="zh-CN"/>
        </w:rPr>
        <w:t>1333.2</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1993.38</w:t>
      </w:r>
      <w:r>
        <w:rPr>
          <w:rFonts w:hint="eastAsia" w:ascii="仿宋_GB2312" w:hAnsi="仿宋_GB2312" w:eastAsia="仿宋_GB2312" w:cs="仿宋_GB2312"/>
          <w:sz w:val="32"/>
          <w:szCs w:val="32"/>
        </w:rPr>
        <w:t>万元比上年1538万元增加</w:t>
      </w:r>
      <w:r>
        <w:rPr>
          <w:rFonts w:hint="eastAsia" w:ascii="仿宋_GB2312" w:hAnsi="仿宋_GB2312" w:eastAsia="仿宋_GB2312" w:cs="仿宋_GB2312"/>
          <w:sz w:val="32"/>
          <w:szCs w:val="32"/>
          <w:lang w:val="en-US" w:eastAsia="zh-CN"/>
        </w:rPr>
        <w:t>455.38</w:t>
      </w:r>
      <w:r>
        <w:rPr>
          <w:rFonts w:hint="eastAsia" w:ascii="仿宋_GB2312" w:hAnsi="仿宋_GB2312" w:eastAsia="仿宋_GB2312" w:cs="仿宋_GB2312"/>
          <w:sz w:val="32"/>
          <w:szCs w:val="32"/>
        </w:rPr>
        <w:t>万元；节能环保支出</w:t>
      </w:r>
      <w:r>
        <w:rPr>
          <w:rFonts w:hint="eastAsia" w:ascii="仿宋_GB2312" w:hAnsi="仿宋_GB2312" w:eastAsia="仿宋_GB2312" w:cs="仿宋_GB2312"/>
          <w:sz w:val="32"/>
          <w:szCs w:val="32"/>
          <w:lang w:val="en-US" w:eastAsia="zh-CN"/>
        </w:rPr>
        <w:t>505.5</w:t>
      </w:r>
      <w:r>
        <w:rPr>
          <w:rFonts w:hint="eastAsia" w:ascii="仿宋_GB2312" w:hAnsi="仿宋_GB2312" w:eastAsia="仿宋_GB2312" w:cs="仿宋_GB2312"/>
          <w:sz w:val="32"/>
          <w:szCs w:val="32"/>
        </w:rPr>
        <w:t>万元比上年307万元增加</w:t>
      </w:r>
      <w:r>
        <w:rPr>
          <w:rFonts w:hint="eastAsia" w:ascii="仿宋_GB2312" w:hAnsi="仿宋_GB2312" w:eastAsia="仿宋_GB2312" w:cs="仿宋_GB2312"/>
          <w:sz w:val="32"/>
          <w:szCs w:val="32"/>
          <w:lang w:val="en-US" w:eastAsia="zh-CN"/>
        </w:rPr>
        <w:t>198.3</w:t>
      </w:r>
      <w:r>
        <w:rPr>
          <w:rFonts w:hint="eastAsia" w:ascii="仿宋_GB2312" w:hAnsi="仿宋_GB2312" w:eastAsia="仿宋_GB2312" w:cs="仿宋_GB2312"/>
          <w:sz w:val="32"/>
          <w:szCs w:val="32"/>
        </w:rPr>
        <w:t>万元；城乡社区支出</w:t>
      </w:r>
      <w:r>
        <w:rPr>
          <w:rFonts w:hint="eastAsia" w:ascii="仿宋_GB2312" w:hAnsi="仿宋_GB2312" w:eastAsia="仿宋_GB2312" w:cs="仿宋_GB2312"/>
          <w:sz w:val="32"/>
          <w:szCs w:val="32"/>
          <w:lang w:val="en-US" w:eastAsia="zh-CN"/>
        </w:rPr>
        <w:t>3223</w:t>
      </w:r>
      <w:r>
        <w:rPr>
          <w:rFonts w:hint="eastAsia" w:ascii="仿宋_GB2312" w:hAnsi="仿宋_GB2312" w:eastAsia="仿宋_GB2312" w:cs="仿宋_GB2312"/>
          <w:sz w:val="32"/>
          <w:szCs w:val="32"/>
        </w:rPr>
        <w:t>万元比上年5188万元减少</w:t>
      </w:r>
      <w:r>
        <w:rPr>
          <w:rFonts w:hint="eastAsia" w:ascii="仿宋_GB2312" w:hAnsi="仿宋_GB2312" w:eastAsia="仿宋_GB2312" w:cs="仿宋_GB2312"/>
          <w:sz w:val="32"/>
          <w:szCs w:val="32"/>
          <w:lang w:val="en-US" w:eastAsia="zh-CN"/>
        </w:rPr>
        <w:t>1965</w:t>
      </w:r>
      <w:r>
        <w:rPr>
          <w:rFonts w:hint="eastAsia" w:ascii="仿宋_GB2312" w:hAnsi="仿宋_GB2312" w:eastAsia="仿宋_GB2312" w:cs="仿宋_GB2312"/>
          <w:sz w:val="32"/>
          <w:szCs w:val="32"/>
        </w:rPr>
        <w:t>万元；农林水（扶贫）支出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万元比上年2600万元减少600万元；资源勘探信息支出</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万元比上年133万元</w:t>
      </w:r>
      <w:r>
        <w:rPr>
          <w:rFonts w:hint="eastAsia" w:ascii="仿宋_GB2312" w:hAnsi="仿宋_GB2312" w:eastAsia="仿宋_GB2312" w:cs="仿宋_GB2312"/>
          <w:sz w:val="32"/>
          <w:szCs w:val="32"/>
          <w:lang w:val="en-US" w:eastAsia="zh-CN"/>
        </w:rPr>
        <w:t>增加667</w:t>
      </w:r>
      <w:r>
        <w:rPr>
          <w:rFonts w:hint="eastAsia" w:ascii="仿宋_GB2312" w:hAnsi="仿宋_GB2312" w:eastAsia="仿宋_GB2312" w:cs="仿宋_GB2312"/>
          <w:sz w:val="32"/>
          <w:szCs w:val="32"/>
        </w:rPr>
        <w:t>万元；自然资源海洋气象等支出</w:t>
      </w:r>
      <w:r>
        <w:rPr>
          <w:rFonts w:hint="eastAsia" w:ascii="仿宋_GB2312" w:hAnsi="仿宋_GB2312" w:eastAsia="仿宋_GB2312" w:cs="仿宋_GB2312"/>
          <w:sz w:val="32"/>
          <w:szCs w:val="32"/>
          <w:lang w:val="en-US" w:eastAsia="zh-CN"/>
        </w:rPr>
        <w:t>2329.5</w:t>
      </w:r>
      <w:r>
        <w:rPr>
          <w:rFonts w:hint="eastAsia" w:ascii="仿宋_GB2312" w:hAnsi="仿宋_GB2312" w:eastAsia="仿宋_GB2312" w:cs="仿宋_GB2312"/>
          <w:sz w:val="32"/>
          <w:szCs w:val="32"/>
        </w:rPr>
        <w:t>万元比上年1612万元</w:t>
      </w:r>
      <w:r>
        <w:rPr>
          <w:rFonts w:hint="eastAsia" w:ascii="仿宋_GB2312" w:hAnsi="仿宋_GB2312" w:eastAsia="仿宋_GB2312" w:cs="仿宋_GB2312"/>
          <w:sz w:val="32"/>
          <w:szCs w:val="32"/>
          <w:lang w:val="en-US" w:eastAsia="zh-CN"/>
        </w:rPr>
        <w:t>增加717.5</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1273</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83820</wp:posOffset>
            </wp:positionV>
            <wp:extent cx="5562600" cy="2390775"/>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keepNext w:val="0"/>
        <w:keepLines w:val="0"/>
        <w:pageBreakBefore w:val="0"/>
        <w:widowControl w:val="0"/>
        <w:kinsoku/>
        <w:wordWrap/>
        <w:overflowPunct/>
        <w:topLinePunct w:val="0"/>
        <w:autoSpaceDE/>
        <w:autoSpaceDN/>
        <w:bidi w:val="0"/>
        <w:adjustRightInd/>
        <w:snapToGrid/>
        <w:spacing w:line="560" w:lineRule="exact"/>
        <w:ind w:left="160" w:leftChars="76"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预算支出</w:t>
      </w:r>
      <w:r>
        <w:rPr>
          <w:rFonts w:hint="eastAsia" w:ascii="仿宋_GB2312" w:hAnsi="仿宋_GB2312" w:eastAsia="仿宋_GB2312" w:cs="仿宋_GB2312"/>
          <w:sz w:val="32"/>
          <w:szCs w:val="32"/>
          <w:lang w:val="en-US" w:eastAsia="zh-CN"/>
        </w:rPr>
        <w:t>37119.58</w:t>
      </w:r>
      <w:r>
        <w:rPr>
          <w:rFonts w:hint="eastAsia" w:ascii="仿宋_GB2312" w:hAnsi="仿宋_GB2312" w:eastAsia="仿宋_GB2312" w:cs="仿宋_GB2312"/>
          <w:sz w:val="32"/>
          <w:szCs w:val="32"/>
        </w:rPr>
        <w:t>万元，按经济科目分类: 工资福利支出</w:t>
      </w:r>
      <w:r>
        <w:rPr>
          <w:rFonts w:hint="eastAsia" w:ascii="仿宋_GB2312" w:hAnsi="仿宋_GB2312" w:eastAsia="仿宋_GB2312" w:cs="仿宋_GB2312"/>
          <w:sz w:val="32"/>
          <w:szCs w:val="32"/>
          <w:lang w:val="en-US" w:eastAsia="zh-CN"/>
        </w:rPr>
        <w:t>8968.65</w:t>
      </w:r>
      <w:r>
        <w:rPr>
          <w:rFonts w:hint="eastAsia" w:ascii="仿宋_GB2312" w:hAnsi="仿宋_GB2312" w:eastAsia="仿宋_GB2312" w:cs="仿宋_GB2312"/>
          <w:sz w:val="32"/>
          <w:szCs w:val="32"/>
        </w:rPr>
        <w:t>万元（基本工资</w:t>
      </w:r>
      <w:r>
        <w:rPr>
          <w:rFonts w:hint="eastAsia" w:ascii="仿宋_GB2312" w:hAnsi="仿宋_GB2312" w:eastAsia="仿宋_GB2312" w:cs="仿宋_GB2312"/>
          <w:sz w:val="32"/>
          <w:szCs w:val="32"/>
          <w:lang w:val="en-US" w:eastAsia="zh-CN"/>
        </w:rPr>
        <w:t>3310.5</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val="en-US" w:eastAsia="zh-CN"/>
        </w:rPr>
        <w:t>1868.07</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943.9</w:t>
      </w:r>
      <w:r>
        <w:rPr>
          <w:rFonts w:hint="eastAsia" w:ascii="仿宋_GB2312" w:hAnsi="仿宋_GB2312" w:eastAsia="仿宋_GB2312" w:cs="仿宋_GB2312"/>
          <w:sz w:val="32"/>
          <w:szCs w:val="32"/>
        </w:rPr>
        <w:t>万元、社保缴费</w:t>
      </w:r>
      <w:r>
        <w:rPr>
          <w:rFonts w:hint="eastAsia" w:ascii="仿宋_GB2312" w:hAnsi="仿宋_GB2312" w:eastAsia="仿宋_GB2312" w:cs="仿宋_GB2312"/>
          <w:sz w:val="32"/>
          <w:szCs w:val="32"/>
          <w:lang w:val="en-US" w:eastAsia="zh-CN"/>
        </w:rPr>
        <w:t>963.80</w:t>
      </w:r>
      <w:r>
        <w:rPr>
          <w:rFonts w:hint="eastAsia" w:ascii="仿宋_GB2312" w:hAnsi="仿宋_GB2312" w:eastAsia="仿宋_GB2312" w:cs="仿宋_GB2312"/>
          <w:sz w:val="32"/>
          <w:szCs w:val="32"/>
        </w:rPr>
        <w:t>万元、交通补贴</w:t>
      </w:r>
      <w:r>
        <w:rPr>
          <w:rFonts w:hint="eastAsia" w:ascii="仿宋_GB2312" w:hAnsi="仿宋_GB2312" w:eastAsia="仿宋_GB2312" w:cs="仿宋_GB2312"/>
          <w:sz w:val="32"/>
          <w:szCs w:val="32"/>
          <w:lang w:val="en-US" w:eastAsia="zh-CN"/>
        </w:rPr>
        <w:t>422.47</w:t>
      </w:r>
      <w:r>
        <w:rPr>
          <w:rFonts w:hint="eastAsia" w:ascii="仿宋_GB2312" w:hAnsi="仿宋_GB2312" w:eastAsia="仿宋_GB2312" w:cs="仿宋_GB2312"/>
          <w:sz w:val="32"/>
          <w:szCs w:val="32"/>
        </w:rPr>
        <w:t>万元）比上年6475万元增加</w:t>
      </w:r>
      <w:r>
        <w:rPr>
          <w:rFonts w:hint="eastAsia" w:ascii="仿宋_GB2312" w:hAnsi="仿宋_GB2312" w:eastAsia="仿宋_GB2312" w:cs="仿宋_GB2312"/>
          <w:sz w:val="32"/>
          <w:szCs w:val="32"/>
          <w:lang w:val="en-US" w:eastAsia="zh-CN"/>
        </w:rPr>
        <w:t>2493.65</w:t>
      </w:r>
      <w:r>
        <w:rPr>
          <w:rFonts w:hint="eastAsia" w:ascii="仿宋_GB2312" w:hAnsi="仿宋_GB2312" w:eastAsia="仿宋_GB2312" w:cs="仿宋_GB2312"/>
          <w:sz w:val="32"/>
          <w:szCs w:val="32"/>
        </w:rPr>
        <w:t>万元；商品服务支出</w:t>
      </w:r>
      <w:r>
        <w:rPr>
          <w:rFonts w:hint="eastAsia" w:ascii="仿宋_GB2312" w:hAnsi="仿宋_GB2312" w:eastAsia="仿宋_GB2312" w:cs="仿宋_GB2312"/>
          <w:sz w:val="32"/>
          <w:szCs w:val="32"/>
          <w:lang w:val="en-US" w:eastAsia="zh-CN"/>
        </w:rPr>
        <w:t>801.8</w:t>
      </w:r>
      <w:r>
        <w:rPr>
          <w:rFonts w:hint="eastAsia" w:ascii="仿宋_GB2312" w:hAnsi="仿宋_GB2312" w:eastAsia="仿宋_GB2312" w:cs="仿宋_GB2312"/>
          <w:sz w:val="32"/>
          <w:szCs w:val="32"/>
        </w:rPr>
        <w:t>万元（办公费</w:t>
      </w:r>
      <w:r>
        <w:rPr>
          <w:rFonts w:hint="eastAsia" w:ascii="仿宋_GB2312" w:hAnsi="仿宋_GB2312" w:eastAsia="仿宋_GB2312" w:cs="仿宋_GB2312"/>
          <w:sz w:val="32"/>
          <w:szCs w:val="32"/>
          <w:lang w:val="en-US" w:eastAsia="zh-CN"/>
        </w:rPr>
        <w:t>223.4</w:t>
      </w:r>
      <w:r>
        <w:rPr>
          <w:rFonts w:hint="eastAsia" w:ascii="仿宋_GB2312" w:hAnsi="仿宋_GB2312" w:eastAsia="仿宋_GB2312" w:cs="仿宋_GB2312"/>
          <w:sz w:val="32"/>
          <w:szCs w:val="32"/>
        </w:rPr>
        <w:t>万元、其他交通费用</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 万元、其他商品服务支出</w:t>
      </w:r>
      <w:r>
        <w:rPr>
          <w:rFonts w:hint="eastAsia" w:ascii="仿宋_GB2312" w:hAnsi="仿宋_GB2312" w:eastAsia="仿宋_GB2312" w:cs="仿宋_GB2312"/>
          <w:sz w:val="32"/>
          <w:szCs w:val="32"/>
          <w:lang w:val="en-US" w:eastAsia="zh-CN"/>
        </w:rPr>
        <w:t>478.4</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732</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69.8</w:t>
      </w:r>
      <w:r>
        <w:rPr>
          <w:rFonts w:hint="eastAsia" w:ascii="仿宋_GB2312" w:hAnsi="仿宋_GB2312" w:eastAsia="仿宋_GB2312" w:cs="仿宋_GB2312"/>
          <w:sz w:val="32"/>
          <w:szCs w:val="32"/>
        </w:rPr>
        <w:t>万元；其他对个人和家庭的补助</w:t>
      </w:r>
      <w:r>
        <w:rPr>
          <w:rFonts w:hint="eastAsia" w:ascii="仿宋_GB2312" w:hAnsi="仿宋_GB2312" w:eastAsia="仿宋_GB2312" w:cs="仿宋_GB2312"/>
          <w:sz w:val="32"/>
          <w:szCs w:val="32"/>
          <w:lang w:val="en-US" w:eastAsia="zh-CN"/>
        </w:rPr>
        <w:t>1237.95</w:t>
      </w:r>
      <w:r>
        <w:rPr>
          <w:rFonts w:hint="eastAsia" w:ascii="仿宋_GB2312" w:hAnsi="仿宋_GB2312" w:eastAsia="仿宋_GB2312" w:cs="仿宋_GB2312"/>
          <w:sz w:val="32"/>
          <w:szCs w:val="32"/>
        </w:rPr>
        <w:t>万元，比上年1542万元</w:t>
      </w:r>
      <w:r>
        <w:rPr>
          <w:rFonts w:hint="eastAsia" w:ascii="仿宋_GB2312" w:hAnsi="仿宋_GB2312" w:eastAsia="仿宋_GB2312" w:cs="仿宋_GB2312"/>
          <w:sz w:val="32"/>
          <w:szCs w:val="32"/>
          <w:lang w:val="en-US" w:eastAsia="zh-CN"/>
        </w:rPr>
        <w:t>减少304.05</w:t>
      </w:r>
      <w:r>
        <w:rPr>
          <w:rFonts w:hint="eastAsia" w:ascii="仿宋_GB2312" w:hAnsi="仿宋_GB2312" w:eastAsia="仿宋_GB2312" w:cs="仿宋_GB2312"/>
          <w:sz w:val="32"/>
          <w:szCs w:val="32"/>
        </w:rPr>
        <w:t>万元；其他资本性支出</w:t>
      </w:r>
      <w:r>
        <w:rPr>
          <w:rFonts w:hint="eastAsia" w:ascii="仿宋_GB2312" w:hAnsi="仿宋_GB2312" w:eastAsia="仿宋_GB2312" w:cs="仿宋_GB2312"/>
          <w:sz w:val="32"/>
          <w:szCs w:val="32"/>
          <w:lang w:val="en-US" w:eastAsia="zh-CN"/>
        </w:rPr>
        <w:t>26111.18</w:t>
      </w:r>
      <w:r>
        <w:rPr>
          <w:rFonts w:hint="eastAsia" w:ascii="仿宋_GB2312" w:hAnsi="仿宋_GB2312" w:eastAsia="仿宋_GB2312" w:cs="仿宋_GB2312"/>
          <w:sz w:val="32"/>
          <w:szCs w:val="32"/>
        </w:rPr>
        <w:t>万元比上年27454万元</w:t>
      </w:r>
      <w:r>
        <w:rPr>
          <w:rFonts w:hint="eastAsia" w:ascii="仿宋_GB2312" w:hAnsi="仿宋_GB2312" w:eastAsia="仿宋_GB2312" w:cs="仿宋_GB2312"/>
          <w:sz w:val="32"/>
          <w:szCs w:val="32"/>
          <w:lang w:val="en-US" w:eastAsia="zh-CN"/>
        </w:rPr>
        <w:t>减少1342.82</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133350</wp:posOffset>
            </wp:positionH>
            <wp:positionV relativeFrom="paragraph">
              <wp:posOffset>71120</wp:posOffset>
            </wp:positionV>
            <wp:extent cx="5448300" cy="2286000"/>
            <wp:effectExtent l="0" t="0" r="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结转列权责发生制核算一般公共预算拨款支出情况。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年结转的列权责发生制核算一般公共预算拨款支出。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本部门当年政府性基金预算支出</w:t>
      </w:r>
      <w:r>
        <w:rPr>
          <w:rFonts w:hint="eastAsia" w:ascii="仿宋_GB2312" w:hAnsi="仿宋_GB2312" w:eastAsia="仿宋_GB2312" w:cs="仿宋_GB2312"/>
          <w:sz w:val="32"/>
          <w:szCs w:val="32"/>
          <w:lang w:val="en-US" w:eastAsia="zh-CN"/>
        </w:rPr>
        <w:t>50.91</w:t>
      </w:r>
      <w:r>
        <w:rPr>
          <w:rFonts w:hint="eastAsia" w:ascii="仿宋_GB2312" w:hAnsi="仿宋_GB2312" w:eastAsia="仿宋_GB2312" w:cs="仿宋_GB2312"/>
          <w:sz w:val="32"/>
          <w:szCs w:val="32"/>
        </w:rPr>
        <w:t>亿元，较上年55.58亿</w:t>
      </w:r>
      <w:r>
        <w:rPr>
          <w:rFonts w:hint="eastAsia" w:ascii="仿宋_GB2312" w:hAnsi="仿宋_GB2312" w:eastAsia="仿宋_GB2312" w:cs="仿宋_GB2312"/>
          <w:sz w:val="32"/>
          <w:szCs w:val="32"/>
          <w:lang w:val="en-US" w:eastAsia="zh-CN"/>
        </w:rPr>
        <w:t>减少4.67</w:t>
      </w:r>
      <w:r>
        <w:rPr>
          <w:rFonts w:hint="eastAsia" w:ascii="仿宋_GB2312" w:hAnsi="仿宋_GB2312" w:eastAsia="仿宋_GB2312" w:cs="仿宋_GB2312"/>
          <w:sz w:val="32"/>
          <w:szCs w:val="32"/>
        </w:rPr>
        <w:t>亿元，为国有土地使用权出让收入，全部列收列支。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本部门无国有资本经营预算拨款收支。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（六）“三公”经费等预算情况。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本部门当年一般公共预算“三公”经费预算支出</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4万元。其中：因公出国（境）经费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万元；公务用车费（其他交通费）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本部门无20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年结转的列权责发生制核算的‘三公’经费支出。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（七）机关运行经费安排情况。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机关运行经费预算安排</w:t>
      </w:r>
      <w:r>
        <w:rPr>
          <w:rFonts w:hint="eastAsia" w:ascii="仿宋_GB2312" w:hAnsi="仿宋_GB2312" w:eastAsia="仿宋_GB2312" w:cs="仿宋_GB2312"/>
          <w:sz w:val="32"/>
          <w:szCs w:val="32"/>
          <w:lang w:val="en-US" w:eastAsia="zh-CN"/>
        </w:rPr>
        <w:t>801.8</w:t>
      </w:r>
      <w:r>
        <w:rPr>
          <w:rFonts w:hint="eastAsia" w:ascii="仿宋_GB2312" w:hAnsi="仿宋_GB2312" w:eastAsia="仿宋_GB2312" w:cs="仿宋_GB2312"/>
          <w:sz w:val="32"/>
          <w:szCs w:val="32"/>
        </w:rPr>
        <w:t>万元，较上年725万元增加</w:t>
      </w:r>
      <w:r>
        <w:rPr>
          <w:rFonts w:hint="eastAsia" w:ascii="仿宋_GB2312" w:hAnsi="仿宋_GB2312" w:eastAsia="仿宋_GB2312" w:cs="仿宋_GB2312"/>
          <w:sz w:val="32"/>
          <w:szCs w:val="32"/>
          <w:lang w:val="en-US" w:eastAsia="zh-CN"/>
        </w:rPr>
        <w:t>76.8</w:t>
      </w:r>
      <w:r>
        <w:rPr>
          <w:rFonts w:hint="eastAsia" w:ascii="仿宋_GB2312" w:hAnsi="仿宋_GB2312" w:eastAsia="仿宋_GB2312" w:cs="仿宋_GB2312"/>
          <w:sz w:val="32"/>
          <w:szCs w:val="32"/>
        </w:rPr>
        <w:t>万元，增长的主要原因是托管区域人员划转，造成机关运转经费增加。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结转的列权责发生制核算的机关运行费支出。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本部门当年政府采购预算共</w:t>
      </w:r>
      <w:r>
        <w:rPr>
          <w:rFonts w:hint="eastAsia" w:ascii="仿宋_GB2312" w:hAnsi="仿宋_GB2312" w:eastAsia="仿宋_GB2312" w:cs="仿宋_GB2312"/>
          <w:sz w:val="32"/>
          <w:szCs w:val="32"/>
          <w:lang w:val="en-US" w:eastAsia="zh-CN"/>
        </w:rPr>
        <w:t>643.96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全部为</w:t>
      </w:r>
      <w:r>
        <w:rPr>
          <w:rFonts w:hint="eastAsia" w:ascii="仿宋_GB2312" w:hAnsi="仿宋_GB2312" w:eastAsia="仿宋_GB2312" w:cs="仿宋_GB2312"/>
          <w:sz w:val="32"/>
          <w:szCs w:val="32"/>
        </w:rPr>
        <w:t>政府采购货物类预算。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结转的列权责发生制核算的政府采购资金支出。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权责发生制：以权利和责任的发生来决定收入和费用归属期，是指在本期内已经收到和已经发生或应当负担的一切费用，不论其款项是否收到或付出，都作为本期的收入和费用处理；反之，凡不属于本期的收入和费用，即使款项在本期收到或付出，也不应作为本期的收入和费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（四）政府采购：主体是各级国家机关、事业单位或团体组织，采购对象必须属于采购目录或达到限额标准，本说明中政府采购是狭义上的只指对货物和服务的政府采购。</w:t>
      </w:r>
      <w:r>
        <w:rPr>
          <w:rFonts w:ascii="仿宋_GB2312" w:hAnsi="仿宋_GB2312" w:eastAsia="仿宋_GB2312" w:cs="仿宋_GB2312"/>
          <w:sz w:val="32"/>
          <w:szCs w:val="32"/>
        </w:rPr>
        <w:tab/>
      </w:r>
      <w:r>
        <w:rPr>
          <w:rFonts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安康高新区管委会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tabs>
          <w:tab w:val="left" w:pos="7218"/>
        </w:tabs>
        <w:kinsoku/>
        <w:wordWrap/>
        <w:overflowPunct/>
        <w:topLinePunct w:val="0"/>
        <w:autoSpaceDE/>
        <w:autoSpaceDN/>
        <w:bidi w:val="0"/>
        <w:adjustRightInd/>
        <w:snapToGrid/>
        <w:spacing w:line="560" w:lineRule="exact"/>
        <w:ind w:firstLine="600"/>
        <w:jc w:val="center"/>
        <w:textAlignment w:val="auto"/>
        <w:rPr>
          <w:sz w:val="28"/>
          <w:szCs w:val="28"/>
        </w:rPr>
      </w:pPr>
    </w:p>
    <w:p>
      <w:pPr>
        <w:keepNext w:val="0"/>
        <w:keepLines w:val="0"/>
        <w:pageBreakBefore w:val="0"/>
        <w:widowControl w:val="0"/>
        <w:tabs>
          <w:tab w:val="left" w:pos="7218"/>
        </w:tabs>
        <w:kinsoku/>
        <w:wordWrap/>
        <w:overflowPunct/>
        <w:topLinePunct w:val="0"/>
        <w:autoSpaceDE/>
        <w:autoSpaceDN/>
        <w:bidi w:val="0"/>
        <w:adjustRightInd/>
        <w:snapToGrid/>
        <w:spacing w:line="560" w:lineRule="exact"/>
        <w:ind w:firstLine="600"/>
        <w:textAlignment w:val="auto"/>
        <w:rPr>
          <w:sz w:val="28"/>
          <w:szCs w:val="28"/>
        </w:rPr>
      </w:pPr>
    </w:p>
    <w:p>
      <w:pPr>
        <w:keepNext w:val="0"/>
        <w:keepLines w:val="0"/>
        <w:pageBreakBefore w:val="0"/>
        <w:widowControl w:val="0"/>
        <w:tabs>
          <w:tab w:val="left" w:pos="7218"/>
        </w:tabs>
        <w:kinsoku/>
        <w:wordWrap/>
        <w:overflowPunct/>
        <w:topLinePunct w:val="0"/>
        <w:autoSpaceDE/>
        <w:autoSpaceDN/>
        <w:bidi w:val="0"/>
        <w:adjustRightInd/>
        <w:snapToGrid/>
        <w:spacing w:line="560" w:lineRule="exact"/>
        <w:ind w:firstLine="600"/>
        <w:textAlignment w:val="auto"/>
        <w:rPr>
          <w:sz w:val="28"/>
          <w:szCs w:val="28"/>
        </w:rPr>
      </w:pPr>
    </w:p>
    <w:sectPr>
      <w:headerReference r:id="rId3" w:type="default"/>
      <w:pgSz w:w="11906" w:h="16838"/>
      <w:pgMar w:top="1440" w:right="1406" w:bottom="1402" w:left="1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03F0C"/>
    <w:rsid w:val="00000075"/>
    <w:rsid w:val="0002294A"/>
    <w:rsid w:val="00032F20"/>
    <w:rsid w:val="00042D3C"/>
    <w:rsid w:val="0004566B"/>
    <w:rsid w:val="00057807"/>
    <w:rsid w:val="000638C3"/>
    <w:rsid w:val="0007494A"/>
    <w:rsid w:val="00076650"/>
    <w:rsid w:val="00081117"/>
    <w:rsid w:val="00081C5E"/>
    <w:rsid w:val="000820EC"/>
    <w:rsid w:val="00085BC0"/>
    <w:rsid w:val="000939D5"/>
    <w:rsid w:val="00093A45"/>
    <w:rsid w:val="000959AF"/>
    <w:rsid w:val="000969EA"/>
    <w:rsid w:val="000A5F14"/>
    <w:rsid w:val="000B67F2"/>
    <w:rsid w:val="000B6B20"/>
    <w:rsid w:val="000C7B5F"/>
    <w:rsid w:val="000C7E94"/>
    <w:rsid w:val="000D69A9"/>
    <w:rsid w:val="000F306B"/>
    <w:rsid w:val="00103F0C"/>
    <w:rsid w:val="00104931"/>
    <w:rsid w:val="00104E05"/>
    <w:rsid w:val="00120CF5"/>
    <w:rsid w:val="001213E8"/>
    <w:rsid w:val="00132466"/>
    <w:rsid w:val="00140FD0"/>
    <w:rsid w:val="00141E6C"/>
    <w:rsid w:val="001453EC"/>
    <w:rsid w:val="00156582"/>
    <w:rsid w:val="00164D98"/>
    <w:rsid w:val="001841FA"/>
    <w:rsid w:val="001B6BA8"/>
    <w:rsid w:val="001C0634"/>
    <w:rsid w:val="001D560D"/>
    <w:rsid w:val="001D6669"/>
    <w:rsid w:val="001F1139"/>
    <w:rsid w:val="001F34FF"/>
    <w:rsid w:val="00204D93"/>
    <w:rsid w:val="0021310B"/>
    <w:rsid w:val="00213872"/>
    <w:rsid w:val="002234A1"/>
    <w:rsid w:val="00227A76"/>
    <w:rsid w:val="002365EA"/>
    <w:rsid w:val="00237651"/>
    <w:rsid w:val="00242170"/>
    <w:rsid w:val="00247761"/>
    <w:rsid w:val="0025399E"/>
    <w:rsid w:val="0025629E"/>
    <w:rsid w:val="00267683"/>
    <w:rsid w:val="002825E0"/>
    <w:rsid w:val="002979ED"/>
    <w:rsid w:val="002B018B"/>
    <w:rsid w:val="002B3681"/>
    <w:rsid w:val="002D4B84"/>
    <w:rsid w:val="002D5D5E"/>
    <w:rsid w:val="002D62B1"/>
    <w:rsid w:val="002E7159"/>
    <w:rsid w:val="002F017C"/>
    <w:rsid w:val="002F2C73"/>
    <w:rsid w:val="00326292"/>
    <w:rsid w:val="003302AF"/>
    <w:rsid w:val="00334D5F"/>
    <w:rsid w:val="003412EC"/>
    <w:rsid w:val="00345D78"/>
    <w:rsid w:val="00351AEF"/>
    <w:rsid w:val="003549DE"/>
    <w:rsid w:val="00354FA0"/>
    <w:rsid w:val="00356F36"/>
    <w:rsid w:val="00380E2F"/>
    <w:rsid w:val="003A00EF"/>
    <w:rsid w:val="003A10D9"/>
    <w:rsid w:val="003A5667"/>
    <w:rsid w:val="003A5E7E"/>
    <w:rsid w:val="003C7103"/>
    <w:rsid w:val="003D0BEC"/>
    <w:rsid w:val="003D19DA"/>
    <w:rsid w:val="003D37E3"/>
    <w:rsid w:val="003E10BF"/>
    <w:rsid w:val="003E4E63"/>
    <w:rsid w:val="003F36AC"/>
    <w:rsid w:val="00407EDB"/>
    <w:rsid w:val="00417DBE"/>
    <w:rsid w:val="004374F4"/>
    <w:rsid w:val="00441045"/>
    <w:rsid w:val="00442BCC"/>
    <w:rsid w:val="00450671"/>
    <w:rsid w:val="004523F6"/>
    <w:rsid w:val="00462E44"/>
    <w:rsid w:val="004632A6"/>
    <w:rsid w:val="00472AF9"/>
    <w:rsid w:val="00472C16"/>
    <w:rsid w:val="00477EDB"/>
    <w:rsid w:val="0049083A"/>
    <w:rsid w:val="00497B57"/>
    <w:rsid w:val="00497B9B"/>
    <w:rsid w:val="004A2638"/>
    <w:rsid w:val="004C28FA"/>
    <w:rsid w:val="004C4619"/>
    <w:rsid w:val="004D01C4"/>
    <w:rsid w:val="004E1564"/>
    <w:rsid w:val="004F19CF"/>
    <w:rsid w:val="00502E05"/>
    <w:rsid w:val="00505753"/>
    <w:rsid w:val="00514C8E"/>
    <w:rsid w:val="00516D4F"/>
    <w:rsid w:val="0052220D"/>
    <w:rsid w:val="005300BA"/>
    <w:rsid w:val="00532A48"/>
    <w:rsid w:val="00541B84"/>
    <w:rsid w:val="00542974"/>
    <w:rsid w:val="00542EE7"/>
    <w:rsid w:val="005472A3"/>
    <w:rsid w:val="005621CD"/>
    <w:rsid w:val="00562FF6"/>
    <w:rsid w:val="00563A0B"/>
    <w:rsid w:val="0056593B"/>
    <w:rsid w:val="005771B0"/>
    <w:rsid w:val="005865A3"/>
    <w:rsid w:val="005A4651"/>
    <w:rsid w:val="005A6608"/>
    <w:rsid w:val="005B2DAB"/>
    <w:rsid w:val="005B56DB"/>
    <w:rsid w:val="005B5CCE"/>
    <w:rsid w:val="005C3E4F"/>
    <w:rsid w:val="005C7AD3"/>
    <w:rsid w:val="005D2C47"/>
    <w:rsid w:val="005D3AAA"/>
    <w:rsid w:val="005D577E"/>
    <w:rsid w:val="005F14BC"/>
    <w:rsid w:val="005F1BF5"/>
    <w:rsid w:val="005F2859"/>
    <w:rsid w:val="005F3DEF"/>
    <w:rsid w:val="0060101F"/>
    <w:rsid w:val="00603BF6"/>
    <w:rsid w:val="00604463"/>
    <w:rsid w:val="006109EA"/>
    <w:rsid w:val="0063499A"/>
    <w:rsid w:val="006363AC"/>
    <w:rsid w:val="00671411"/>
    <w:rsid w:val="00672F47"/>
    <w:rsid w:val="006826A1"/>
    <w:rsid w:val="00685740"/>
    <w:rsid w:val="00692FFC"/>
    <w:rsid w:val="006A72CA"/>
    <w:rsid w:val="006C00D0"/>
    <w:rsid w:val="006C18AF"/>
    <w:rsid w:val="006C71BD"/>
    <w:rsid w:val="006E0A4A"/>
    <w:rsid w:val="006E2ACB"/>
    <w:rsid w:val="006E6D81"/>
    <w:rsid w:val="006F523C"/>
    <w:rsid w:val="0070051F"/>
    <w:rsid w:val="007118CB"/>
    <w:rsid w:val="00720C61"/>
    <w:rsid w:val="00725550"/>
    <w:rsid w:val="00731A12"/>
    <w:rsid w:val="00736653"/>
    <w:rsid w:val="00760747"/>
    <w:rsid w:val="0076124F"/>
    <w:rsid w:val="00761F73"/>
    <w:rsid w:val="00764058"/>
    <w:rsid w:val="00795C2B"/>
    <w:rsid w:val="007A15A0"/>
    <w:rsid w:val="007A7F14"/>
    <w:rsid w:val="007B2758"/>
    <w:rsid w:val="007C0DCA"/>
    <w:rsid w:val="007D5577"/>
    <w:rsid w:val="007D5E71"/>
    <w:rsid w:val="0080179C"/>
    <w:rsid w:val="008017AA"/>
    <w:rsid w:val="00802CA9"/>
    <w:rsid w:val="00815629"/>
    <w:rsid w:val="00822718"/>
    <w:rsid w:val="008243FD"/>
    <w:rsid w:val="00826B5B"/>
    <w:rsid w:val="00830D71"/>
    <w:rsid w:val="00861FEF"/>
    <w:rsid w:val="00864C13"/>
    <w:rsid w:val="00876F10"/>
    <w:rsid w:val="00890DA3"/>
    <w:rsid w:val="008932AF"/>
    <w:rsid w:val="0089434D"/>
    <w:rsid w:val="00895842"/>
    <w:rsid w:val="008C2CD1"/>
    <w:rsid w:val="008C507B"/>
    <w:rsid w:val="008D66BF"/>
    <w:rsid w:val="008F5494"/>
    <w:rsid w:val="008F5B17"/>
    <w:rsid w:val="00900152"/>
    <w:rsid w:val="00906C15"/>
    <w:rsid w:val="0090776A"/>
    <w:rsid w:val="00907867"/>
    <w:rsid w:val="00911639"/>
    <w:rsid w:val="00917B87"/>
    <w:rsid w:val="00921215"/>
    <w:rsid w:val="00930F77"/>
    <w:rsid w:val="00953F51"/>
    <w:rsid w:val="00960F2F"/>
    <w:rsid w:val="00964A7A"/>
    <w:rsid w:val="009704C0"/>
    <w:rsid w:val="009733AF"/>
    <w:rsid w:val="009778D8"/>
    <w:rsid w:val="00984526"/>
    <w:rsid w:val="00990BA0"/>
    <w:rsid w:val="00996481"/>
    <w:rsid w:val="009A7578"/>
    <w:rsid w:val="009B611E"/>
    <w:rsid w:val="009D1914"/>
    <w:rsid w:val="009D39FB"/>
    <w:rsid w:val="009E3BD3"/>
    <w:rsid w:val="009F08A8"/>
    <w:rsid w:val="009F4108"/>
    <w:rsid w:val="009F6D69"/>
    <w:rsid w:val="00A00160"/>
    <w:rsid w:val="00A074D1"/>
    <w:rsid w:val="00A25615"/>
    <w:rsid w:val="00A32D8D"/>
    <w:rsid w:val="00A32EA9"/>
    <w:rsid w:val="00A45D33"/>
    <w:rsid w:val="00A52178"/>
    <w:rsid w:val="00A5247B"/>
    <w:rsid w:val="00A54AEE"/>
    <w:rsid w:val="00A55D87"/>
    <w:rsid w:val="00A5603F"/>
    <w:rsid w:val="00A61C87"/>
    <w:rsid w:val="00A63DF5"/>
    <w:rsid w:val="00A67B34"/>
    <w:rsid w:val="00A70268"/>
    <w:rsid w:val="00A77909"/>
    <w:rsid w:val="00A865A2"/>
    <w:rsid w:val="00AB7FDE"/>
    <w:rsid w:val="00AC195F"/>
    <w:rsid w:val="00AF0DFF"/>
    <w:rsid w:val="00AF195F"/>
    <w:rsid w:val="00B11250"/>
    <w:rsid w:val="00B412BD"/>
    <w:rsid w:val="00B43D55"/>
    <w:rsid w:val="00B46C42"/>
    <w:rsid w:val="00B565BA"/>
    <w:rsid w:val="00B64C22"/>
    <w:rsid w:val="00B66618"/>
    <w:rsid w:val="00B968CD"/>
    <w:rsid w:val="00BA02FA"/>
    <w:rsid w:val="00BA18CD"/>
    <w:rsid w:val="00BA191A"/>
    <w:rsid w:val="00BA742A"/>
    <w:rsid w:val="00BB3B3B"/>
    <w:rsid w:val="00BB6193"/>
    <w:rsid w:val="00BB6A0D"/>
    <w:rsid w:val="00BC0051"/>
    <w:rsid w:val="00BC1179"/>
    <w:rsid w:val="00BD45CC"/>
    <w:rsid w:val="00BD61D0"/>
    <w:rsid w:val="00BE733A"/>
    <w:rsid w:val="00BF1981"/>
    <w:rsid w:val="00BF5941"/>
    <w:rsid w:val="00C05619"/>
    <w:rsid w:val="00C20227"/>
    <w:rsid w:val="00C330EC"/>
    <w:rsid w:val="00C5119F"/>
    <w:rsid w:val="00C51B1A"/>
    <w:rsid w:val="00CA623B"/>
    <w:rsid w:val="00CA7FCC"/>
    <w:rsid w:val="00CC2BE9"/>
    <w:rsid w:val="00CC318D"/>
    <w:rsid w:val="00CC4112"/>
    <w:rsid w:val="00CD56AA"/>
    <w:rsid w:val="00CE6D30"/>
    <w:rsid w:val="00CF1F43"/>
    <w:rsid w:val="00D01DA6"/>
    <w:rsid w:val="00D21645"/>
    <w:rsid w:val="00D2522B"/>
    <w:rsid w:val="00D329FD"/>
    <w:rsid w:val="00D50031"/>
    <w:rsid w:val="00D50C2C"/>
    <w:rsid w:val="00D57C7F"/>
    <w:rsid w:val="00D61405"/>
    <w:rsid w:val="00D637A6"/>
    <w:rsid w:val="00D649AE"/>
    <w:rsid w:val="00D65D9E"/>
    <w:rsid w:val="00D74BD3"/>
    <w:rsid w:val="00D9144D"/>
    <w:rsid w:val="00D93AF4"/>
    <w:rsid w:val="00DA49BD"/>
    <w:rsid w:val="00DA4A27"/>
    <w:rsid w:val="00DB5B0A"/>
    <w:rsid w:val="00DD1891"/>
    <w:rsid w:val="00DF07F1"/>
    <w:rsid w:val="00DF16D5"/>
    <w:rsid w:val="00DF1AC8"/>
    <w:rsid w:val="00E0106A"/>
    <w:rsid w:val="00E06059"/>
    <w:rsid w:val="00E1473E"/>
    <w:rsid w:val="00E14DE0"/>
    <w:rsid w:val="00E20B0E"/>
    <w:rsid w:val="00E35095"/>
    <w:rsid w:val="00E42685"/>
    <w:rsid w:val="00E452B7"/>
    <w:rsid w:val="00E4789E"/>
    <w:rsid w:val="00E52124"/>
    <w:rsid w:val="00E54BE6"/>
    <w:rsid w:val="00E65758"/>
    <w:rsid w:val="00E669CC"/>
    <w:rsid w:val="00E715C9"/>
    <w:rsid w:val="00E81FB4"/>
    <w:rsid w:val="00E8302C"/>
    <w:rsid w:val="00EA3FBC"/>
    <w:rsid w:val="00EA43FF"/>
    <w:rsid w:val="00EA6E1E"/>
    <w:rsid w:val="00EA746E"/>
    <w:rsid w:val="00EB7474"/>
    <w:rsid w:val="00EC08CC"/>
    <w:rsid w:val="00EC3597"/>
    <w:rsid w:val="00EE0D29"/>
    <w:rsid w:val="00F00577"/>
    <w:rsid w:val="00F069AE"/>
    <w:rsid w:val="00F21294"/>
    <w:rsid w:val="00F22E99"/>
    <w:rsid w:val="00F259BA"/>
    <w:rsid w:val="00F3661F"/>
    <w:rsid w:val="00F41012"/>
    <w:rsid w:val="00F505B6"/>
    <w:rsid w:val="00F54EF7"/>
    <w:rsid w:val="00F84A14"/>
    <w:rsid w:val="00F86C1C"/>
    <w:rsid w:val="00F919B9"/>
    <w:rsid w:val="00FA1EF5"/>
    <w:rsid w:val="00FA204A"/>
    <w:rsid w:val="00FB0DBE"/>
    <w:rsid w:val="00FB4736"/>
    <w:rsid w:val="00FC1C9A"/>
    <w:rsid w:val="00FD1B37"/>
    <w:rsid w:val="00FD2A39"/>
    <w:rsid w:val="00FE631C"/>
    <w:rsid w:val="00FF05D6"/>
    <w:rsid w:val="00FF1F2A"/>
    <w:rsid w:val="00FF26EC"/>
    <w:rsid w:val="00FF43F6"/>
    <w:rsid w:val="030B4E8E"/>
    <w:rsid w:val="03A42070"/>
    <w:rsid w:val="05D10568"/>
    <w:rsid w:val="0994281C"/>
    <w:rsid w:val="0C837A81"/>
    <w:rsid w:val="104A4290"/>
    <w:rsid w:val="24C5301A"/>
    <w:rsid w:val="2A123FB8"/>
    <w:rsid w:val="3479511A"/>
    <w:rsid w:val="34DD20AB"/>
    <w:rsid w:val="3C573485"/>
    <w:rsid w:val="3C654ADA"/>
    <w:rsid w:val="3FA532E8"/>
    <w:rsid w:val="51C96855"/>
    <w:rsid w:val="54A94A6B"/>
    <w:rsid w:val="572E197F"/>
    <w:rsid w:val="67620E78"/>
    <w:rsid w:val="6AAB4CF6"/>
    <w:rsid w:val="75AD7385"/>
    <w:rsid w:val="7A1D6E8F"/>
    <w:rsid w:val="7CC9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功能科目支出结构</a:t>
            </a:r>
            <a:endParaRPr lang="zh-CN" altLang="en-US" sz="1400"/>
          </a:p>
        </c:rich>
      </c:tx>
      <c:layout/>
      <c:overlay val="0"/>
    </c:title>
    <c:autoTitleDeleted val="0"/>
    <c:plotArea>
      <c:layout/>
      <c:barChart>
        <c:barDir val="col"/>
        <c:grouping val="clustered"/>
        <c:varyColors val="0"/>
        <c:ser>
          <c:idx val="0"/>
          <c:order val="0"/>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17094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210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7691.2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1993.8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505.5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3223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a:t>
                    </a:r>
                    <a:r>
                      <a:rPr lang="en-US" altLang="zh-CN"/>
                      <a:t>0</a:t>
                    </a:r>
                    <a:r>
                      <a:t>00</a:t>
                    </a:r>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800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2329.5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1273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[Book1]Sheet1!$E$12:$E$21</c:f>
              <c:strCache>
                <c:ptCount val="10"/>
                <c:pt idx="0">
                  <c:v>一般公共服务</c:v>
                </c:pt>
                <c:pt idx="1">
                  <c:v>科学技术事务</c:v>
                </c:pt>
                <c:pt idx="2">
                  <c:v>社会保障和就业支出</c:v>
                </c:pt>
                <c:pt idx="3">
                  <c:v>卫生健康支出</c:v>
                </c:pt>
                <c:pt idx="4">
                  <c:v>节能环保支出</c:v>
                </c:pt>
                <c:pt idx="5">
                  <c:v>城乡社区支出</c:v>
                </c:pt>
                <c:pt idx="6">
                  <c:v>农林水（扶贫）支出</c:v>
                </c:pt>
                <c:pt idx="7">
                  <c:v>资源勘探信息支出</c:v>
                </c:pt>
                <c:pt idx="8">
                  <c:v>自然资源海洋气象等支出</c:v>
                </c:pt>
                <c:pt idx="9">
                  <c:v>住房保障支出</c:v>
                </c:pt>
              </c:strCache>
            </c:strRef>
          </c:cat>
          <c:val>
            <c:numRef>
              <c:f>[Book1]Sheet1!$F$12:$F$21</c:f>
              <c:numCache>
                <c:formatCode>General</c:formatCode>
                <c:ptCount val="10"/>
                <c:pt idx="0">
                  <c:v>15302</c:v>
                </c:pt>
                <c:pt idx="1">
                  <c:v>120</c:v>
                </c:pt>
                <c:pt idx="2">
                  <c:v>6358</c:v>
                </c:pt>
                <c:pt idx="3">
                  <c:v>1538</c:v>
                </c:pt>
                <c:pt idx="4">
                  <c:v>307</c:v>
                </c:pt>
                <c:pt idx="5">
                  <c:v>5188</c:v>
                </c:pt>
                <c:pt idx="6">
                  <c:v>2600</c:v>
                </c:pt>
                <c:pt idx="7">
                  <c:v>133</c:v>
                </c:pt>
                <c:pt idx="8">
                  <c:v>1612</c:v>
                </c:pt>
                <c:pt idx="9">
                  <c:v>780</c:v>
                </c:pt>
              </c:numCache>
            </c:numRef>
          </c:val>
        </c:ser>
        <c:dLbls>
          <c:showLegendKey val="0"/>
          <c:showVal val="1"/>
          <c:showCatName val="0"/>
          <c:showSerName val="0"/>
          <c:showPercent val="0"/>
          <c:showBubbleSize val="0"/>
        </c:dLbls>
        <c:gapWidth val="150"/>
        <c:axId val="266706304"/>
        <c:axId val="267601024"/>
      </c:barChart>
      <c:catAx>
        <c:axId val="2667063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7601024"/>
        <c:crosses val="autoZero"/>
        <c:auto val="1"/>
        <c:lblAlgn val="ctr"/>
        <c:lblOffset val="100"/>
        <c:noMultiLvlLbl val="0"/>
      </c:catAx>
      <c:valAx>
        <c:axId val="26760102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6706304"/>
        <c:crosses val="autoZero"/>
        <c:crossBetween val="between"/>
      </c:valAx>
      <c:spPr>
        <a:noFill/>
      </c:spPr>
    </c:plotArea>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经济分类科目支出结构</a:t>
            </a:r>
            <a:endParaRPr lang="zh-CN" altLang="en-US" sz="1400"/>
          </a:p>
        </c:rich>
      </c:tx>
      <c:layout/>
      <c:overlay val="0"/>
    </c:title>
    <c:autoTitleDeleted val="0"/>
    <c:plotArea>
      <c:layout/>
      <c:barChart>
        <c:barDir val="col"/>
        <c:grouping val="clustered"/>
        <c:varyColors val="0"/>
        <c:ser>
          <c:idx val="0"/>
          <c:order val="0"/>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8968.65</a:t>
                    </a:r>
                    <a:endParaRPr lang="en-US" altLang="zh-CN"/>
                  </a:p>
                  <a:p>
                    <a:pPr defTabSz="914400">
                      <a:defRPr lang="zh-CN" sz="1000" b="0" i="0" u="none" strike="noStrike" kern="1200" baseline="0">
                        <a:solidFill>
                          <a:schemeClr val="tx1"/>
                        </a:solidFill>
                        <a:latin typeface="+mn-lt"/>
                        <a:ea typeface="+mn-ea"/>
                        <a:cs typeface="+mn-cs"/>
                      </a:defRPr>
                    </a:pP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01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801.8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0772727272727273"/>
                      <c:h val="0.0833333333333333"/>
                    </c:manualLayout>
                  </c15:layout>
                </c:ext>
              </c:extLst>
            </c:dLbl>
            <c:dLbl>
              <c:idx val="2"/>
              <c:layout>
                <c:manualLayout>
                  <c:x val="0.00524475524475524"/>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1237.95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26111.18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[Book1]Sheet1!$E$12:$E$15</c:f>
              <c:strCache>
                <c:ptCount val="4"/>
                <c:pt idx="0">
                  <c:v>工资福利支出</c:v>
                </c:pt>
                <c:pt idx="1">
                  <c:v>商品服务支出</c:v>
                </c:pt>
                <c:pt idx="2">
                  <c:v>其他对个人和家庭的补助</c:v>
                </c:pt>
                <c:pt idx="3">
                  <c:v>其他资本性支出</c:v>
                </c:pt>
              </c:strCache>
            </c:strRef>
          </c:cat>
          <c:val>
            <c:numRef>
              <c:f>[Book1]Sheet1!$F$12:$F$15</c:f>
              <c:numCache>
                <c:formatCode>General</c:formatCode>
                <c:ptCount val="4"/>
                <c:pt idx="0">
                  <c:v>6475</c:v>
                </c:pt>
                <c:pt idx="1">
                  <c:v>732</c:v>
                </c:pt>
                <c:pt idx="2">
                  <c:v>1542</c:v>
                </c:pt>
                <c:pt idx="3">
                  <c:v>27454</c:v>
                </c:pt>
              </c:numCache>
            </c:numRef>
          </c:val>
        </c:ser>
        <c:dLbls>
          <c:showLegendKey val="0"/>
          <c:showVal val="1"/>
          <c:showCatName val="0"/>
          <c:showSerName val="0"/>
          <c:showPercent val="0"/>
          <c:showBubbleSize val="0"/>
        </c:dLbls>
        <c:gapWidth val="150"/>
        <c:axId val="267727616"/>
        <c:axId val="267729152"/>
      </c:barChart>
      <c:catAx>
        <c:axId val="2677276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7729152"/>
        <c:crosses val="autoZero"/>
        <c:auto val="1"/>
        <c:lblAlgn val="ctr"/>
        <c:lblOffset val="100"/>
        <c:noMultiLvlLbl val="0"/>
      </c:catAx>
      <c:valAx>
        <c:axId val="26772915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7727616"/>
        <c:crosses val="autoZero"/>
        <c:crossBetween val="between"/>
      </c:valAx>
      <c:spPr>
        <a:noFill/>
      </c:spPr>
    </c:plotArea>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D91F6-0B97-421D-A9BB-A9FA61B331E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3344</Words>
  <Characters>3684</Characters>
  <Lines>27</Lines>
  <Paragraphs>7</Paragraphs>
  <TotalTime>41</TotalTime>
  <ScaleCrop>false</ScaleCrop>
  <LinksUpToDate>false</LinksUpToDate>
  <CharactersWithSpaces>3754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2020-06-16T07:17:00Z</dcterms:created>
  <dc:creator>User</dc:creator>
  <cp:lastModifiedBy>Truly^</cp:lastModifiedBy>
  <cp:lastPrinted>2021-06-22T08:10:19Z</cp:lastPrinted>
  <dcterms:modified xsi:type="dcterms:W3CDTF">2021-06-22T08:49:09Z</dcterms:modified>
  <dc:title>拟稿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91F0F2D9257542749BE4A2AFE7B31D7A</vt:lpwstr>
  </property>
</Properties>
</file>